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eastAsia="文星简小标宋"/>
          <w:bCs/>
          <w:szCs w:val="44"/>
        </w:rPr>
      </w:pPr>
      <w:bookmarkStart w:id="0" w:name="_GoBack"/>
      <w:r>
        <w:rPr>
          <w:rFonts w:eastAsia="文星简小标宋"/>
          <w:bCs/>
          <w:szCs w:val="44"/>
        </w:rPr>
        <w:t>市人社局市财政局关于公布202</w:t>
      </w:r>
      <w:r>
        <w:rPr>
          <w:rFonts w:hint="eastAsia" w:eastAsia="文星简小标宋"/>
          <w:bCs/>
          <w:szCs w:val="44"/>
          <w:lang w:val="en-US" w:eastAsia="zh-CN"/>
        </w:rPr>
        <w:t>1</w:t>
      </w:r>
      <w:r>
        <w:rPr>
          <w:rFonts w:eastAsia="文星简小标宋"/>
          <w:bCs/>
          <w:szCs w:val="44"/>
        </w:rPr>
        <w:t>年度</w:t>
      </w:r>
    </w:p>
    <w:p>
      <w:pPr>
        <w:pStyle w:val="2"/>
        <w:spacing w:line="600" w:lineRule="exact"/>
        <w:rPr>
          <w:rFonts w:eastAsia="文星简小标宋"/>
          <w:bCs/>
          <w:szCs w:val="44"/>
        </w:rPr>
      </w:pPr>
      <w:r>
        <w:rPr>
          <w:rFonts w:eastAsia="文星简小标宋"/>
          <w:bCs/>
          <w:szCs w:val="44"/>
        </w:rPr>
        <w:t>本市基本养老金计发基数的通知</w:t>
      </w:r>
    </w:p>
    <w:p>
      <w:pPr>
        <w:spacing w:line="600" w:lineRule="exact"/>
        <w:rPr>
          <w:rFonts w:hint="eastAsia"/>
        </w:rPr>
      </w:pPr>
    </w:p>
    <w:bookmarkEnd w:id="0"/>
    <w:p>
      <w:pPr>
        <w:spacing w:line="600" w:lineRule="exact"/>
        <w:rPr>
          <w:rFonts w:hint="eastAsia" w:ascii="Times New Roman" w:eastAsia="仿宋_GB2312"/>
          <w:sz w:val="32"/>
          <w:lang w:eastAsia="zh-CN"/>
        </w:rPr>
      </w:pPr>
      <w:r>
        <w:rPr>
          <w:rFonts w:eastAsia="仿宋_GB2312"/>
          <w:sz w:val="32"/>
        </w:rPr>
        <w:t>各区人力资源和社会保障局、财政局，有关单位</w:t>
      </w:r>
      <w:r>
        <w:rPr>
          <w:rFonts w:hint="eastAsia" w:eastAsia="仿宋_GB2312"/>
          <w:sz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经人社部、财政部批准，现</w:t>
      </w:r>
      <w:r>
        <w:rPr>
          <w:rFonts w:hint="eastAsia" w:eastAsia="仿宋_GB2312"/>
          <w:sz w:val="32"/>
          <w:szCs w:val="32"/>
        </w:rPr>
        <w:t>就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年度本市基本养老金计发基数有关问题通知如下：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年度本市基本养老金计发基数为</w:t>
      </w:r>
      <w:r>
        <w:rPr>
          <w:rFonts w:hint="eastAsia" w:eastAsia="仿宋_GB2312"/>
          <w:sz w:val="32"/>
          <w:szCs w:val="32"/>
          <w:lang w:val="en-US" w:eastAsia="zh-CN"/>
        </w:rPr>
        <w:t>8324</w:t>
      </w:r>
      <w:r>
        <w:rPr>
          <w:rFonts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</w:t>
      </w:r>
      <w:r>
        <w:rPr>
          <w:rFonts w:eastAsia="仿宋_GB2312"/>
          <w:sz w:val="32"/>
          <w:szCs w:val="32"/>
        </w:rPr>
        <w:t>、202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年1月至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月办理退休手续的人员，在领取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月份基本养老金时，</w:t>
      </w:r>
      <w:r>
        <w:rPr>
          <w:rFonts w:hint="eastAsia" w:eastAsia="仿宋_GB2312"/>
          <w:sz w:val="32"/>
          <w:szCs w:val="32"/>
        </w:rPr>
        <w:t>无需</w:t>
      </w:r>
      <w:r>
        <w:rPr>
          <w:rFonts w:eastAsia="仿宋_GB2312"/>
          <w:sz w:val="32"/>
          <w:szCs w:val="32"/>
        </w:rPr>
        <w:t>重新办理退休手续，由社会保险经办机构按照202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年度本市基本养老金计发基数重新核定基本养老金，并自退休审批的次月起予以补发。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本通知自印发之日起执行。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</w:t>
      </w:r>
      <w:r>
        <w:rPr>
          <w:rFonts w:hint="default" w:eastAsia="仿宋_GB2312"/>
          <w:sz w:val="32"/>
          <w:szCs w:val="32"/>
          <w:lang w:val="e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市人社局　  </w:t>
      </w: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hint="default" w:eastAsia="仿宋_GB2312"/>
          <w:sz w:val="32"/>
          <w:szCs w:val="32"/>
          <w:lang w:val="e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市财政局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</w:t>
      </w:r>
      <w:r>
        <w:rPr>
          <w:rFonts w:hint="default"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　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5</w:t>
      </w:r>
      <w:r>
        <w:rPr>
          <w:rFonts w:eastAsia="仿宋_GB2312"/>
          <w:sz w:val="32"/>
          <w:szCs w:val="32"/>
        </w:rPr>
        <w:t>日</w:t>
      </w:r>
    </w:p>
    <w:p>
      <w:pPr>
        <w:spacing w:line="4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（此件主动公开）</w:t>
      </w:r>
    </w:p>
    <w:p>
      <w:pPr>
        <w:widowControl/>
        <w:jc w:val="left"/>
        <w:rPr>
          <w:rFonts w:eastAsia="文星简小标宋"/>
          <w:sz w:val="44"/>
          <w:szCs w:val="44"/>
        </w:rPr>
      </w:pPr>
    </w:p>
    <w:p>
      <w:pPr>
        <w:widowControl/>
        <w:spacing w:before="360"/>
        <w:jc w:val="left"/>
        <w:rPr>
          <w:rFonts w:eastAsia="文星简小标宋"/>
          <w:sz w:val="44"/>
          <w:szCs w:val="44"/>
        </w:rPr>
      </w:pPr>
    </w:p>
    <w:p>
      <w:pPr>
        <w:widowControl/>
        <w:spacing w:before="360"/>
        <w:jc w:val="left"/>
        <w:rPr>
          <w:rFonts w:eastAsia="文星简小标宋"/>
          <w:sz w:val="44"/>
          <w:szCs w:val="44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593090</wp:posOffset>
                </wp:positionV>
                <wp:extent cx="5601335" cy="0"/>
                <wp:effectExtent l="0" t="9525" r="18415" b="9525"/>
                <wp:wrapNone/>
                <wp:docPr id="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2.25pt;margin-top:46.7pt;height:0pt;width:441.05pt;z-index:251660288;mso-width-relative:page;mso-height-relative:page;" filled="f" stroked="t" coordsize="21600,21600" o:gfxdata="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fKtpHUAAAABwEAAA8AAAAAAAAAAQAgAAAAIgAAAGRycy9kb3du&#10;cmV2LnhtbFBLAQIUABQAAAAIAIdO4kBfjkd4ygEAAKEDAAAOAAAAAAAAAAEAIAAAACM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210" w:leftChars="100" w:right="210" w:rightChars="100"/>
        <w:rPr>
          <w:rFonts w:hint="eastAsia" w:ascii="Times New Roman" w:eastAsia="仿宋_GB2312"/>
          <w:sz w:val="32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1335" cy="0"/>
                <wp:effectExtent l="0" t="9525" r="18415" b="9525"/>
                <wp:wrapNone/>
                <wp:docPr id="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30.5pt;height:0pt;width:441.05pt;z-index:251659264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vJz/XTAAAABgEAAA8AAAAAAAAAAQAgAAAAIgAAAGRycy9kb3du&#10;cmV2LnhtbFBLAQIUABQAAAAIAIdO4kDCzWV+ywEAAKEDAAAOAAAAAAAAAAEAIAAAACI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sz w:val="28"/>
          <w:szCs w:val="28"/>
        </w:rPr>
        <w:t xml:space="preserve">天津市人力资源和社会保障局办公室  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default" w:ascii="Times New Roman" w:eastAsia="仿宋_GB2312"/>
          <w:sz w:val="28"/>
          <w:szCs w:val="28"/>
          <w:lang w:val="en"/>
        </w:rPr>
        <w:t>1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default" w:eastAsia="仿宋_GB2312"/>
          <w:sz w:val="28"/>
          <w:szCs w:val="28"/>
          <w:lang w:val="en"/>
        </w:rPr>
        <w:t>11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default" w:eastAsia="仿宋_GB2312"/>
          <w:sz w:val="28"/>
          <w:szCs w:val="28"/>
          <w:lang w:val="en"/>
        </w:rPr>
        <w:t>8</w:t>
      </w:r>
      <w:r>
        <w:rPr>
          <w:rFonts w:hint="eastAsia" w:ascii="Times New Roman" w:eastAsia="仿宋_GB2312"/>
          <w:sz w:val="28"/>
          <w:szCs w:val="28"/>
        </w:rPr>
        <w:t>日印发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文星简小标宋"/>
          <w:sz w:val="44"/>
          <w:szCs w:val="44"/>
          <w:lang w:eastAsia="zh-CN"/>
        </w:rPr>
      </w:pPr>
      <w:r>
        <w:rPr>
          <w:rFonts w:eastAsia="文星简小标宋"/>
          <w:sz w:val="44"/>
          <w:szCs w:val="44"/>
        </w:rPr>
        <w:t>政</w:t>
      </w:r>
      <w:r>
        <w:rPr>
          <w:rFonts w:hint="eastAsia" w:ascii="Times New Roman" w:hAnsi="Times New Roman" w:cs="宋体"/>
          <w:sz w:val="44"/>
          <w:szCs w:val="44"/>
        </w:rPr>
        <w:t xml:space="preserve"> </w:t>
      </w:r>
      <w:r>
        <w:rPr>
          <w:rFonts w:eastAsia="文星简小标宋"/>
          <w:sz w:val="44"/>
          <w:szCs w:val="44"/>
        </w:rPr>
        <w:t>策</w:t>
      </w:r>
      <w:r>
        <w:rPr>
          <w:rFonts w:hint="eastAsia" w:ascii="Times New Roman" w:hAnsi="Times New Roman" w:cs="宋体"/>
          <w:sz w:val="44"/>
          <w:szCs w:val="44"/>
        </w:rPr>
        <w:t xml:space="preserve"> </w:t>
      </w:r>
      <w:r>
        <w:rPr>
          <w:rFonts w:eastAsia="文星简小标宋"/>
          <w:sz w:val="44"/>
          <w:szCs w:val="44"/>
        </w:rPr>
        <w:t>问</w:t>
      </w:r>
      <w:r>
        <w:rPr>
          <w:rFonts w:hint="eastAsia" w:ascii="Times New Roman" w:hAnsi="Times New Roman" w:cs="宋体"/>
          <w:sz w:val="44"/>
          <w:szCs w:val="44"/>
        </w:rPr>
        <w:t xml:space="preserve"> </w:t>
      </w:r>
      <w:r>
        <w:rPr>
          <w:rFonts w:eastAsia="文星简小标宋"/>
          <w:sz w:val="44"/>
          <w:szCs w:val="44"/>
        </w:rPr>
        <w:t>答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eastAsia="黑体"/>
          <w:sz w:val="32"/>
          <w:szCs w:val="32"/>
        </w:rPr>
        <w:t>、202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eastAsia="黑体"/>
          <w:sz w:val="32"/>
          <w:szCs w:val="32"/>
        </w:rPr>
        <w:t>年基本养老金计发基数</w:t>
      </w:r>
      <w:r>
        <w:rPr>
          <w:rFonts w:hint="eastAsia" w:eastAsia="黑体"/>
          <w:sz w:val="32"/>
          <w:szCs w:val="32"/>
          <w:lang w:eastAsia="zh-CN"/>
        </w:rPr>
        <w:t>是多少</w:t>
      </w:r>
      <w:r>
        <w:rPr>
          <w:rFonts w:eastAsia="黑体"/>
          <w:sz w:val="32"/>
          <w:szCs w:val="32"/>
        </w:rPr>
        <w:t>，其应用范围是什么？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答：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年基本养老金计发基数</w:t>
      </w:r>
      <w:r>
        <w:rPr>
          <w:rFonts w:hint="eastAsia" w:eastAsia="仿宋_GB2312"/>
          <w:sz w:val="32"/>
          <w:szCs w:val="32"/>
          <w:lang w:eastAsia="zh-CN"/>
        </w:rPr>
        <w:t>为</w:t>
      </w:r>
      <w:r>
        <w:rPr>
          <w:rFonts w:hint="eastAsia" w:eastAsia="仿宋_GB2312"/>
          <w:sz w:val="32"/>
          <w:szCs w:val="32"/>
          <w:lang w:val="en-US" w:eastAsia="zh-CN"/>
        </w:rPr>
        <w:t>8324元</w:t>
      </w:r>
      <w:r>
        <w:rPr>
          <w:rFonts w:eastAsia="仿宋_GB2312"/>
          <w:sz w:val="32"/>
          <w:szCs w:val="32"/>
        </w:rPr>
        <w:t>。这一数据既用于202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年企业退休人员（含个体工商户、灵活就业人员等参加企业职工基本养老保险人员）计发基本养老金，也用于202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年机关事业单位退休人员计发基本养老金。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二、为什么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2021年基本养老金计发基数</w:t>
      </w:r>
      <w:r>
        <w:rPr>
          <w:rFonts w:hint="eastAsia" w:eastAsia="黑体" w:cs="Times New Roman"/>
          <w:sz w:val="32"/>
          <w:szCs w:val="32"/>
          <w:lang w:val="en-US" w:eastAsia="zh-CN"/>
        </w:rPr>
        <w:t>于10月份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公布实施？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答：</w:t>
      </w:r>
      <w:r>
        <w:rPr>
          <w:rFonts w:hint="eastAsia" w:eastAsia="仿宋_GB2312"/>
          <w:sz w:val="32"/>
          <w:szCs w:val="32"/>
          <w:lang w:val="en-US" w:eastAsia="zh-CN"/>
        </w:rPr>
        <w:t>按照国家政策要求，各地基本养老金计发基数应报请人社部、财政部批准后公布实施。日前，人社部、财政部已批准本市计发基数，按照要求，现公布本市2021年基本养老金计发基数为8324元。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三、2021年1月至10月已经按照2020年基本养老金计发基数办理退休的人员，其基本养老金如何处理？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答：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年1月至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月办理退休手续的人员，在领取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</w:rPr>
        <w:t>月份基本养老金时，无需重新办理退休手续，由社会保险经办机构按照202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年度本市基本养老金计发基数重新核定基本养老金，并自退休审批的次月起予以补发。</w:t>
      </w:r>
      <w:r>
        <w:rPr>
          <w:rFonts w:hint="eastAsia" w:eastAsia="仿宋_GB2312"/>
          <w:sz w:val="32"/>
          <w:szCs w:val="32"/>
          <w:lang w:val="en-US" w:eastAsia="zh-CN"/>
        </w:rPr>
        <w:t>11月以后办理退休手续的人员，直接按照2021年基本养老金计发基数核定基本养老金。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―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36CBD"/>
    <w:rsid w:val="4463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2021-11-10T02:14:00Z</dcterms:created>
  <dc:creator>夏天少了西瓜就不叫夏天</dc:creator>
  <cp:lastModifiedBy>夏天少了西瓜就不叫夏天</cp:lastModifiedBy>
  <dcterms:modified xsi:type="dcterms:W3CDTF">2021-11-10T02:15:06Z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BF49163BF1C04DDD9A4B34E111386076</vt:lpwstr>
  </property>
</Properties>
</file>