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区发改委2021年法治政府建设情况报告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Arial"/>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napToGrid w:val="0"/>
          <w:color w:val="000000"/>
          <w:kern w:val="0"/>
          <w:sz w:val="32"/>
          <w:szCs w:val="32"/>
        </w:rPr>
      </w:pPr>
      <w:r>
        <w:rPr>
          <w:rFonts w:hint="eastAsia" w:ascii="Times New Roman" w:hAnsi="Times New Roman" w:eastAsia="仿宋_GB2312" w:cs="Arial"/>
          <w:kern w:val="0"/>
          <w:sz w:val="32"/>
          <w:szCs w:val="32"/>
          <w:lang w:val="en-US" w:eastAsia="zh-CN"/>
        </w:rPr>
        <w:t>区发改委始终坚持以习近平新时代中国特色社会主义思想为指导，坚决贯彻党的十九大和十九届历次全会精神，</w:t>
      </w:r>
      <w:r>
        <w:rPr>
          <w:rFonts w:hint="default" w:ascii="Times New Roman" w:hAnsi="Times New Roman" w:eastAsia="仿宋_GB2312" w:cs="Arial"/>
          <w:kern w:val="0"/>
          <w:sz w:val="32"/>
          <w:szCs w:val="32"/>
          <w:lang w:eastAsia="zh-CN"/>
        </w:rPr>
        <w:t>深入学习贯彻习近平法治思想和</w:t>
      </w:r>
      <w:r>
        <w:rPr>
          <w:rFonts w:hint="eastAsia" w:ascii="Times New Roman" w:hAnsi="Times New Roman" w:eastAsia="仿宋_GB2312" w:cs="Arial"/>
          <w:kern w:val="0"/>
          <w:sz w:val="32"/>
          <w:szCs w:val="32"/>
          <w:lang w:eastAsia="zh-CN"/>
        </w:rPr>
        <w:t>习近平总书记在中共中央政治局就建设中国特色社会主义法治体系进行第三十五次集体学习时的重要讲话精神，</w:t>
      </w:r>
      <w:r>
        <w:rPr>
          <w:rFonts w:hint="default" w:ascii="Times New Roman" w:hAnsi="Times New Roman" w:eastAsia="仿宋_GB2312" w:cs="Arial"/>
          <w:kern w:val="0"/>
          <w:sz w:val="32"/>
          <w:szCs w:val="32"/>
          <w:lang w:eastAsia="zh-CN"/>
        </w:rPr>
        <w:t>贯彻落实中央</w:t>
      </w:r>
      <w:r>
        <w:rPr>
          <w:rFonts w:hint="default" w:ascii="Times New Roman" w:hAnsi="Times New Roman" w:eastAsia="仿宋_GB2312" w:cs="Times New Roman"/>
          <w:color w:val="000000"/>
          <w:kern w:val="0"/>
          <w:sz w:val="32"/>
          <w:szCs w:val="32"/>
        </w:rPr>
        <w:t>和市委、区委</w:t>
      </w:r>
      <w:r>
        <w:rPr>
          <w:rFonts w:hint="default" w:ascii="Times New Roman" w:hAnsi="Times New Roman" w:eastAsia="仿宋_GB2312" w:cs="Times New Roman"/>
          <w:color w:val="000000"/>
          <w:kern w:val="0"/>
          <w:sz w:val="32"/>
          <w:szCs w:val="32"/>
          <w:lang w:eastAsia="zh-CN"/>
        </w:rPr>
        <w:t>关于法治</w:t>
      </w:r>
      <w:r>
        <w:rPr>
          <w:rFonts w:hint="eastAsia" w:ascii="Times New Roman" w:hAnsi="Times New Roman" w:eastAsia="仿宋_GB2312" w:cs="Times New Roman"/>
          <w:color w:val="000000"/>
          <w:kern w:val="0"/>
          <w:sz w:val="32"/>
          <w:szCs w:val="32"/>
          <w:lang w:val="en-US" w:eastAsia="zh-CN"/>
        </w:rPr>
        <w:t>政府</w:t>
      </w:r>
      <w:r>
        <w:rPr>
          <w:rFonts w:hint="default" w:ascii="Times New Roman" w:hAnsi="Times New Roman" w:eastAsia="仿宋_GB2312" w:cs="Times New Roman"/>
          <w:color w:val="000000"/>
          <w:kern w:val="0"/>
          <w:sz w:val="32"/>
          <w:szCs w:val="32"/>
          <w:lang w:eastAsia="zh-CN"/>
        </w:rPr>
        <w:t>建设工作的部署</w:t>
      </w:r>
      <w:r>
        <w:rPr>
          <w:rFonts w:hint="default" w:ascii="Times New Roman" w:hAnsi="Times New Roman" w:eastAsia="仿宋_GB2312" w:cs="Times New Roman"/>
          <w:color w:val="000000"/>
          <w:kern w:val="0"/>
          <w:sz w:val="32"/>
          <w:szCs w:val="32"/>
        </w:rPr>
        <w:t>要求，</w:t>
      </w:r>
      <w:r>
        <w:rPr>
          <w:rFonts w:hint="eastAsia" w:ascii="Times New Roman" w:hAnsi="Times New Roman" w:eastAsia="仿宋_GB2312" w:cs="Times New Roman"/>
          <w:b w:val="0"/>
          <w:bCs w:val="0"/>
          <w:snapToGrid w:val="0"/>
          <w:color w:val="000000"/>
          <w:kern w:val="0"/>
          <w:sz w:val="32"/>
          <w:szCs w:val="32"/>
          <w:lang w:eastAsia="zh-CN"/>
        </w:rPr>
        <w:t>为我区全面开启建设“科创绿谷、都市新区”崭新篇章贡献坚实法治保障</w:t>
      </w:r>
      <w:r>
        <w:rPr>
          <w:rFonts w:hint="default" w:ascii="Times New Roman" w:hAnsi="Times New Roman" w:eastAsia="仿宋_GB2312" w:cs="Times New Roman"/>
          <w:b w:val="0"/>
          <w:bCs w:val="0"/>
          <w:snapToGrid w:val="0"/>
          <w:color w:val="000000"/>
          <w:kern w:val="0"/>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黑体" w:cs="黑体"/>
          <w:b w:val="0"/>
          <w:bCs w:val="0"/>
          <w:snapToGrid w:val="0"/>
          <w:color w:val="000000"/>
          <w:kern w:val="0"/>
          <w:sz w:val="32"/>
          <w:szCs w:val="32"/>
          <w:lang w:val="en-US" w:eastAsia="zh-CN"/>
        </w:rPr>
      </w:pPr>
      <w:r>
        <w:rPr>
          <w:rFonts w:hint="eastAsia" w:ascii="Times New Roman" w:hAnsi="Times New Roman" w:eastAsia="黑体" w:cs="黑体"/>
          <w:b w:val="0"/>
          <w:bCs w:val="0"/>
          <w:snapToGrid w:val="0"/>
          <w:color w:val="000000"/>
          <w:kern w:val="0"/>
          <w:sz w:val="32"/>
          <w:szCs w:val="32"/>
          <w:lang w:val="en-US" w:eastAsia="zh-CN"/>
        </w:rPr>
        <w:t>一、主要举措及成效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eastAsia="zh-CN"/>
        </w:rPr>
      </w:pPr>
      <w:r>
        <w:rPr>
          <w:rFonts w:hint="eastAsia" w:ascii="Times New Roman" w:hAnsi="Times New Roman" w:eastAsia="楷体" w:cs="楷体"/>
          <w:sz w:val="32"/>
          <w:szCs w:val="32"/>
          <w:lang w:val="en-US" w:eastAsia="zh-CN"/>
        </w:rPr>
        <w:t>（一）</w:t>
      </w:r>
      <w:r>
        <w:rPr>
          <w:rFonts w:hint="eastAsia" w:ascii="Times New Roman" w:hAnsi="Times New Roman" w:eastAsia="楷体" w:cs="楷体"/>
          <w:color w:val="auto"/>
          <w:sz w:val="32"/>
          <w:szCs w:val="32"/>
          <w:lang w:val="en-US" w:eastAsia="zh-CN"/>
        </w:rPr>
        <w:t>强化理论学习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党组理论中心组带头学习《宪法》《民法典》，学习党规党纪和业务有关法律法规，跟进学习</w:t>
      </w:r>
      <w:r>
        <w:rPr>
          <w:rFonts w:hint="eastAsia" w:ascii="Times New Roman" w:hAnsi="Times New Roman" w:eastAsia="仿宋_GB2312" w:cs="仿宋_GB2312"/>
          <w:sz w:val="32"/>
          <w:szCs w:val="32"/>
          <w:lang w:eastAsia="zh-CN"/>
        </w:rPr>
        <w:t>《中共中央印发&lt;法治社会建设实施纲</w:t>
      </w:r>
      <w:r>
        <w:rPr>
          <w:rFonts w:hint="eastAsia" w:ascii="Times New Roman" w:hAnsi="Times New Roman" w:eastAsia="仿宋_GB2312" w:cs="Times New Roman"/>
          <w:sz w:val="32"/>
          <w:szCs w:val="32"/>
          <w:lang w:val="en-US" w:eastAsia="zh-CN"/>
        </w:rPr>
        <w:t>要（2020—2025年）&gt;》《论依法治区》等重要文件精神，深入学习习近平依法治国思想。“八五”普法工作开展至今共组织党组、党组理论学习中心组集体学法</w:t>
      </w:r>
      <w:r>
        <w:rPr>
          <w:rFonts w:hint="default" w:ascii="Times New Roman" w:hAnsi="Times New Roman" w:eastAsia="仿宋_GB2312" w:cs="Times New Roman"/>
          <w:color w:val="auto"/>
          <w:sz w:val="32"/>
          <w:szCs w:val="32"/>
          <w:lang w:val="en" w:eastAsia="zh-CN"/>
        </w:rPr>
        <w:t>2</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sz w:val="32"/>
          <w:szCs w:val="32"/>
          <w:lang w:val="en-US" w:eastAsia="zh-CN"/>
        </w:rPr>
        <w:t>次。组织干部进行网上学法用法考试，每年每人学习时长不少于40学时。</w:t>
      </w:r>
      <w:r>
        <w:rPr>
          <w:rFonts w:hint="eastAsia" w:ascii="Times New Roman" w:hAnsi="Times New Roman" w:eastAsia="仿宋_GB2312" w:cs="仿宋_GB2312"/>
          <w:sz w:val="32"/>
          <w:szCs w:val="32"/>
          <w:lang w:eastAsia="zh-CN"/>
        </w:rPr>
        <w:t>将《宪</w:t>
      </w:r>
      <w:r>
        <w:rPr>
          <w:rFonts w:hint="eastAsia" w:ascii="Times New Roman" w:hAnsi="Times New Roman" w:eastAsia="仿宋_GB2312" w:cs="仿宋_GB2312"/>
          <w:sz w:val="32"/>
          <w:szCs w:val="32"/>
          <w:lang w:val="en-US" w:eastAsia="zh-CN"/>
        </w:rPr>
        <w:t>法》《中国共产党章程》</w:t>
      </w:r>
      <w:bookmarkStart w:id="0" w:name="_GoBack"/>
      <w:bookmarkEnd w:id="0"/>
      <w:r>
        <w:rPr>
          <w:rFonts w:hint="eastAsia" w:ascii="Times New Roman" w:hAnsi="Times New Roman" w:eastAsia="仿宋_GB2312"/>
          <w:sz w:val="32"/>
          <w:szCs w:val="32"/>
          <w:lang w:val="en-US" w:eastAsia="zh-CN"/>
        </w:rPr>
        <w:t>等党内法规制度、统计法、交通法等专项法律知识纳入集体学习内容，组织集体学法</w:t>
      </w:r>
      <w:r>
        <w:rPr>
          <w:rFonts w:hint="eastAsia" w:ascii="Times New Roman" w:hAnsi="Times New Roman" w:eastAsia="仿宋_GB2312" w:cs="Times New Roman"/>
          <w:sz w:val="32"/>
          <w:szCs w:val="32"/>
          <w:lang w:val="en-US" w:eastAsia="zh-CN"/>
        </w:rPr>
        <w:t>14次，</w:t>
      </w:r>
      <w:r>
        <w:rPr>
          <w:rFonts w:hint="eastAsia" w:ascii="Times New Roman" w:hAnsi="Times New Roman" w:eastAsia="仿宋_GB2312"/>
          <w:sz w:val="32"/>
          <w:szCs w:val="32"/>
          <w:lang w:val="en-US" w:eastAsia="zh-CN"/>
        </w:rPr>
        <w:t>民法典知识点测试全覆盖。通过多种方式广泛开展普法培训，邀请法律顾问为全委干部解读民法典、安全生产法等法律知识培训，组织全体干部职工在线观看庭审案件，积极扩大普法覆盖面，提升全委干部职工法治思维，树立依法办事、依法执法的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（二）强化法治宣传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结合职能做好普法宣传，</w:t>
      </w:r>
      <w:r>
        <w:rPr>
          <w:rFonts w:hint="eastAsia" w:ascii="Times New Roman" w:hAnsi="Times New Roman" w:eastAsia="仿宋_GB2312" w:cs="Arial"/>
          <w:kern w:val="0"/>
          <w:sz w:val="32"/>
          <w:szCs w:val="32"/>
          <w:lang w:eastAsia="zh-CN"/>
        </w:rPr>
        <w:t>开展诚信宣传进社区、进校园、进企业活动，印</w:t>
      </w:r>
      <w:r>
        <w:rPr>
          <w:rFonts w:hint="eastAsia" w:ascii="Times New Roman" w:hAnsi="Times New Roman" w:eastAsia="仿宋_GB2312" w:cs="Arial"/>
          <w:kern w:val="0"/>
          <w:sz w:val="32"/>
          <w:szCs w:val="32"/>
          <w:lang w:val="en-US" w:eastAsia="zh-CN"/>
        </w:rPr>
        <w:t>发</w:t>
      </w:r>
      <w:r>
        <w:rPr>
          <w:rFonts w:hint="eastAsia" w:ascii="Times New Roman" w:hAnsi="Times New Roman" w:eastAsia="仿宋_GB2312" w:cs="Arial"/>
          <w:kern w:val="0"/>
          <w:sz w:val="32"/>
          <w:szCs w:val="32"/>
          <w:lang w:eastAsia="zh-CN"/>
        </w:rPr>
        <w:t>5000册《天津市社会信用条例手册》，2000册《东丽区市民诚信手册》，制作诚信宣传条幅、海报在全区各户外、大型卖场室内大屏进行播放。组织全区成员单位开展“树立诚信理念 共建诚信天津”暨2021年诚信建设宣传周活动，营造“人人讲诚信，事事守信用”的浓厚氛围。</w:t>
      </w:r>
      <w:r>
        <w:rPr>
          <w:rFonts w:hint="eastAsia" w:ascii="Times New Roman" w:hAnsi="Times New Roman" w:eastAsia="仿宋_GB2312" w:cs="Arial"/>
          <w:kern w:val="0"/>
          <w:sz w:val="32"/>
          <w:szCs w:val="32"/>
          <w:lang w:val="en-US" w:eastAsia="zh-CN"/>
        </w:rPr>
        <w:t>与</w:t>
      </w:r>
      <w:r>
        <w:rPr>
          <w:rFonts w:hint="eastAsia" w:ascii="Times New Roman" w:hAnsi="Times New Roman" w:eastAsia="仿宋_GB2312" w:cs="Arial"/>
          <w:b w:val="0"/>
          <w:bCs w:val="0"/>
          <w:strike w:val="0"/>
          <w:dstrike w:val="0"/>
          <w:color w:val="auto"/>
          <w:kern w:val="0"/>
          <w:sz w:val="32"/>
          <w:szCs w:val="32"/>
          <w:lang w:eastAsia="zh-CN"/>
        </w:rPr>
        <w:t>驻地</w:t>
      </w:r>
      <w:r>
        <w:rPr>
          <w:rFonts w:hint="eastAsia" w:ascii="Times New Roman" w:hAnsi="Times New Roman" w:eastAsia="仿宋_GB2312" w:cs="Arial"/>
          <w:kern w:val="0"/>
          <w:sz w:val="32"/>
          <w:szCs w:val="32"/>
          <w:lang w:eastAsia="zh-CN"/>
        </w:rPr>
        <w:t>共建社区、学校、企业等开展</w:t>
      </w:r>
      <w:r>
        <w:rPr>
          <w:rFonts w:hint="eastAsia" w:ascii="Times New Roman" w:hAnsi="Times New Roman" w:eastAsia="仿宋_GB2312" w:cs="仿宋_GB2312"/>
          <w:sz w:val="32"/>
          <w:szCs w:val="32"/>
          <w:lang w:val="en-US" w:eastAsia="zh-CN"/>
        </w:rPr>
        <w:t>世界粮食日和全国粮食安全宣传周集中宣传活动，</w:t>
      </w:r>
      <w:r>
        <w:rPr>
          <w:rFonts w:hint="eastAsia" w:ascii="Times New Roman" w:hAnsi="Times New Roman" w:eastAsia="仿宋_GB2312" w:cs="仿宋_GB2312"/>
          <w:sz w:val="32"/>
          <w:szCs w:val="32"/>
          <w:lang w:eastAsia="zh-CN"/>
        </w:rPr>
        <w:t>向群众宣传粮食政策法规、节粮爱粮、食品安全等相关知识。积极开展油气管道安全执法宣传活动，进一步提高管道周边群众的安全意识和责任意识。在第八个国家宪法日到来之际，</w:t>
      </w:r>
      <w:r>
        <w:rPr>
          <w:rFonts w:hint="eastAsia" w:ascii="Times New Roman" w:hAnsi="Times New Roman" w:eastAsia="仿宋_GB2312"/>
          <w:sz w:val="32"/>
          <w:szCs w:val="32"/>
          <w:lang w:val="en-US" w:eastAsia="zh-CN"/>
        </w:rPr>
        <w:t>结合“宪法宣传周”开展各种宣传活动，充分利用微博、微信公众号推送习近平法治思想，组织全体党员干部进行宪法宣誓，弘扬宪法精神，彰显宪法权威。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sz w:val="32"/>
          <w:szCs w:val="32"/>
          <w:lang w:val="en-US" w:eastAsia="zh-CN"/>
        </w:rPr>
        <w:t>（三）依法全面履行政府职能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2"/>
          <w:sz w:val="32"/>
          <w:szCs w:val="32"/>
          <w:lang w:val="en" w:eastAsia="zh-CN" w:bidi="ar-SA"/>
        </w:rPr>
      </w:pPr>
      <w:r>
        <w:rPr>
          <w:rFonts w:hint="default" w:ascii="仿宋_GB2312" w:hAnsi="仿宋_GB2312" w:eastAsia="仿宋_GB2312" w:cs="仿宋_GB2312"/>
          <w:b/>
          <w:bCs/>
          <w:kern w:val="2"/>
          <w:sz w:val="32"/>
          <w:szCs w:val="32"/>
          <w:lang w:val="en" w:eastAsia="zh-CN" w:bidi="ar-SA"/>
        </w:rPr>
        <w:t>1.</w:t>
      </w:r>
      <w:r>
        <w:rPr>
          <w:rFonts w:hint="eastAsia" w:ascii="仿宋_GB2312" w:hAnsi="仿宋_GB2312" w:eastAsia="仿宋_GB2312" w:cs="仿宋_GB2312"/>
          <w:b/>
          <w:bCs/>
          <w:kern w:val="2"/>
          <w:sz w:val="32"/>
          <w:szCs w:val="32"/>
          <w:lang w:val="en" w:eastAsia="zh-CN" w:bidi="ar-SA"/>
        </w:rPr>
        <w:t>积极履行职责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kern w:val="2"/>
          <w:sz w:val="32"/>
          <w:szCs w:val="32"/>
          <w:lang w:val="en" w:eastAsia="zh-CN" w:bidi="ar-SA"/>
        </w:rPr>
      </w:pPr>
      <w:r>
        <w:rPr>
          <w:rFonts w:hint="eastAsia" w:ascii="Times New Roman" w:hAnsi="Times New Roman" w:eastAsia="仿宋_GB2312"/>
          <w:sz w:val="32"/>
          <w:szCs w:val="32"/>
          <w:lang w:eastAsia="zh-CN"/>
        </w:rPr>
        <w:t>主要负责人认真</w:t>
      </w:r>
      <w:r>
        <w:rPr>
          <w:rFonts w:hint="eastAsia" w:ascii="Times New Roman" w:hAnsi="Times New Roman" w:eastAsia="仿宋_GB2312"/>
          <w:color w:val="auto"/>
          <w:sz w:val="32"/>
          <w:szCs w:val="32"/>
          <w:highlight w:val="none"/>
          <w:lang w:eastAsia="zh-CN"/>
        </w:rPr>
        <w:t>履行推进法治</w:t>
      </w:r>
      <w:r>
        <w:rPr>
          <w:rFonts w:hint="eastAsia" w:ascii="Times New Roman" w:hAnsi="Times New Roman" w:eastAsia="仿宋_GB2312"/>
          <w:color w:val="auto"/>
          <w:sz w:val="32"/>
          <w:szCs w:val="32"/>
          <w:highlight w:val="none"/>
          <w:lang w:val="en-US" w:eastAsia="zh-CN"/>
        </w:rPr>
        <w:t>政府</w:t>
      </w:r>
      <w:r>
        <w:rPr>
          <w:rFonts w:hint="eastAsia" w:ascii="Times New Roman" w:hAnsi="Times New Roman" w:eastAsia="仿宋_GB2312"/>
          <w:color w:val="auto"/>
          <w:sz w:val="32"/>
          <w:szCs w:val="32"/>
          <w:highlight w:val="none"/>
          <w:lang w:eastAsia="zh-CN"/>
        </w:rPr>
        <w:t>建设第一责任人</w:t>
      </w:r>
      <w:r>
        <w:rPr>
          <w:rFonts w:hint="eastAsia" w:ascii="Times New Roman" w:hAnsi="Times New Roman" w:eastAsia="仿宋_GB2312"/>
          <w:color w:val="auto"/>
          <w:sz w:val="32"/>
          <w:szCs w:val="32"/>
          <w:highlight w:val="none"/>
          <w:lang w:val="en-US" w:eastAsia="zh-CN"/>
        </w:rPr>
        <w:t>职责。</w:t>
      </w:r>
      <w:r>
        <w:rPr>
          <w:rFonts w:hint="eastAsia" w:ascii="Times New Roman" w:hAnsi="Times New Roman" w:eastAsia="仿宋_GB2312"/>
          <w:color w:val="auto"/>
          <w:sz w:val="32"/>
          <w:szCs w:val="32"/>
          <w:highlight w:val="none"/>
          <w:lang w:eastAsia="zh-CN"/>
        </w:rPr>
        <w:t>召开党组会研究制定年度《发改委党组落实全面依法</w:t>
      </w:r>
      <w:r>
        <w:rPr>
          <w:rFonts w:hint="eastAsia" w:ascii="Times New Roman" w:hAnsi="Times New Roman" w:eastAsia="仿宋_GB2312"/>
          <w:sz w:val="32"/>
          <w:szCs w:val="32"/>
          <w:lang w:eastAsia="zh-CN"/>
        </w:rPr>
        <w:t>治区主体责任的责任清单和任务清单》，并将法治政府建设工作纳入党组及</w:t>
      </w:r>
      <w:r>
        <w:rPr>
          <w:rFonts w:hint="eastAsia" w:ascii="Times New Roman" w:hAnsi="Times New Roman" w:eastAsia="仿宋_GB2312"/>
          <w:color w:val="auto"/>
          <w:sz w:val="32"/>
          <w:szCs w:val="32"/>
          <w:highlight w:val="none"/>
          <w:lang w:eastAsia="zh-CN"/>
        </w:rPr>
        <w:t>班子成员落实全面从严治党</w:t>
      </w:r>
      <w:r>
        <w:rPr>
          <w:rFonts w:hint="eastAsia" w:ascii="Times New Roman" w:hAnsi="Times New Roman" w:eastAsia="仿宋_GB2312"/>
          <w:color w:val="auto"/>
          <w:sz w:val="32"/>
          <w:szCs w:val="32"/>
          <w:highlight w:val="none"/>
          <w:lang w:val="en-US" w:eastAsia="zh-CN"/>
        </w:rPr>
        <w:t>主体责任</w:t>
      </w:r>
      <w:r>
        <w:rPr>
          <w:rFonts w:hint="eastAsia" w:ascii="Times New Roman" w:hAnsi="Times New Roman" w:eastAsia="仿宋_GB2312"/>
          <w:color w:val="auto"/>
          <w:sz w:val="32"/>
          <w:szCs w:val="32"/>
          <w:highlight w:val="none"/>
          <w:lang w:eastAsia="zh-CN"/>
        </w:rPr>
        <w:t>“两个清单”，纳入全年工作计划，全面安排部署法治政府建设工作，细化工作目标</w:t>
      </w:r>
      <w:r>
        <w:rPr>
          <w:rFonts w:hint="eastAsia" w:ascii="Times New Roman" w:hAnsi="Times New Roman" w:eastAsia="仿宋_GB2312"/>
          <w:sz w:val="32"/>
          <w:szCs w:val="32"/>
          <w:lang w:eastAsia="zh-CN"/>
        </w:rPr>
        <w:t>，确定责任领导与责任科室，定期将落实情况上传至</w:t>
      </w:r>
      <w:r>
        <w:rPr>
          <w:rFonts w:hint="eastAsia" w:ascii="Times New Roman" w:hAnsi="Times New Roman" w:eastAsia="仿宋_GB2312"/>
          <w:sz w:val="32"/>
          <w:szCs w:val="32"/>
          <w:highlight w:val="none"/>
          <w:lang w:eastAsia="zh-CN"/>
        </w:rPr>
        <w:t>落实全面从严治党主体责任平台，</w:t>
      </w:r>
      <w:r>
        <w:rPr>
          <w:rFonts w:hint="eastAsia" w:ascii="Times New Roman" w:hAnsi="Times New Roman" w:eastAsia="仿宋_GB2312"/>
          <w:sz w:val="32"/>
          <w:szCs w:val="32"/>
          <w:lang w:eastAsia="zh-CN"/>
        </w:rPr>
        <w:t>将法治政府建设工作落实情况列入年终述职内容，确保监督到位、责任到位、落实到位。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kern w:val="2"/>
          <w:sz w:val="32"/>
          <w:szCs w:val="32"/>
          <w:lang w:val="en"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color w:val="auto"/>
          <w:sz w:val="32"/>
          <w:szCs w:val="32"/>
          <w:highlight w:val="none"/>
          <w:lang w:val="en-US" w:eastAsia="zh-CN"/>
        </w:rPr>
        <w:t>加强诚信体系建设</w:t>
      </w:r>
      <w:r>
        <w:rPr>
          <w:rFonts w:hint="eastAsia" w:ascii="仿宋_GB2312" w:hAnsi="仿宋_GB2312" w:eastAsia="仿宋_GB2312" w:cs="仿宋_GB2312"/>
          <w:b/>
          <w:bCs/>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b/>
          <w:bCs/>
          <w:sz w:val="32"/>
          <w:szCs w:val="40"/>
          <w:lang w:val="en-US" w:eastAsia="zh-CN"/>
        </w:rPr>
        <w:t>一是</w:t>
      </w:r>
      <w:r>
        <w:rPr>
          <w:rFonts w:hint="eastAsia" w:ascii="Times New Roman" w:hAnsi="Times New Roman" w:eastAsia="仿宋_GB2312" w:cs="仿宋_GB2312"/>
          <w:b w:val="0"/>
          <w:bCs w:val="0"/>
          <w:sz w:val="32"/>
          <w:szCs w:val="40"/>
          <w:lang w:val="en-US" w:eastAsia="zh-CN"/>
        </w:rPr>
        <w:t>加大信用工作力度，完善信用信息归集共享服务</w:t>
      </w:r>
      <w:r>
        <w:rPr>
          <w:rFonts w:hint="eastAsia" w:ascii="Times New Roman" w:hAnsi="Times New Roman" w:eastAsia="仿宋_GB2312" w:cs="仿宋_GB2312"/>
          <w:sz w:val="32"/>
          <w:szCs w:val="40"/>
          <w:lang w:val="en-US" w:eastAsia="zh-CN"/>
        </w:rPr>
        <w:t>。在全市率先完成“信用信息共享平台”和“信用中国（天津东丽）网站”的建设运行，积极组织各信源单位通过区信用平台广泛归集信用信息数据，累计达372万条。</w:t>
      </w:r>
      <w:r>
        <w:rPr>
          <w:rFonts w:hint="eastAsia" w:ascii="Times New Roman" w:hAnsi="Times New Roman" w:eastAsia="仿宋_GB2312" w:cs="仿宋_GB2312"/>
          <w:b/>
          <w:bCs/>
          <w:sz w:val="32"/>
          <w:szCs w:val="40"/>
          <w:lang w:val="en-US" w:eastAsia="zh-CN"/>
        </w:rPr>
        <w:t>二是</w:t>
      </w:r>
      <w:r>
        <w:rPr>
          <w:rFonts w:hint="eastAsia" w:ascii="Times New Roman" w:hAnsi="Times New Roman" w:eastAsia="仿宋_GB2312" w:cs="仿宋_GB2312"/>
          <w:b w:val="0"/>
          <w:bCs w:val="0"/>
          <w:sz w:val="32"/>
          <w:szCs w:val="40"/>
          <w:lang w:val="en-US" w:eastAsia="zh-CN"/>
        </w:rPr>
        <w:t>不断完善信用分级分类监管体系。推动在教育、工程建设、生态环保、安全生产等行业实施分类监管、动态监管、精准监管。建立完善守信联合激励和失信联合惩戒制度，列出联合惩戒措施清单，梳理红黑名单，动态更新并向社会公开。</w:t>
      </w:r>
      <w:r>
        <w:rPr>
          <w:rFonts w:hint="eastAsia" w:ascii="Times New Roman" w:hAnsi="Times New Roman" w:eastAsia="仿宋_GB2312" w:cs="仿宋_GB2312"/>
          <w:b/>
          <w:bCs/>
          <w:sz w:val="32"/>
          <w:szCs w:val="40"/>
          <w:lang w:val="en-US" w:eastAsia="zh-CN"/>
        </w:rPr>
        <w:t>三是</w:t>
      </w:r>
      <w:r>
        <w:rPr>
          <w:rFonts w:hint="eastAsia" w:ascii="Times New Roman" w:hAnsi="Times New Roman" w:eastAsia="仿宋_GB2312" w:cs="仿宋_GB2312"/>
          <w:b w:val="0"/>
          <w:bCs w:val="0"/>
          <w:color w:val="auto"/>
          <w:sz w:val="32"/>
          <w:szCs w:val="32"/>
          <w:highlight w:val="none"/>
          <w:lang w:val="en-US" w:eastAsia="zh-CN"/>
        </w:rPr>
        <w:t>全力服务企业解决难题。完善</w:t>
      </w:r>
      <w:r>
        <w:rPr>
          <w:rFonts w:hint="eastAsia" w:ascii="Times New Roman" w:hAnsi="Times New Roman" w:eastAsia="仿宋_GB2312" w:cs="仿宋_GB2312"/>
          <w:sz w:val="32"/>
          <w:szCs w:val="32"/>
          <w:lang w:val="en-US" w:eastAsia="zh-CN"/>
        </w:rPr>
        <w:t>《东丽区政企通服务手册2.0》，通过政府门户网站、“津心办”APP、审批大厅屏幕播放及企业包联人送政策上门等方式，发放服务手册5000余册。加强对政企互通服务信息化平台服务企业相关数据的全面监测，截至目前，通过政企互通服务信息化平台共收集解决企业问题</w:t>
      </w:r>
      <w:r>
        <w:rPr>
          <w:rFonts w:hint="eastAsia" w:ascii="Times New Roman" w:hAnsi="Times New Roman" w:eastAsia="仿宋_GB2312" w:cs="仿宋_GB2312"/>
          <w:color w:val="auto"/>
          <w:sz w:val="32"/>
          <w:szCs w:val="32"/>
          <w:lang w:val="en-US" w:eastAsia="zh-CN"/>
        </w:rPr>
        <w:t>184个。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3.依法依规推进行政执法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lang w:val="en-US" w:eastAsia="zh-CN"/>
        </w:rPr>
      </w:pPr>
      <w:r>
        <w:rPr>
          <w:rFonts w:hint="eastAsia" w:ascii="Times New Roman" w:hAnsi="Times New Roman" w:eastAsia="仿宋_GB2312" w:cs="仿宋_GB2312"/>
          <w:b/>
          <w:bCs/>
          <w:color w:val="auto"/>
          <w:sz w:val="32"/>
          <w:szCs w:val="32"/>
          <w:lang w:val="en" w:eastAsia="zh-CN"/>
        </w:rPr>
        <w:t>一是加强执法队伍建设</w:t>
      </w:r>
      <w:r>
        <w:rPr>
          <w:rFonts w:hint="eastAsia" w:ascii="Times New Roman" w:hAnsi="Times New Roman" w:eastAsia="仿宋_GB2312" w:cs="仿宋_GB2312"/>
          <w:b w:val="0"/>
          <w:bCs w:val="0"/>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eastAsia="zh-CN"/>
        </w:rPr>
        <w:t>组织人员参加市发改委专业法律考试和司法局组织的公共发考试，新增</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 w:eastAsia="zh-CN"/>
        </w:rPr>
        <w:t>名执法人员，进一步充实执法力量。</w:t>
      </w:r>
      <w:r>
        <w:rPr>
          <w:rFonts w:hint="eastAsia" w:ascii="Times New Roman" w:hAnsi="Times New Roman" w:eastAsia="仿宋_GB2312" w:cs="仿宋_GB2312"/>
          <w:b/>
          <w:bCs/>
          <w:color w:val="auto"/>
          <w:sz w:val="32"/>
          <w:szCs w:val="32"/>
          <w:highlight w:val="none"/>
          <w:lang w:val="en-US" w:eastAsia="zh-CN"/>
        </w:rPr>
        <w:t>二是</w:t>
      </w:r>
      <w:r>
        <w:rPr>
          <w:rFonts w:hint="eastAsia" w:ascii="Times New Roman" w:hAnsi="Times New Roman" w:eastAsia="仿宋_GB2312" w:cs="仿宋_GB2312"/>
          <w:b w:val="0"/>
          <w:bCs w:val="0"/>
          <w:color w:val="auto"/>
          <w:sz w:val="32"/>
          <w:szCs w:val="32"/>
          <w:highlight w:val="none"/>
          <w:lang w:val="en-US" w:eastAsia="zh-CN"/>
        </w:rPr>
        <w:t>落实安全执法职责，</w:t>
      </w:r>
      <w:r>
        <w:rPr>
          <w:rFonts w:hint="eastAsia" w:ascii="Times New Roman" w:hAnsi="Times New Roman" w:eastAsia="仿宋_GB2312" w:cs="仿宋_GB2312"/>
          <w:b w:val="0"/>
          <w:bCs w:val="0"/>
          <w:color w:val="auto"/>
          <w:sz w:val="32"/>
          <w:szCs w:val="32"/>
          <w:lang w:val="en" w:eastAsia="zh-CN"/>
        </w:rPr>
        <w:t>严格落实“三项制</w:t>
      </w:r>
      <w:r>
        <w:rPr>
          <w:rFonts w:hint="eastAsia" w:ascii="Times New Roman" w:hAnsi="Times New Roman" w:eastAsia="仿宋_GB2312" w:cs="仿宋_GB2312"/>
          <w:b w:val="0"/>
          <w:bCs w:val="0"/>
          <w:color w:val="auto"/>
          <w:sz w:val="32"/>
          <w:szCs w:val="32"/>
          <w:highlight w:val="none"/>
          <w:lang w:val="en" w:eastAsia="zh-CN"/>
        </w:rPr>
        <w:t>度”</w:t>
      </w: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Regular"/>
          <w:color w:val="auto"/>
          <w:sz w:val="32"/>
          <w:szCs w:val="32"/>
          <w:highlight w:val="none"/>
          <w:u w:val="none"/>
          <w:lang w:val="en-US" w:eastAsia="zh-CN"/>
        </w:rPr>
        <w:t>组织部署东丽区</w:t>
      </w:r>
      <w:r>
        <w:rPr>
          <w:rFonts w:hint="default" w:ascii="Times New Roman" w:hAnsi="Times New Roman" w:eastAsia="仿宋_GB2312" w:cs="Times New Roman Regular"/>
          <w:sz w:val="32"/>
          <w:szCs w:val="32"/>
          <w:highlight w:val="none"/>
          <w:u w:val="none"/>
          <w:lang w:val="en-US" w:eastAsia="zh-CN"/>
        </w:rPr>
        <w:t>油气长输管道安全生产专项整治三年行动第三阶段工作，会同区应急局、工信局、住建委、城管委开展油气管道周边第三方违法施工隐患排查。</w:t>
      </w:r>
      <w:r>
        <w:rPr>
          <w:rFonts w:hint="eastAsia" w:ascii="Times New Roman" w:hAnsi="Times New Roman" w:eastAsia="仿宋_GB2312" w:cs="Times New Roman Regular"/>
          <w:sz w:val="32"/>
          <w:szCs w:val="32"/>
          <w:highlight w:val="none"/>
          <w:u w:val="none"/>
          <w:lang w:val="en-US" w:eastAsia="zh-CN"/>
        </w:rPr>
        <w:t>全年</w:t>
      </w:r>
      <w:r>
        <w:rPr>
          <w:rFonts w:hint="default" w:ascii="Times New Roman" w:hAnsi="Times New Roman" w:eastAsia="仿宋_GB2312" w:cs="Times New Roman Regular"/>
          <w:color w:val="auto"/>
          <w:sz w:val="32"/>
          <w:szCs w:val="32"/>
          <w:highlight w:val="none"/>
          <w:u w:val="none"/>
          <w:lang w:val="en-US" w:eastAsia="zh-CN"/>
        </w:rPr>
        <w:t>开展油气管道检查1</w:t>
      </w:r>
      <w:r>
        <w:rPr>
          <w:rFonts w:hint="eastAsia" w:ascii="Times New Roman" w:hAnsi="Times New Roman" w:eastAsia="仿宋_GB2312" w:cs="Times New Roman Regular"/>
          <w:color w:val="auto"/>
          <w:sz w:val="32"/>
          <w:szCs w:val="32"/>
          <w:highlight w:val="none"/>
          <w:u w:val="none"/>
          <w:lang w:val="en-US" w:eastAsia="zh-CN"/>
        </w:rPr>
        <w:t>5</w:t>
      </w:r>
      <w:r>
        <w:rPr>
          <w:rFonts w:hint="default" w:ascii="Times New Roman" w:hAnsi="Times New Roman" w:eastAsia="仿宋_GB2312" w:cs="Times New Roman Regular"/>
          <w:color w:val="auto"/>
          <w:sz w:val="32"/>
          <w:szCs w:val="32"/>
          <w:highlight w:val="none"/>
          <w:u w:val="none"/>
          <w:lang w:val="en-US" w:eastAsia="zh-CN"/>
        </w:rPr>
        <w:t>次，</w:t>
      </w:r>
      <w:r>
        <w:rPr>
          <w:rFonts w:hint="eastAsia" w:ascii="Times New Roman" w:hAnsi="Times New Roman" w:eastAsia="仿宋_GB2312" w:cs="Times New Roman Regular"/>
          <w:color w:val="auto"/>
          <w:sz w:val="32"/>
          <w:szCs w:val="32"/>
          <w:highlight w:val="none"/>
          <w:u w:val="none"/>
          <w:lang w:val="en-US" w:eastAsia="zh-CN"/>
        </w:rPr>
        <w:t>未</w:t>
      </w:r>
      <w:r>
        <w:rPr>
          <w:rFonts w:hint="default" w:ascii="Times New Roman" w:hAnsi="Times New Roman" w:eastAsia="仿宋_GB2312" w:cs="Times New Roman Regular"/>
          <w:color w:val="auto"/>
          <w:sz w:val="32"/>
          <w:szCs w:val="32"/>
          <w:highlight w:val="none"/>
          <w:u w:val="none"/>
          <w:lang w:val="en-US" w:eastAsia="zh-CN"/>
        </w:rPr>
        <w:t>发现风险隐患。</w:t>
      </w:r>
      <w:r>
        <w:rPr>
          <w:rFonts w:hint="default" w:ascii="Times New Roman" w:hAnsi="Times New Roman" w:eastAsia="仿宋_GB2312" w:cs="Times New Roman Regular"/>
          <w:sz w:val="32"/>
          <w:szCs w:val="32"/>
          <w:highlight w:val="none"/>
          <w:u w:val="none"/>
          <w:lang w:val="en-US" w:eastAsia="zh-CN"/>
        </w:rPr>
        <w:t>开展政策性粮食库存检查</w:t>
      </w:r>
      <w:r>
        <w:rPr>
          <w:rFonts w:hint="eastAsia" w:ascii="Times New Roman" w:hAnsi="Times New Roman" w:eastAsia="仿宋_GB2312" w:cs="Times New Roman Regular"/>
          <w:sz w:val="32"/>
          <w:szCs w:val="32"/>
          <w:highlight w:val="none"/>
          <w:u w:val="none"/>
          <w:lang w:val="en-US" w:eastAsia="zh-CN"/>
        </w:rPr>
        <w:t>，</w:t>
      </w:r>
      <w:r>
        <w:rPr>
          <w:rFonts w:hint="default" w:ascii="Times New Roman" w:hAnsi="Times New Roman" w:eastAsia="仿宋_GB2312" w:cs="Times New Roman Regular"/>
          <w:sz w:val="32"/>
          <w:szCs w:val="32"/>
          <w:highlight w:val="none"/>
          <w:u w:val="none"/>
          <w:lang w:val="en-US" w:eastAsia="zh-CN"/>
        </w:rPr>
        <w:t>于关键时间节点检查津东粮食直属库和</w:t>
      </w:r>
      <w:r>
        <w:rPr>
          <w:rFonts w:hint="default" w:ascii="Times New Roman" w:hAnsi="Times New Roman" w:eastAsia="仿宋_GB2312" w:cs="Times New Roman Regular"/>
          <w:color w:val="auto"/>
          <w:sz w:val="32"/>
          <w:szCs w:val="32"/>
          <w:highlight w:val="none"/>
          <w:u w:val="none"/>
          <w:lang w:val="en-US" w:eastAsia="zh-CN"/>
        </w:rPr>
        <w:t>利达物流分公司，</w:t>
      </w:r>
      <w:r>
        <w:rPr>
          <w:rFonts w:hint="eastAsia" w:ascii="Times New Roman" w:hAnsi="Times New Roman" w:eastAsia="仿宋_GB2312" w:cs="Times New Roman Regular"/>
          <w:color w:val="auto"/>
          <w:sz w:val="32"/>
          <w:szCs w:val="32"/>
          <w:highlight w:val="none"/>
          <w:u w:val="none"/>
          <w:lang w:val="en-US" w:eastAsia="zh-CN"/>
        </w:rPr>
        <w:t>全年开展</w:t>
      </w:r>
      <w:r>
        <w:rPr>
          <w:rFonts w:hint="default" w:ascii="Times New Roman" w:hAnsi="Times New Roman" w:eastAsia="仿宋_GB2312" w:cs="Times New Roman Regular"/>
          <w:color w:val="auto"/>
          <w:sz w:val="32"/>
          <w:szCs w:val="32"/>
          <w:highlight w:val="none"/>
          <w:u w:val="none"/>
          <w:lang w:val="en-US" w:eastAsia="zh-CN"/>
        </w:rPr>
        <w:t>检查</w:t>
      </w:r>
      <w:r>
        <w:rPr>
          <w:rFonts w:hint="eastAsia" w:ascii="Times New Roman" w:hAnsi="Times New Roman" w:eastAsia="仿宋_GB2312" w:cs="Times New Roman Regular"/>
          <w:color w:val="auto"/>
          <w:sz w:val="32"/>
          <w:szCs w:val="32"/>
          <w:highlight w:val="none"/>
          <w:u w:val="none"/>
          <w:lang w:val="en-US" w:eastAsia="zh-CN"/>
        </w:rPr>
        <w:t>17</w:t>
      </w:r>
      <w:r>
        <w:rPr>
          <w:rFonts w:hint="default" w:ascii="Times New Roman" w:hAnsi="Times New Roman" w:eastAsia="仿宋_GB2312" w:cs="Times New Roman Regular"/>
          <w:color w:val="auto"/>
          <w:sz w:val="32"/>
          <w:szCs w:val="32"/>
          <w:highlight w:val="none"/>
          <w:u w:val="none"/>
          <w:lang w:val="en-US" w:eastAsia="zh-CN"/>
        </w:rPr>
        <w:t>次，排查隐患5处均</w:t>
      </w:r>
      <w:r>
        <w:rPr>
          <w:rFonts w:hint="eastAsia" w:ascii="Times New Roman" w:hAnsi="Times New Roman" w:eastAsia="仿宋_GB2312" w:cs="Times New Roman Regular"/>
          <w:color w:val="auto"/>
          <w:sz w:val="32"/>
          <w:szCs w:val="32"/>
          <w:highlight w:val="none"/>
          <w:u w:val="none"/>
          <w:lang w:val="en-US" w:eastAsia="zh-CN"/>
        </w:rPr>
        <w:t>已整改完成</w:t>
      </w:r>
      <w:r>
        <w:rPr>
          <w:rFonts w:hint="default" w:ascii="Times New Roman" w:hAnsi="Times New Roman" w:eastAsia="仿宋_GB2312" w:cs="Times New Roman Regular"/>
          <w:color w:val="auto"/>
          <w:sz w:val="32"/>
          <w:szCs w:val="32"/>
          <w:highlight w:val="none"/>
          <w:u w:val="none"/>
          <w:lang w:val="en-US" w:eastAsia="zh-CN"/>
        </w:rPr>
        <w:t>。联合区财政局、农发行东丽支行制定《东丽区2021年政策性</w:t>
      </w:r>
      <w:r>
        <w:rPr>
          <w:rFonts w:hint="default" w:ascii="Times New Roman" w:hAnsi="Times New Roman" w:eastAsia="仿宋_GB2312" w:cs="Times New Roman Regular"/>
          <w:sz w:val="32"/>
          <w:szCs w:val="32"/>
          <w:highlight w:val="none"/>
          <w:u w:val="none"/>
          <w:lang w:val="en-US" w:eastAsia="zh-CN"/>
        </w:rPr>
        <w:t>粮食库存检查工作实施方案》，圆满完成跨区检查任务。经查，各级储备粮粮情稳定、质量良好、储存安全，未发现违法违规问题。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三、下一步工作措施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bCs/>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1.加强学习培训，提高意识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落实“八五”普法要求，丰富学法用</w:t>
      </w:r>
      <w:r>
        <w:rPr>
          <w:rFonts w:hint="eastAsia" w:ascii="Times New Roman" w:hAnsi="Times New Roman" w:eastAsia="仿宋_GB2312" w:cs="仿宋_GB2312"/>
          <w:color w:val="auto"/>
          <w:kern w:val="0"/>
          <w:sz w:val="32"/>
          <w:szCs w:val="32"/>
          <w:highlight w:val="none"/>
          <w:lang w:val="en-US" w:eastAsia="zh-CN" w:bidi="ar"/>
        </w:rPr>
        <w:t>法方式方法，党</w:t>
      </w:r>
      <w:r>
        <w:rPr>
          <w:rFonts w:hint="eastAsia" w:ascii="Times New Roman" w:hAnsi="Times New Roman" w:eastAsia="仿宋_GB2312" w:cs="仿宋_GB2312"/>
          <w:color w:val="auto"/>
          <w:kern w:val="0"/>
          <w:sz w:val="32"/>
          <w:szCs w:val="32"/>
          <w:lang w:val="en-US" w:eastAsia="zh-CN" w:bidi="ar"/>
        </w:rPr>
        <w:t>组发挥“头雁”作用，理论中心组“带头学”，党员大会、全体会夯实基础，全员参与“集体学”，旁听相关庭审、学习实例以案等，结合实际“创新学”，形成“学-思-行-学”闭环。邀请法律顾问开展答疑式法条解读，更好地将学习成果同工作有针对性结合，持续提高学法用法意识。充分利用各类宣传载体，全方位、多形式开展法治宣传工作，通过宣传栏、工作群、网络媒体等形式多角度开展宣传活动。坚持法治宣传教育与法治实践相结合，以《宪法》《民法典》为重点，以“八五”普法教育教育为载体，开展法治宣传活动，增强干部群众尊法学法守法用法意识，为法治政府建设营造良好氛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bCs/>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2.配强法治力量，加大保障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s="仿宋_GB2312"/>
          <w:b/>
          <w:bCs/>
          <w:color w:val="auto"/>
          <w:kern w:val="0"/>
          <w:sz w:val="32"/>
          <w:szCs w:val="32"/>
          <w:lang w:val="en-US" w:eastAsia="zh-CN" w:bidi="ar"/>
        </w:rPr>
        <w:t>一是</w:t>
      </w:r>
      <w:r>
        <w:rPr>
          <w:rFonts w:hint="eastAsia" w:ascii="Times New Roman" w:hAnsi="Times New Roman" w:eastAsia="仿宋_GB2312" w:cs="仿宋_GB2312"/>
          <w:color w:val="auto"/>
          <w:kern w:val="0"/>
          <w:sz w:val="32"/>
          <w:szCs w:val="32"/>
          <w:lang w:val="en-US" w:eastAsia="zh-CN" w:bidi="ar"/>
        </w:rPr>
        <w:t>引导党员干部参加法律培训及考试，鼓励更多干部取得执法证件，提升全委人员综合法律素养，对聘请的法律顾问进行绩效评估，督促其在法律宣讲、法律咨询等重要工作中发挥重要作用，内外结合保障区发改委执法力量。</w:t>
      </w:r>
      <w:r>
        <w:rPr>
          <w:rFonts w:hint="eastAsia" w:ascii="Times New Roman" w:hAnsi="Times New Roman" w:eastAsia="仿宋_GB2312" w:cs="仿宋_GB2312"/>
          <w:b/>
          <w:bCs/>
          <w:color w:val="auto"/>
          <w:kern w:val="0"/>
          <w:sz w:val="32"/>
          <w:szCs w:val="32"/>
          <w:lang w:val="en-US" w:eastAsia="zh-CN" w:bidi="ar"/>
        </w:rPr>
        <w:t>二是</w:t>
      </w:r>
      <w:r>
        <w:rPr>
          <w:rFonts w:hint="eastAsia" w:ascii="Times New Roman" w:hAnsi="Times New Roman" w:eastAsia="仿宋_GB2312" w:cs="仿宋_GB2312"/>
          <w:color w:val="auto"/>
          <w:kern w:val="0"/>
          <w:sz w:val="32"/>
          <w:szCs w:val="32"/>
          <w:lang w:val="en-US" w:eastAsia="zh-CN" w:bidi="ar"/>
        </w:rPr>
        <w:t>将</w:t>
      </w:r>
      <w:r>
        <w:rPr>
          <w:rFonts w:ascii="Times New Roman" w:hAnsi="Times New Roman" w:eastAsia="仿宋_GB2312" w:cs="Times New Roman"/>
          <w:sz w:val="32"/>
          <w:szCs w:val="32"/>
        </w:rPr>
        <w:t>法治教育纳入干部教育培训总体规划,切实提高领导干部和工作人员自觉守法、依法办事的意识和能力。</w:t>
      </w:r>
      <w:r>
        <w:rPr>
          <w:rFonts w:hint="eastAsia" w:ascii="Times New Roman" w:hAnsi="Times New Roman" w:eastAsia="仿宋_GB2312"/>
          <w:sz w:val="32"/>
          <w:szCs w:val="32"/>
        </w:rPr>
        <w:t>各执法科室落实行政执法公示、执法全程记录、重大执法决定法治审核的“三项制度”。</w:t>
      </w:r>
      <w:r>
        <w:rPr>
          <w:rFonts w:hint="eastAsia" w:ascii="Times New Roman" w:hAnsi="Times New Roman" w:eastAsia="仿宋_GB2312"/>
          <w:sz w:val="32"/>
          <w:szCs w:val="32"/>
          <w:lang w:eastAsia="zh-CN"/>
        </w:rPr>
        <w:t>建立完善执法人员库和执法对象信息库，</w:t>
      </w:r>
      <w:r>
        <w:rPr>
          <w:rFonts w:hint="eastAsia" w:ascii="Times New Roman" w:hAnsi="Times New Roman" w:eastAsia="仿宋_GB2312"/>
          <w:sz w:val="32"/>
          <w:szCs w:val="32"/>
        </w:rPr>
        <w:t>提高行政执法队伍正规化、专业化，推进高素质法治工作队伍建设，打造自身依法治区精干</w:t>
      </w:r>
      <w:r>
        <w:rPr>
          <w:rFonts w:hint="eastAsia" w:ascii="Times New Roman" w:hAnsi="Times New Roman" w:eastAsia="仿宋_GB2312" w:cs="Times New Roman"/>
          <w:sz w:val="32"/>
          <w:szCs w:val="32"/>
          <w:lang w:eastAsia="zh-CN"/>
        </w:rPr>
        <w:t>力量。</w:t>
      </w: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olor w:val="auto"/>
          <w:sz w:val="32"/>
          <w:szCs w:val="32"/>
          <w:lang w:eastAsia="zh-CN"/>
        </w:rPr>
        <w:t>坚持严格规范公正文明执法，</w:t>
      </w:r>
      <w:r>
        <w:rPr>
          <w:rFonts w:hint="eastAsia" w:ascii="Times New Roman" w:hAnsi="Times New Roman" w:eastAsia="仿宋_GB2312" w:cs="Times New Roman"/>
          <w:sz w:val="32"/>
          <w:szCs w:val="32"/>
        </w:rPr>
        <w:t>继续做好本部门执法平台维护与监督工作，积极运用法治思维、法治方式、法治手段，着力营造</w:t>
      </w:r>
      <w:r>
        <w:rPr>
          <w:rFonts w:hint="eastAsia" w:ascii="Times New Roman" w:hAnsi="Times New Roman" w:eastAsia="仿宋_GB2312"/>
          <w:color w:val="auto"/>
          <w:sz w:val="32"/>
          <w:szCs w:val="32"/>
          <w:lang w:eastAsia="zh-CN"/>
        </w:rPr>
        <w:t>公平市场环境，维护群众合法权益。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eastAsia="zh-CN"/>
        </w:rPr>
        <w:t>3.抓好法治政府建设，落实任务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val="en-US" w:eastAsia="zh-CN"/>
        </w:rPr>
        <w:t>一是</w:t>
      </w:r>
      <w:r>
        <w:rPr>
          <w:rFonts w:hint="eastAsia" w:ascii="Times New Roman" w:hAnsi="Times New Roman" w:eastAsia="仿宋_GB2312"/>
          <w:b w:val="0"/>
          <w:bCs w:val="0"/>
          <w:color w:val="auto"/>
          <w:sz w:val="32"/>
          <w:szCs w:val="32"/>
          <w:lang w:val="en-US" w:eastAsia="zh-CN"/>
        </w:rPr>
        <w:t>主要负责同志认真履行好第一责任人职责。将法治政府建设纳入年度工作要点，与经济社会发展工作同部署、同推进、同督促。</w:t>
      </w:r>
      <w:r>
        <w:rPr>
          <w:rFonts w:hint="eastAsia" w:ascii="Times New Roman" w:hAnsi="Times New Roman" w:eastAsia="仿宋_GB2312"/>
          <w:b/>
          <w:bCs/>
          <w:color w:val="auto"/>
          <w:sz w:val="32"/>
          <w:szCs w:val="32"/>
          <w:lang w:val="en-US" w:eastAsia="zh-CN"/>
        </w:rPr>
        <w:t>二是</w:t>
      </w:r>
      <w:r>
        <w:rPr>
          <w:rFonts w:hint="eastAsia" w:ascii="Times New Roman" w:hAnsi="Times New Roman" w:eastAsia="仿宋_GB2312"/>
          <w:color w:val="auto"/>
          <w:sz w:val="32"/>
          <w:szCs w:val="32"/>
          <w:lang w:val="en-US" w:eastAsia="zh-CN"/>
        </w:rPr>
        <w:t>助力法治营商环境优化提升。持续推进“信易贷”平台注册及信用承诺书归集，</w:t>
      </w:r>
      <w:r>
        <w:rPr>
          <w:rFonts w:hint="eastAsia" w:ascii="Times New Roman" w:hAnsi="Times New Roman" w:eastAsia="仿宋_GB2312"/>
          <w:color w:val="auto"/>
          <w:sz w:val="32"/>
          <w:szCs w:val="32"/>
          <w:lang w:eastAsia="zh-CN"/>
        </w:rPr>
        <w:t>不断完善“信用+东丽”经济模型和展现形式。加大重点领域、重大创新应用案例的宣传报道力度，努力营造“人人讲诚信，事事守信用”的浓厚舆论氛围。</w:t>
      </w:r>
      <w:r>
        <w:rPr>
          <w:rFonts w:hint="eastAsia" w:ascii="Times New Roman" w:hAnsi="Times New Roman" w:eastAsia="仿宋_GB2312"/>
          <w:b/>
          <w:bCs/>
          <w:color w:val="auto"/>
          <w:sz w:val="32"/>
          <w:szCs w:val="32"/>
          <w:lang w:eastAsia="zh-CN"/>
        </w:rPr>
        <w:t>三是</w:t>
      </w:r>
      <w:r>
        <w:rPr>
          <w:rFonts w:hint="eastAsia" w:ascii="Times New Roman" w:hAnsi="Times New Roman" w:eastAsia="仿宋_GB2312"/>
          <w:color w:val="auto"/>
          <w:sz w:val="32"/>
          <w:szCs w:val="32"/>
          <w:lang w:eastAsia="zh-CN"/>
        </w:rPr>
        <w:t>加强长输油气管道安全保护工作。深入开展东丽区油气长输管道安全专项整治三年行动，严格按照《油气长输管道安全专项整治三年行动实施方案》，紧密联系各相关部门，扎实推进油气长输管道安全治理体系和治理能力现代化。</w:t>
      </w:r>
      <w:r>
        <w:rPr>
          <w:rFonts w:hint="eastAsia" w:ascii="Times New Roman" w:hAnsi="Times New Roman" w:eastAsia="仿宋_GB2312"/>
          <w:b/>
          <w:bCs/>
          <w:color w:val="auto"/>
          <w:sz w:val="32"/>
          <w:szCs w:val="32"/>
          <w:lang w:eastAsia="zh-CN"/>
        </w:rPr>
        <w:t>四是</w:t>
      </w:r>
      <w:r>
        <w:rPr>
          <w:rFonts w:hint="eastAsia" w:ascii="Times New Roman" w:hAnsi="Times New Roman" w:eastAsia="仿宋_GB2312"/>
          <w:color w:val="auto"/>
          <w:sz w:val="32"/>
          <w:szCs w:val="32"/>
          <w:lang w:eastAsia="zh-CN"/>
        </w:rPr>
        <w:t>按照区政府部署，逐级压实粮食安全区长责任制责任，对照考核标准，逐项研究，仔细梳理，及时发现工作中的漏项、弱项，及时跟进整改，堵塞漏洞，保证目标任务落实到位。严格采取“双随机一公开”要求，开展粮食收购市场监督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olor w:val="auto"/>
          <w:sz w:val="32"/>
          <w:szCs w:val="32"/>
          <w:lang w:eastAsia="zh-CN"/>
        </w:rPr>
      </w:pPr>
    </w:p>
    <w:p>
      <w:pPr>
        <w:rPr>
          <w:rFonts w:hint="eastAsia" w:ascii="Times New Roman" w:hAnsi="Times New Roman" w:eastAsia="仿宋_GB2312"/>
          <w:color w:val="auto"/>
          <w:sz w:val="32"/>
          <w:szCs w:val="32"/>
          <w:lang w:eastAsia="zh-CN"/>
        </w:rPr>
      </w:pPr>
    </w:p>
    <w:p>
      <w:pPr>
        <w:pStyle w:val="2"/>
        <w:rPr>
          <w:rFonts w:hint="eastAsia" w:ascii="Times New Roman" w:hAnsi="Times New Roman" w:eastAsia="仿宋_GB2312"/>
          <w:color w:val="auto"/>
          <w:sz w:val="32"/>
          <w:szCs w:val="32"/>
          <w:lang w:eastAsia="zh-CN"/>
        </w:rPr>
      </w:pPr>
    </w:p>
    <w:p>
      <w:pPr>
        <w:rPr>
          <w:rFonts w:hint="eastAsia" w:ascii="Times New Roman" w:hAnsi="Times New Roman" w:eastAsia="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东丽区发改委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imes New Roman" w:hAnsi="Times New Roman" w:eastAsia="仿宋_GB2312"/>
          <w:color w:val="auto"/>
          <w:sz w:val="32"/>
          <w:szCs w:val="32"/>
          <w:lang w:val="en-US" w:eastAsia="zh-CN"/>
        </w:rPr>
        <w:t xml:space="preserve">                              2021年12月20日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PAGE  \* MERGEFORMAT </w:instrText>
                          </w:r>
                          <w:r>
                            <w:rPr>
                              <w:rFonts w:hint="default" w:ascii="Tahoma" w:hAnsi="Tahoma" w:cs="Tahoma"/>
                              <w:sz w:val="24"/>
                              <w:szCs w:val="24"/>
                            </w:rPr>
                            <w:fldChar w:fldCharType="separate"/>
                          </w:r>
                          <w:r>
                            <w:rPr>
                              <w:rFonts w:hint="default" w:ascii="Tahoma" w:hAnsi="Tahoma" w:cs="Tahoma"/>
                              <w:sz w:val="24"/>
                              <w:szCs w:val="24"/>
                            </w:rPr>
                            <w:t>1</w:t>
                          </w:r>
                          <w:r>
                            <w:rPr>
                              <w:rFonts w:hint="default" w:ascii="Tahoma" w:hAnsi="Tahoma" w:cs="Tahom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PAGE  \* MERGEFORMAT </w:instrText>
                    </w:r>
                    <w:r>
                      <w:rPr>
                        <w:rFonts w:hint="default" w:ascii="Tahoma" w:hAnsi="Tahoma" w:cs="Tahoma"/>
                        <w:sz w:val="24"/>
                        <w:szCs w:val="24"/>
                      </w:rPr>
                      <w:fldChar w:fldCharType="separate"/>
                    </w:r>
                    <w:r>
                      <w:rPr>
                        <w:rFonts w:hint="default" w:ascii="Tahoma" w:hAnsi="Tahoma" w:cs="Tahoma"/>
                        <w:sz w:val="24"/>
                        <w:szCs w:val="24"/>
                      </w:rPr>
                      <w:t>1</w:t>
                    </w:r>
                    <w:r>
                      <w:rPr>
                        <w:rFonts w:hint="default" w:ascii="Tahoma" w:hAnsi="Tahoma" w:cs="Tahom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jMwYjc4NjFhZWFmYzRjZmZiODM3YjZlZWZiN2IifQ=="/>
  </w:docVars>
  <w:rsids>
    <w:rsidRoot w:val="73A54084"/>
    <w:rsid w:val="04A20FFA"/>
    <w:rsid w:val="07FE2B6F"/>
    <w:rsid w:val="0A546A76"/>
    <w:rsid w:val="19526877"/>
    <w:rsid w:val="1B544B28"/>
    <w:rsid w:val="1B920372"/>
    <w:rsid w:val="200E23F1"/>
    <w:rsid w:val="20DC9D8F"/>
    <w:rsid w:val="26445799"/>
    <w:rsid w:val="27CB7F20"/>
    <w:rsid w:val="2E3C5ECD"/>
    <w:rsid w:val="2E7562A3"/>
    <w:rsid w:val="2F7B0D40"/>
    <w:rsid w:val="316118F5"/>
    <w:rsid w:val="34B50694"/>
    <w:rsid w:val="38D96215"/>
    <w:rsid w:val="39423DBA"/>
    <w:rsid w:val="3B762441"/>
    <w:rsid w:val="3BEC3D14"/>
    <w:rsid w:val="3F6FE438"/>
    <w:rsid w:val="403526E5"/>
    <w:rsid w:val="45737DD1"/>
    <w:rsid w:val="520B2AC6"/>
    <w:rsid w:val="53D86CD6"/>
    <w:rsid w:val="54B83515"/>
    <w:rsid w:val="56E01AC1"/>
    <w:rsid w:val="57CA34A1"/>
    <w:rsid w:val="5DE83344"/>
    <w:rsid w:val="5FF158E0"/>
    <w:rsid w:val="63320EC8"/>
    <w:rsid w:val="677020A9"/>
    <w:rsid w:val="69D106BF"/>
    <w:rsid w:val="729225B1"/>
    <w:rsid w:val="73A54084"/>
    <w:rsid w:val="76DC5C9A"/>
    <w:rsid w:val="76EF2229"/>
    <w:rsid w:val="773529C3"/>
    <w:rsid w:val="77FAD655"/>
    <w:rsid w:val="7D7EE7AA"/>
    <w:rsid w:val="7DEFBFB9"/>
    <w:rsid w:val="AFD7BE6C"/>
    <w:rsid w:val="BFFF3EBB"/>
    <w:rsid w:val="F7DD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2021-12-18T09:00:00Z</dcterms:created>
  <dc:creator>pc</dc:creator>
  <cp:lastModifiedBy>咖啡伴侣</cp:lastModifiedBy>
  <cp:lastPrinted>2021-12-27T15:18:00Z</cp:lastPrinted>
  <dcterms:modified xsi:type="dcterms:W3CDTF">2024-04-29T09:52:09Z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8C117CFAF71C4000821E734CA51774DB</vt:lpwstr>
  </property>
</Properties>
</file>