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8"/>
        </w:rPr>
      </w:pPr>
      <w:r>
        <w:rPr>
          <w:rFonts w:ascii="Times New Roman" w:hAnsi="Times New Roman" w:eastAsia="方正小标宋简体" w:cs="Times New Roman"/>
          <w:sz w:val="44"/>
          <w:szCs w:val="48"/>
        </w:rPr>
        <w:t>金桥街2024年法治政府建设年度报告</w:t>
      </w:r>
    </w:p>
    <w:p>
      <w:pPr>
        <w:spacing w:line="560" w:lineRule="exact"/>
        <w:rPr>
          <w:rFonts w:ascii="Times New Roman" w:hAnsi="Times New Roman" w:eastAsia="仿宋_GB2312" w:cs="Times New Roman"/>
          <w:sz w:val="32"/>
          <w:szCs w:val="32"/>
        </w:rPr>
      </w:pPr>
    </w:p>
    <w:p>
      <w:pPr>
        <w:spacing w:line="560" w:lineRule="exact"/>
        <w:ind w:firstLine="640"/>
        <w:jc w:val="left"/>
        <w:rPr>
          <w:rFonts w:ascii="Times New Roman" w:hAnsi="Times New Roman" w:eastAsia="仿宋_GB2312" w:cs="Times New Roman"/>
          <w:bCs/>
          <w:sz w:val="32"/>
          <w:szCs w:val="32"/>
          <w:lang w:val="en"/>
        </w:rPr>
      </w:pPr>
      <w:r>
        <w:rPr>
          <w:rFonts w:ascii="Times New Roman" w:hAnsi="Times New Roman" w:eastAsia="仿宋_GB2312" w:cs="Times New Roman"/>
          <w:bCs/>
          <w:sz w:val="32"/>
          <w:szCs w:val="32"/>
          <w:lang w:val="en"/>
        </w:rPr>
        <w:t>金桥街坚持以习近平新时代中国特色社会主义思想为指导，根据《天津市法治政府建设实施纲要（2021-2025年）》内容，全面贯彻党的二十大和二十届三中全会精神，深入贯彻落实习近平法治思想，认真贯彻落实习近平总书记视察天津重要讲话和对天津工作作出的重要指示精神，持续全面推进法治政府建设，</w:t>
      </w:r>
      <w:r>
        <w:rPr>
          <w:rFonts w:ascii="Times New Roman" w:hAnsi="Times New Roman" w:eastAsia="仿宋_GB2312" w:cs="Times New Roman"/>
          <w:bCs/>
          <w:sz w:val="32"/>
          <w:szCs w:val="32"/>
        </w:rPr>
        <w:t>现将具体情况报告如下：</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一、主要举措和成效</w:t>
      </w:r>
    </w:p>
    <w:p>
      <w:pPr>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（一）深入学习贯彻落实习近平法治思想，加快推进法治政府建设</w:t>
      </w:r>
    </w:p>
    <w:p>
      <w:pPr>
        <w:spacing w:line="560" w:lineRule="exact"/>
        <w:ind w:firstLine="640" w:firstLineChars="200"/>
        <w:rPr>
          <w:rFonts w:ascii="Times New Roman" w:hAnsi="Times New Roman" w:eastAsia="仿宋_GB2312" w:cs="Times New Roman"/>
          <w:bCs/>
          <w:color w:val="FF0000"/>
          <w:sz w:val="32"/>
          <w:szCs w:val="32"/>
        </w:rPr>
      </w:pPr>
      <w:r>
        <w:rPr>
          <w:rFonts w:ascii="Times New Roman" w:hAnsi="Times New Roman" w:eastAsia="仿宋_GB2312" w:cs="Times New Roman"/>
          <w:bCs/>
          <w:sz w:val="32"/>
          <w:szCs w:val="32"/>
        </w:rPr>
        <w:t>金桥街将习近平法治思想纳入党工委理论学习中心组学习、党组织“三会一课”、党员干部教育培训重要内容。本年度重点学习了《习近平关于全面加强党的纪律建设论述摘编》《中国共产党纪律处分条例》《维护社会稳定责任制规定》《关于用好违纪行为典型案例的通知》《深入学习贯彻习近平法治思想 以法治助推中国式现代化》《习近平在中共中央政治局第十一次集体学习时强调加快发展新质生产力 扎实推进高质量发展》《中共中央国务院关于学习运用“千村示范、万村整治”工程经验有力有效推进乡村全面振兴的意见》等重要文件著作。围绕习近平法治思想开展交流研讨，充分发挥领导干部“关键少数”作用，带头尊崇、敬畏、了解、掌握法治意识，带头树牢法治思维，带头提升依法行政能力、严格依法行政，自觉接受全方位监督，做尊法学法守法用法的模范，扎实推动法治政府建设各项任务落地见效。</w:t>
      </w:r>
    </w:p>
    <w:p>
      <w:pPr>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（二）持续优化营商环境，护航高质量发展</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为贯彻落实国务院《提升行政执法质量三年行动计划（2023-2025年）》和全市工作要求，金桥街组织召开涉企检查事项专项清理工作部署会，</w:t>
      </w:r>
      <w:r>
        <w:rPr>
          <w:rFonts w:hint="eastAsia" w:ascii="Times New Roman" w:hAnsi="Times New Roman" w:eastAsia="仿宋_GB2312" w:cs="Times New Roman"/>
          <w:bCs/>
          <w:sz w:val="32"/>
          <w:szCs w:val="32"/>
        </w:rPr>
        <w:t>要求尽量采用联合检查方式，减少检查频次，为企业减轻负担。</w:t>
      </w:r>
      <w:r>
        <w:rPr>
          <w:rFonts w:ascii="Times New Roman" w:hAnsi="Times New Roman" w:eastAsia="仿宋_GB2312" w:cs="Times New Roman"/>
          <w:bCs/>
          <w:sz w:val="32"/>
          <w:szCs w:val="32"/>
        </w:rPr>
        <w:t>重点确定了在社会关注度高、关系老百姓切身利益和安全的食品企业、娱乐场所、燃气企业3个方面开展联合检查。全面纠治涉企行政执法领域突出问题，切实保护经营主体合法权益，促进市场公平竞争，持续优化营商环境。完善街道党工委、办事处议事暨“三重一大”决策规则和集体经济组织“四议两公开”程序</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发挥法律顾问参谋助手作用，履行重大行政决策程序审核职能，确保重大行政决策的科学性、合法性。法律顾问参与审核合同、协议16件，参与信访接待15件，</w:t>
      </w:r>
      <w:r>
        <w:rPr>
          <w:rFonts w:hint="eastAsia" w:ascii="Times New Roman" w:hAnsi="Times New Roman" w:eastAsia="仿宋_GB2312" w:cs="Times New Roman"/>
          <w:bCs/>
          <w:sz w:val="32"/>
          <w:szCs w:val="32"/>
        </w:rPr>
        <w:t>对重大行政决策提出专业法律意见12件，</w:t>
      </w:r>
      <w:r>
        <w:rPr>
          <w:rFonts w:ascii="Times New Roman" w:hAnsi="Times New Roman" w:eastAsia="仿宋_GB2312" w:cs="Times New Roman"/>
          <w:bCs/>
          <w:sz w:val="32"/>
          <w:szCs w:val="32"/>
        </w:rPr>
        <w:t>确保重大决策程序、内容、实施和监督合法合规。</w:t>
      </w:r>
    </w:p>
    <w:p>
      <w:pPr>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（三）坚持依法</w:t>
      </w:r>
      <w:r>
        <w:rPr>
          <w:rFonts w:hint="eastAsia" w:ascii="Times New Roman" w:hAnsi="Times New Roman" w:eastAsia="楷体_GB2312" w:cs="Times New Roman"/>
          <w:bCs/>
          <w:sz w:val="32"/>
          <w:szCs w:val="32"/>
        </w:rPr>
        <w:t>行</w:t>
      </w:r>
      <w:r>
        <w:rPr>
          <w:rFonts w:ascii="Times New Roman" w:hAnsi="Times New Roman" w:eastAsia="楷体_GB2312" w:cs="Times New Roman"/>
          <w:bCs/>
          <w:sz w:val="32"/>
          <w:szCs w:val="32"/>
        </w:rPr>
        <w:t>政，保障城市治理现代化</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是深化依法依规履职尽责，加强诉源治理，力争将行政争议化解在行政机关内部。研究制定实质性化解方案，进一步推进实质性化解行政争议各项工作取得实效。积极做好群众解释工作，通过诉前、诉中调解等方式减少行政立案。二是出庭应诉人员通过扎扎实实地研究案情，不断提高应对行政诉讼的能力和水平。出庭应诉时，就实质性解决行政争议发表意见，提高行政机关应诉能力和担当意识，树立行政机关在诉讼中的良好形象。三是加大对各类违法问题的执法力度。多次梳理行政执法授权事项，每季度开展案卷评查工作，确保执法过程文明规范，案件程序合法，处罚适当。配合做好河道清理、安全检查等联合执法活动17次。四是要求在</w:t>
      </w:r>
      <w:r>
        <w:rPr>
          <w:rFonts w:hint="eastAsia" w:ascii="Times New Roman" w:hAnsi="Times New Roman" w:eastAsia="仿宋_GB2312" w:cs="Times New Roman"/>
          <w:bCs/>
          <w:sz w:val="32"/>
          <w:szCs w:val="32"/>
          <w:lang w:eastAsia="zh-CN"/>
        </w:rPr>
        <w:t>作出</w:t>
      </w:r>
      <w:r>
        <w:rPr>
          <w:rFonts w:ascii="Times New Roman" w:hAnsi="Times New Roman" w:eastAsia="仿宋_GB2312" w:cs="Times New Roman"/>
          <w:bCs/>
          <w:sz w:val="32"/>
          <w:szCs w:val="32"/>
        </w:rPr>
        <w:t>重大行政决定前，要报送法制部门进行法制审核，未经法制审核或审核未通过的，不得作出相应的行政决定。</w:t>
      </w:r>
    </w:p>
    <w:p>
      <w:pPr>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（四）严格执法主体管理，落实行政执法“三项制度”</w:t>
      </w:r>
    </w:p>
    <w:p>
      <w:pPr>
        <w:adjustRightInd w:val="0"/>
        <w:snapToGrid w:val="0"/>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是加强执法队伍建设，对照查摆执法工作中的风险点，持续开展法治培训、警示教育、谈心谈话，并重新修订完善工作准则、岗位职责、队伍建设、队务管理、业务管理等29项规章制度。二是全面开展行政执法人员全国统一行政执法证件换证工作，确保行政执法证件管理到位，为依法执法提供了基础保障。三是组织参加行政执法资格考试，实现应考尽考，今年新增执法证持证人员4人。组织各科室参加网上学法用法培训及考核。四是对执法人员就行政处罚案件适用程序及办案期限、期间计算等相关问题作出工作提醒。同时，及时学习研究新修订的《</w:t>
      </w:r>
      <w:r>
        <w:rPr>
          <w:rFonts w:hint="eastAsia" w:ascii="Times New Roman" w:hAnsi="Times New Roman" w:eastAsia="仿宋_GB2312" w:cs="Times New Roman"/>
          <w:bCs/>
          <w:sz w:val="32"/>
          <w:szCs w:val="32"/>
          <w:lang w:eastAsia="zh-CN"/>
        </w:rPr>
        <w:t>中华人民共和国</w:t>
      </w:r>
      <w:r>
        <w:rPr>
          <w:rFonts w:ascii="Times New Roman" w:hAnsi="Times New Roman" w:eastAsia="仿宋_GB2312" w:cs="Times New Roman"/>
          <w:bCs/>
          <w:sz w:val="32"/>
          <w:szCs w:val="32"/>
        </w:rPr>
        <w:t>行政复议法》，以适应法律规章的变化。五是要求执法人员进一步加强行政执法“三项制度”工作，全面落实行政执法“三项制度”工作要求。严格落实重大行政执法决定法制审核制度，对重大行政决</w:t>
      </w:r>
      <w:r>
        <w:rPr>
          <w:rFonts w:hint="eastAsia" w:ascii="Times New Roman" w:hAnsi="Times New Roman" w:eastAsia="仿宋_GB2312" w:cs="Times New Roman"/>
          <w:bCs/>
          <w:sz w:val="32"/>
          <w:szCs w:val="32"/>
        </w:rPr>
        <w:t>定</w:t>
      </w:r>
      <w:r>
        <w:rPr>
          <w:rFonts w:ascii="Times New Roman" w:hAnsi="Times New Roman" w:eastAsia="仿宋_GB2312" w:cs="Times New Roman"/>
          <w:bCs/>
          <w:sz w:val="32"/>
          <w:szCs w:val="32"/>
        </w:rPr>
        <w:t>进行备案审核。</w:t>
      </w:r>
    </w:p>
    <w:p>
      <w:pPr>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（五）深入推进法治社会建设，开</w:t>
      </w:r>
      <w:r>
        <w:rPr>
          <w:rFonts w:ascii="Times New Roman" w:hAnsi="Times New Roman" w:eastAsia="楷体_GB2312" w:cs="Times New Roman"/>
          <w:sz w:val="32"/>
          <w:szCs w:val="32"/>
        </w:rPr>
        <w:t>展法治政府建设宣传培训</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6"/>
        </w:rPr>
        <w:t>为坚持和发展新时代“枫桥经验”，提升基层干部化解矛盾纠纷能力，完成怡盛里“亚楠调解室”试点筹建工作，同时开展龙泉里社区等7个社区“亚楠调解室”的筹建工作。形成以公安民警为主导，人民调解员为支撑，专兼职调解力量广泛参与的矛盾纠纷多元化解模式。结合金桥街“1+6+N互嵌式”工作法，依托派出所、司法所、律师事务所三所联动，打造矛盾纠纷化解平台，有效开展金桥街矛盾纠纷调处化解工作。完成调解工作培训3次，有效化解矛盾纠纷16件。</w:t>
      </w:r>
    </w:p>
    <w:p>
      <w:pPr>
        <w:spacing w:line="560" w:lineRule="exact"/>
        <w:ind w:firstLine="640" w:firstLineChars="200"/>
        <w:rPr>
          <w:rFonts w:ascii="Times New Roman" w:hAnsi="Times New Roman" w:eastAsia="仿宋_GB2312" w:cs="Times New Roman"/>
          <w:bCs/>
          <w:sz w:val="32"/>
          <w:szCs w:val="36"/>
        </w:rPr>
      </w:pPr>
      <w:r>
        <w:rPr>
          <w:rFonts w:ascii="Times New Roman" w:hAnsi="Times New Roman" w:eastAsia="仿宋_GB2312" w:cs="Times New Roman"/>
          <w:bCs/>
          <w:sz w:val="32"/>
          <w:szCs w:val="32"/>
        </w:rPr>
        <w:t>为深入贯彻落实《</w:t>
      </w:r>
      <w:r>
        <w:rPr>
          <w:rFonts w:hint="eastAsia" w:ascii="Times New Roman" w:hAnsi="Times New Roman" w:eastAsia="仿宋_GB2312" w:cs="Times New Roman"/>
          <w:bCs/>
          <w:sz w:val="32"/>
          <w:szCs w:val="32"/>
          <w:lang w:eastAsia="zh-CN"/>
        </w:rPr>
        <w:t>中华人民共和国</w:t>
      </w:r>
      <w:r>
        <w:rPr>
          <w:rFonts w:ascii="Times New Roman" w:hAnsi="Times New Roman" w:eastAsia="仿宋_GB2312" w:cs="Times New Roman"/>
          <w:bCs/>
          <w:sz w:val="32"/>
          <w:szCs w:val="32"/>
        </w:rPr>
        <w:t>行政复议法》《</w:t>
      </w:r>
      <w:r>
        <w:rPr>
          <w:rFonts w:hint="eastAsia" w:ascii="Times New Roman" w:hAnsi="Times New Roman" w:eastAsia="仿宋_GB2312" w:cs="Times New Roman"/>
          <w:bCs/>
          <w:sz w:val="32"/>
          <w:szCs w:val="32"/>
          <w:lang w:eastAsia="zh-CN"/>
        </w:rPr>
        <w:t>中华人民共和国</w:t>
      </w:r>
      <w:r>
        <w:rPr>
          <w:rFonts w:ascii="Times New Roman" w:hAnsi="Times New Roman" w:eastAsia="仿宋_GB2312" w:cs="Times New Roman"/>
          <w:bCs/>
          <w:sz w:val="32"/>
          <w:szCs w:val="32"/>
        </w:rPr>
        <w:t>行政处罚法》，进一步增强金桥街干部的法律素养，提高行政执法人员的执法业务水平，9月13日，金桥街组织开展班子成员、各科室负责人、行政执法人员《</w:t>
      </w:r>
      <w:r>
        <w:rPr>
          <w:rFonts w:hint="eastAsia" w:ascii="Times New Roman" w:hAnsi="Times New Roman" w:eastAsia="仿宋_GB2312" w:cs="Times New Roman"/>
          <w:bCs/>
          <w:sz w:val="32"/>
          <w:szCs w:val="32"/>
          <w:lang w:eastAsia="zh-CN"/>
        </w:rPr>
        <w:t>中华人民共和国</w:t>
      </w:r>
      <w:r>
        <w:rPr>
          <w:rFonts w:ascii="Times New Roman" w:hAnsi="Times New Roman" w:eastAsia="仿宋_GB2312" w:cs="Times New Roman"/>
          <w:bCs/>
          <w:sz w:val="32"/>
          <w:szCs w:val="32"/>
        </w:rPr>
        <w:t>行政复议法》《</w:t>
      </w:r>
      <w:r>
        <w:rPr>
          <w:rFonts w:hint="eastAsia" w:ascii="Times New Roman" w:hAnsi="Times New Roman" w:eastAsia="仿宋_GB2312" w:cs="Times New Roman"/>
          <w:bCs/>
          <w:sz w:val="32"/>
          <w:szCs w:val="32"/>
          <w:lang w:eastAsia="zh-CN"/>
        </w:rPr>
        <w:t>中华人民共和国</w:t>
      </w:r>
      <w:r>
        <w:rPr>
          <w:rFonts w:ascii="Times New Roman" w:hAnsi="Times New Roman" w:eastAsia="仿宋_GB2312" w:cs="Times New Roman"/>
          <w:bCs/>
          <w:sz w:val="32"/>
          <w:szCs w:val="32"/>
        </w:rPr>
        <w:t>行政处罚法》全员培训。</w:t>
      </w:r>
      <w:r>
        <w:rPr>
          <w:rFonts w:ascii="Times New Roman" w:hAnsi="Times New Roman" w:eastAsia="仿宋_GB2312" w:cs="Times New Roman"/>
          <w:bCs/>
          <w:sz w:val="32"/>
          <w:szCs w:val="36"/>
        </w:rPr>
        <w:t>为依法行政提供了明确、细化的法律依据，为深入落实习近平法治思想，建设法治政府提供了重要制度保障，对落实习近平总书记推进依法行政、建设法治政府的要求具有帮助指导作用。</w:t>
      </w:r>
      <w:r>
        <w:rPr>
          <w:rFonts w:ascii="Times New Roman" w:hAnsi="Times New Roman" w:eastAsia="仿宋_GB2312" w:cs="Times New Roman"/>
          <w:sz w:val="32"/>
          <w:szCs w:val="32"/>
        </w:rPr>
        <w:t>4月，开展宣传《中华人民共和国国家安全法》《中华人民共和国网络安全法》</w:t>
      </w:r>
      <w:r>
        <w:rPr>
          <w:rFonts w:hint="eastAsia" w:ascii="Times New Roman" w:hAnsi="Times New Roman" w:eastAsia="仿宋_GB2312" w:cs="Times New Roman"/>
          <w:sz w:val="32"/>
          <w:szCs w:val="32"/>
          <w:lang w:eastAsia="zh-CN"/>
        </w:rPr>
        <w:t>《中华人民共和国人民防空法</w:t>
      </w:r>
      <w:bookmarkStart w:id="0" w:name="_GoBack"/>
      <w:bookmarkEnd w:id="0"/>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等法律法规，提高广大干部群众的守法意识。12月，</w:t>
      </w:r>
      <w:r>
        <w:rPr>
          <w:rFonts w:ascii="Times New Roman" w:hAnsi="Times New Roman" w:eastAsia="仿宋_GB2312" w:cs="Times New Roman"/>
          <w:sz w:val="32"/>
          <w:szCs w:val="36"/>
        </w:rPr>
        <w:t>围绕“大力弘扬宪法精神，推动进一步全面深化改革”的主题，以多种形式深入开展“宪法宣传周”活动，推动宪法实施成为全体居民的行动自觉，以进一步全面深化改革推进中国式现代化营造良好法治环境，取得了较好的效果。</w:t>
      </w:r>
      <w:r>
        <w:rPr>
          <w:rFonts w:ascii="Times New Roman" w:hAnsi="Times New Roman" w:eastAsia="仿宋_GB2312" w:cs="Times New Roman"/>
          <w:sz w:val="32"/>
          <w:szCs w:val="32"/>
        </w:rPr>
        <w:t>为社区送去《</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民法典》《中华人民共和国宪法》等法制宣传材料100余份。组织干部职工参加了国家工作人员网络学法用法考试，参考率100%，及格率100%。</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二、存在的问题和不足</w:t>
      </w:r>
    </w:p>
    <w:p>
      <w:pPr>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bCs/>
          <w:sz w:val="32"/>
          <w:szCs w:val="32"/>
        </w:rPr>
        <w:t>一是</w:t>
      </w:r>
      <w:r>
        <w:rPr>
          <w:rFonts w:hint="eastAsia" w:ascii="仿宋_GB2312" w:hAnsi="Times New Roman" w:eastAsia="仿宋_GB2312" w:cs="Times New Roman"/>
          <w:bCs/>
          <w:sz w:val="32"/>
          <w:szCs w:val="32"/>
        </w:rPr>
        <w:t>法制宣传力度和投入不足，宣传效果和方式有待进一步提升。一些普法内容不够新，用案例释法不足。</w:t>
      </w:r>
      <w:r>
        <w:rPr>
          <w:rFonts w:hint="eastAsia" w:ascii="Times New Roman" w:hAnsi="Times New Roman" w:eastAsia="仿宋_GB2312" w:cs="Times New Roman"/>
          <w:bCs/>
          <w:sz w:val="32"/>
          <w:szCs w:val="32"/>
        </w:rPr>
        <w:t>二</w:t>
      </w:r>
      <w:r>
        <w:rPr>
          <w:rFonts w:ascii="Times New Roman" w:hAnsi="Times New Roman" w:eastAsia="仿宋_GB2312" w:cs="Times New Roman"/>
          <w:bCs/>
          <w:sz w:val="32"/>
          <w:szCs w:val="32"/>
        </w:rPr>
        <w:t>是部分干部、执法人员法律法规学习的主动性不够、执法水平有待提高</w:t>
      </w:r>
      <w:r>
        <w:rPr>
          <w:rFonts w:hint="eastAsia" w:ascii="Times New Roman" w:hAnsi="Times New Roman" w:eastAsia="仿宋_GB2312" w:cs="Times New Roman"/>
          <w:bCs/>
          <w:sz w:val="32"/>
          <w:szCs w:val="32"/>
        </w:rPr>
        <w:t>。</w:t>
      </w:r>
      <w:r>
        <w:rPr>
          <w:rFonts w:ascii="仿宋_GB2312" w:hAnsi="Times New Roman" w:eastAsia="仿宋_GB2312" w:cs="Times New Roman"/>
          <w:bCs/>
          <w:sz w:val="32"/>
          <w:szCs w:val="32"/>
        </w:rPr>
        <w:t>在贯彻落实</w:t>
      </w:r>
      <w:r>
        <w:rPr>
          <w:rFonts w:hint="eastAsia" w:ascii="仿宋_GB2312" w:hAnsi="Times New Roman" w:eastAsia="仿宋_GB2312" w:cs="Times New Roman"/>
          <w:bCs/>
          <w:sz w:val="32"/>
          <w:szCs w:val="32"/>
        </w:rPr>
        <w:t>市区</w:t>
      </w:r>
      <w:r>
        <w:rPr>
          <w:rFonts w:ascii="仿宋_GB2312" w:hAnsi="Times New Roman" w:eastAsia="仿宋_GB2312" w:cs="Times New Roman"/>
          <w:bCs/>
          <w:sz w:val="32"/>
          <w:szCs w:val="32"/>
        </w:rPr>
        <w:t>重大战略决策上</w:t>
      </w:r>
      <w:r>
        <w:rPr>
          <w:rFonts w:hint="eastAsia" w:ascii="仿宋_GB2312" w:hAnsi="Times New Roman" w:eastAsia="仿宋_GB2312" w:cs="Times New Roman"/>
          <w:bCs/>
          <w:sz w:val="32"/>
          <w:szCs w:val="32"/>
        </w:rPr>
        <w:t>，一定程度</w:t>
      </w:r>
      <w:r>
        <w:rPr>
          <w:rFonts w:ascii="仿宋_GB2312" w:hAnsi="Times New Roman" w:eastAsia="仿宋_GB2312" w:cs="Times New Roman"/>
          <w:bCs/>
          <w:sz w:val="32"/>
          <w:szCs w:val="32"/>
        </w:rPr>
        <w:t>存在主动争取不足、政策结合度不够、惠企利民成效不强等问题</w:t>
      </w:r>
      <w:r>
        <w:rPr>
          <w:rFonts w:hint="eastAsia" w:ascii="仿宋_GB2312" w:hAnsi="Times New Roman" w:eastAsia="仿宋_GB2312" w:cs="Times New Roman"/>
          <w:bCs/>
          <w:sz w:val="32"/>
          <w:szCs w:val="32"/>
        </w:rPr>
        <w:t>，营商环境法治化保障工作需要持续深入落实和巩固提升。三</w:t>
      </w:r>
      <w:r>
        <w:rPr>
          <w:rFonts w:hint="eastAsia" w:ascii="仿宋_GB2312" w:hAnsi="仿宋_GB2312" w:eastAsia="仿宋_GB2312" w:cs="仿宋_GB2312"/>
          <w:bCs/>
          <w:kern w:val="0"/>
          <w:sz w:val="32"/>
          <w:szCs w:val="32"/>
        </w:rPr>
        <w:t>是部分干部运用法治思维和法治手段解决问题的能力还不够强，需进一步提高办事效率。四</w:t>
      </w:r>
      <w:r>
        <w:rPr>
          <w:rFonts w:hint="eastAsia" w:ascii="仿宋_GB2312" w:hAnsi="仿宋_GB2312" w:eastAsia="仿宋_GB2312" w:cs="仿宋_GB2312"/>
          <w:bCs/>
          <w:sz w:val="32"/>
          <w:szCs w:val="32"/>
        </w:rPr>
        <w:t>是目前的执法手段缺乏创新性和科技含量，对于一些隐蔽性较强的违法行为，难以做到及时发现和有效查处。</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三、下步工作措施</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Cs/>
          <w:sz w:val="32"/>
          <w:szCs w:val="32"/>
        </w:rPr>
        <w:t>一是强化法治学习，提高理论水平。</w:t>
      </w:r>
      <w:r>
        <w:rPr>
          <w:rFonts w:ascii="Times New Roman" w:hAnsi="Times New Roman" w:eastAsia="仿宋_GB2312" w:cs="Times New Roman"/>
          <w:bCs/>
          <w:sz w:val="32"/>
          <w:szCs w:val="32"/>
        </w:rPr>
        <w:t>紧紧围绕学习宣传贯彻党的二十大精神这一主线，</w:t>
      </w:r>
      <w:r>
        <w:rPr>
          <w:rFonts w:hint="eastAsia" w:ascii="Times New Roman" w:hAnsi="Times New Roman" w:eastAsia="仿宋_GB2312" w:cs="Times New Roman"/>
          <w:bCs/>
          <w:sz w:val="32"/>
          <w:szCs w:val="32"/>
        </w:rPr>
        <w:t>扎实开展教育培训，不断提高政治理论水平。</w:t>
      </w:r>
      <w:r>
        <w:rPr>
          <w:rFonts w:ascii="Times New Roman" w:hAnsi="Times New Roman" w:eastAsia="仿宋_GB2312" w:cs="Times New Roman"/>
          <w:bCs/>
          <w:sz w:val="32"/>
          <w:szCs w:val="32"/>
        </w:rPr>
        <w:t>努力在学深悟透做实习近平法治思想上下功夫</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切实筑牢思想根基。</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Cs/>
          <w:sz w:val="32"/>
          <w:szCs w:val="32"/>
        </w:rPr>
        <w:t>二是严格执行各项制度，提高服务效能。</w:t>
      </w:r>
      <w:r>
        <w:rPr>
          <w:rFonts w:ascii="Times New Roman" w:hAnsi="Times New Roman" w:eastAsia="仿宋_GB2312" w:cs="Times New Roman"/>
          <w:bCs/>
          <w:sz w:val="32"/>
          <w:szCs w:val="32"/>
        </w:rPr>
        <w:t>统筹推进各领域服务工作，进步简化办事程序、拓宽服务渠道、提高服务效能，全面提高群众和企业对街道工作的满意度、获得感。建立健全推进任务落实的工作机制，将法治建设与经济社会发展同部署、同推进，不断提升基层法治建设标准化、规范化水平。</w:t>
      </w:r>
    </w:p>
    <w:p>
      <w:pPr>
        <w:ind w:firstLine="640" w:firstLineChars="200"/>
        <w:rPr>
          <w:rFonts w:ascii="仿宋_GB2312" w:hAnsi="Times New Roman" w:eastAsia="仿宋_GB2312" w:cs="Times New Roman"/>
          <w:bCs/>
          <w:sz w:val="32"/>
          <w:szCs w:val="32"/>
        </w:rPr>
      </w:pPr>
      <w:r>
        <w:rPr>
          <w:rFonts w:hint="eastAsia" w:ascii="楷体_GB2312" w:hAnsi="Times New Roman" w:eastAsia="楷体_GB2312" w:cs="Times New Roman"/>
          <w:bCs/>
          <w:sz w:val="32"/>
          <w:szCs w:val="32"/>
        </w:rPr>
        <w:t>三是积极打造一流法治化营商环境。</w:t>
      </w:r>
      <w:r>
        <w:rPr>
          <w:rFonts w:ascii="仿宋_GB2312" w:hAnsi="Times New Roman" w:eastAsia="仿宋_GB2312" w:cs="Times New Roman"/>
          <w:bCs/>
          <w:sz w:val="32"/>
          <w:szCs w:val="32"/>
        </w:rPr>
        <w:t>聚焦法治</w:t>
      </w:r>
      <w:r>
        <w:rPr>
          <w:rFonts w:hint="eastAsia" w:ascii="仿宋_GB2312" w:hAnsi="Times New Roman" w:eastAsia="仿宋_GB2312" w:cs="Times New Roman"/>
          <w:bCs/>
          <w:sz w:val="32"/>
          <w:szCs w:val="32"/>
        </w:rPr>
        <w:t>化</w:t>
      </w:r>
      <w:r>
        <w:rPr>
          <w:rFonts w:ascii="仿宋_GB2312" w:hAnsi="Times New Roman" w:eastAsia="仿宋_GB2312" w:cs="Times New Roman"/>
          <w:bCs/>
          <w:sz w:val="32"/>
          <w:szCs w:val="32"/>
        </w:rPr>
        <w:t>营商环境重点领域和关键环节，持续转变</w:t>
      </w:r>
      <w:r>
        <w:rPr>
          <w:rFonts w:hint="eastAsia" w:ascii="仿宋_GB2312" w:hAnsi="Times New Roman" w:eastAsia="仿宋_GB2312" w:cs="Times New Roman"/>
          <w:bCs/>
          <w:sz w:val="32"/>
          <w:szCs w:val="32"/>
        </w:rPr>
        <w:t>街道相应</w:t>
      </w:r>
      <w:r>
        <w:rPr>
          <w:rFonts w:ascii="仿宋_GB2312" w:hAnsi="Times New Roman" w:eastAsia="仿宋_GB2312" w:cs="Times New Roman"/>
          <w:bCs/>
          <w:sz w:val="32"/>
          <w:szCs w:val="32"/>
        </w:rPr>
        <w:t>职能，加快补短板、强弱项</w:t>
      </w:r>
      <w:r>
        <w:rPr>
          <w:rFonts w:hint="eastAsia" w:ascii="仿宋_GB2312" w:hAnsi="Times New Roman" w:eastAsia="仿宋_GB2312" w:cs="Times New Roman"/>
          <w:bCs/>
          <w:sz w:val="32"/>
          <w:szCs w:val="32"/>
        </w:rPr>
        <w:t>，</w:t>
      </w:r>
      <w:r>
        <w:rPr>
          <w:rFonts w:ascii="仿宋_GB2312" w:hAnsi="Times New Roman" w:eastAsia="仿宋_GB2312" w:cs="Times New Roman"/>
          <w:bCs/>
          <w:sz w:val="32"/>
          <w:szCs w:val="32"/>
        </w:rPr>
        <w:t>持续</w:t>
      </w:r>
      <w:r>
        <w:rPr>
          <w:rFonts w:hint="eastAsia" w:ascii="仿宋_GB2312" w:hAnsi="Times New Roman" w:eastAsia="仿宋_GB2312" w:cs="Times New Roman"/>
          <w:bCs/>
          <w:sz w:val="32"/>
          <w:szCs w:val="32"/>
        </w:rPr>
        <w:t>提质增效涉企法律服务</w:t>
      </w:r>
      <w:r>
        <w:rPr>
          <w:rFonts w:ascii="仿宋_GB2312" w:hAnsi="Times New Roman" w:eastAsia="仿宋_GB2312" w:cs="Times New Roman"/>
          <w:bCs/>
          <w:sz w:val="32"/>
          <w:szCs w:val="32"/>
        </w:rPr>
        <w:t>。</w:t>
      </w:r>
      <w:r>
        <w:rPr>
          <w:rFonts w:hint="eastAsia" w:ascii="仿宋_GB2312" w:hAnsi="Times New Roman" w:eastAsia="仿宋_GB2312" w:cs="Times New Roman"/>
          <w:bCs/>
          <w:sz w:val="32"/>
          <w:szCs w:val="32"/>
        </w:rPr>
        <w:t>广泛开展普法宣讲，为广大企业和务工人员提供法律咨询、人民调解等公共法律服务。</w:t>
      </w:r>
    </w:p>
    <w:p>
      <w:pPr>
        <w:ind w:firstLine="640" w:firstLineChars="200"/>
        <w:rPr>
          <w:rFonts w:ascii="仿宋_GB2312" w:hAnsi="Times New Roman" w:eastAsia="仿宋_GB2312" w:cs="Times New Roman"/>
          <w:bCs/>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2041"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宋体" w:hAnsi="宋体" w:eastAsia="宋体"/>
        <w:sz w:val="28"/>
        <w:szCs w:val="28"/>
      </w:rPr>
    </w:sdtEndPr>
    <w:sdtContent>
      <w:p>
        <w:pPr>
          <w:pStyle w:val="2"/>
          <w:jc w:val="right"/>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sdtContent>
  </w:sdt>
  <w:p>
    <w:pPr>
      <w:pStyle w:val="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5914965"/>
    </w:sdtPr>
    <w:sdtEndPr>
      <w:rPr>
        <w:rFonts w:ascii="宋体" w:hAnsi="宋体" w:eastAsia="宋体"/>
        <w:sz w:val="28"/>
        <w:szCs w:val="28"/>
      </w:rPr>
    </w:sdtEndPr>
    <w:sdtContent>
      <w:p>
        <w:pPr>
          <w:pStyle w:val="2"/>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sdtContent>
  </w:sdt>
  <w:p>
    <w:pPr>
      <w:pStyle w:val="2"/>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D02"/>
    <w:rsid w:val="000426D7"/>
    <w:rsid w:val="00083961"/>
    <w:rsid w:val="000D50E3"/>
    <w:rsid w:val="000D68A1"/>
    <w:rsid w:val="001D6611"/>
    <w:rsid w:val="0021148B"/>
    <w:rsid w:val="00286F98"/>
    <w:rsid w:val="00347B6A"/>
    <w:rsid w:val="003529F1"/>
    <w:rsid w:val="0037426F"/>
    <w:rsid w:val="00387F4B"/>
    <w:rsid w:val="00395A0F"/>
    <w:rsid w:val="003C7802"/>
    <w:rsid w:val="003F5A05"/>
    <w:rsid w:val="00404FC0"/>
    <w:rsid w:val="00432BC5"/>
    <w:rsid w:val="00440A52"/>
    <w:rsid w:val="00472BA2"/>
    <w:rsid w:val="00545100"/>
    <w:rsid w:val="00547083"/>
    <w:rsid w:val="00557D02"/>
    <w:rsid w:val="005E504A"/>
    <w:rsid w:val="00696504"/>
    <w:rsid w:val="006A5CDD"/>
    <w:rsid w:val="006B508D"/>
    <w:rsid w:val="006C2423"/>
    <w:rsid w:val="006D51C8"/>
    <w:rsid w:val="00742F39"/>
    <w:rsid w:val="007802D9"/>
    <w:rsid w:val="00786D10"/>
    <w:rsid w:val="007B2FDB"/>
    <w:rsid w:val="007D7E3A"/>
    <w:rsid w:val="0081658B"/>
    <w:rsid w:val="00817B32"/>
    <w:rsid w:val="00845AEF"/>
    <w:rsid w:val="008A1331"/>
    <w:rsid w:val="008A7628"/>
    <w:rsid w:val="008C1BBA"/>
    <w:rsid w:val="0090377C"/>
    <w:rsid w:val="00940715"/>
    <w:rsid w:val="00970B79"/>
    <w:rsid w:val="00971A70"/>
    <w:rsid w:val="009D5FC6"/>
    <w:rsid w:val="00A137EA"/>
    <w:rsid w:val="00A32B9E"/>
    <w:rsid w:val="00A551B9"/>
    <w:rsid w:val="00A76C5D"/>
    <w:rsid w:val="00AD2980"/>
    <w:rsid w:val="00B13C97"/>
    <w:rsid w:val="00B66C39"/>
    <w:rsid w:val="00B77E6D"/>
    <w:rsid w:val="00B84B65"/>
    <w:rsid w:val="00B95C58"/>
    <w:rsid w:val="00BB559C"/>
    <w:rsid w:val="00BC0EB2"/>
    <w:rsid w:val="00C30F5E"/>
    <w:rsid w:val="00C92D6F"/>
    <w:rsid w:val="00CA4467"/>
    <w:rsid w:val="00D15710"/>
    <w:rsid w:val="00D44B9C"/>
    <w:rsid w:val="00D93283"/>
    <w:rsid w:val="00D974A4"/>
    <w:rsid w:val="00DF03BB"/>
    <w:rsid w:val="00E1635C"/>
    <w:rsid w:val="00EA081F"/>
    <w:rsid w:val="00EA46B7"/>
    <w:rsid w:val="00ED71B0"/>
    <w:rsid w:val="00F06D77"/>
    <w:rsid w:val="00F124C0"/>
    <w:rsid w:val="00F76E4E"/>
    <w:rsid w:val="00F85CBA"/>
    <w:rsid w:val="00F9758E"/>
    <w:rsid w:val="00FD0972"/>
    <w:rsid w:val="00FD2BDC"/>
    <w:rsid w:val="5CFDABA9"/>
    <w:rsid w:val="6D6BE2C3"/>
    <w:rsid w:val="70FDE6B7"/>
    <w:rsid w:val="97D3888B"/>
    <w:rsid w:val="BBFB6268"/>
    <w:rsid w:val="EFF9EF05"/>
    <w:rsid w:val="FF64D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440</Words>
  <Characters>2513</Characters>
  <Lines>20</Lines>
  <Paragraphs>5</Paragraphs>
  <TotalTime>7</TotalTime>
  <ScaleCrop>false</ScaleCrop>
  <LinksUpToDate>false</LinksUpToDate>
  <CharactersWithSpaces>2948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2025-03-28T17:01:00Z</dcterms:created>
  <dc:creator>TOP GUN</dc:creator>
  <cp:lastModifiedBy>kylin</cp:lastModifiedBy>
  <cp:lastPrinted>2024-12-31T19:51:00Z</cp:lastPrinted>
  <dcterms:modified xsi:type="dcterms:W3CDTF">2025-04-07T14:00:14Z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9F26C9BC0B0C07A60EB7936558A75B84</vt:lpwstr>
  </property>
</Properties>
</file>