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wordWrap w:val="0"/>
        <w:autoSpaceDE w:val="0"/>
        <w:spacing w:line="560" w:lineRule="exact"/>
        <w:ind w:firstLine="440" w:firstLineChars="100"/>
        <w:outlineLvl w:val="0"/>
        <w:rPr>
          <w:rFonts w:hint="eastAsia" w:ascii="Times New Roman" w:hAnsi="Times New Roman" w:eastAsia="方正小标宋简体"/>
          <w:bCs/>
          <w:color w:val="000000"/>
          <w:kern w:val="36"/>
          <w:sz w:val="44"/>
          <w:szCs w:val="44"/>
        </w:rPr>
      </w:pPr>
      <w:r>
        <w:rPr>
          <w:rFonts w:hint="eastAsia" w:ascii="Times New Roman" w:hAnsi="Times New Roman" w:eastAsia="方正小标宋简体"/>
          <w:bCs/>
          <w:color w:val="000000"/>
          <w:kern w:val="36"/>
          <w:sz w:val="44"/>
          <w:szCs w:val="44"/>
        </w:rPr>
        <w:t>天津市东丽区人民政府政务服务办公室</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方正小标宋简体" w:cs="宋体"/>
          <w:bCs/>
          <w:color w:val="000000"/>
          <w:kern w:val="36"/>
          <w:sz w:val="44"/>
          <w:szCs w:val="44"/>
          <w:lang w:val="en-US" w:eastAsia="zh-CN"/>
        </w:rPr>
      </w:pPr>
      <w:r>
        <w:rPr>
          <w:rFonts w:hint="eastAsia" w:ascii="Times New Roman" w:hAnsi="Times New Roman" w:eastAsia="方正小标宋简体"/>
          <w:bCs/>
          <w:color w:val="000000"/>
          <w:kern w:val="36"/>
          <w:sz w:val="44"/>
          <w:szCs w:val="44"/>
        </w:rPr>
        <w:t>202</w:t>
      </w:r>
      <w:r>
        <w:rPr>
          <w:rFonts w:hint="eastAsia" w:ascii="Times New Roman" w:hAnsi="Times New Roman" w:eastAsia="方正小标宋简体"/>
          <w:bCs/>
          <w:color w:val="000000"/>
          <w:kern w:val="36"/>
          <w:sz w:val="44"/>
          <w:szCs w:val="44"/>
          <w:lang w:val="en-US" w:eastAsia="zh-CN"/>
        </w:rPr>
        <w:t>5</w:t>
      </w:r>
      <w:r>
        <w:rPr>
          <w:rFonts w:hint="eastAsia" w:ascii="Times New Roman" w:hAnsi="Times New Roman" w:eastAsia="方正小标宋简体"/>
          <w:bCs/>
          <w:color w:val="000000"/>
          <w:kern w:val="36"/>
          <w:sz w:val="44"/>
          <w:szCs w:val="44"/>
        </w:rPr>
        <w:t>年法治政府建设年度报告</w:t>
      </w:r>
    </w:p>
    <w:p>
      <w:pPr>
        <w:pStyle w:val="2"/>
        <w:pBdr>
          <w:top w:val="none" w:color="auto" w:sz="0" w:space="0"/>
          <w:left w:val="none" w:color="auto" w:sz="0" w:space="0"/>
          <w:bottom w:val="none" w:color="auto" w:sz="0" w:space="0"/>
          <w:right w:val="none" w:color="auto" w:sz="0" w:space="0"/>
          <w:between w:val="none" w:color="auto" w:sz="0" w:space="0"/>
        </w:pBdr>
        <w:rPr>
          <w:rFonts w:hint="eastAsia" w:ascii="Times New Roman" w:hAnsi="Times New Roman"/>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ascii="Calibri" w:hAnsi="Calibri" w:cs="Calibri"/>
          <w:sz w:val="21"/>
          <w:szCs w:val="21"/>
        </w:rPr>
      </w:pPr>
      <w:r>
        <w:rPr>
          <w:rFonts w:hint="default" w:ascii="Times New Roman" w:hAnsi="Times New Roman" w:eastAsia="仿宋_GB2312" w:cs="Times New Roman"/>
          <w:sz w:val="31"/>
          <w:szCs w:val="31"/>
          <w:bdr w:val="none" w:color="auto" w:sz="0" w:space="0"/>
        </w:rPr>
        <w:t>2025</w:t>
      </w:r>
      <w:r>
        <w:rPr>
          <w:rFonts w:hint="eastAsia" w:ascii="仿宋_GB2312" w:hAnsi="Calibri" w:eastAsia="仿宋_GB2312" w:cs="仿宋_GB2312"/>
          <w:sz w:val="31"/>
          <w:szCs w:val="31"/>
          <w:bdr w:val="none" w:color="auto" w:sz="0" w:space="0"/>
        </w:rPr>
        <w:t>年，区政务服务办在区委全面依法治区委员会的坚强领导下，坚持以习近平新时代中国特色社会主义思想为指导，深入学习贯彻习近平法治思想，贯彻落实习近平总书记重要指示精神，紧紧围绕中央、市区法治政府建设各项部署，高标准落实法治政府建设“一规划两纲要”，突出“围绕中心工作”，多措并举，狠抓落实，确保法治政府各项工作有序开展，依法行政能力水平得到进一步提高，各项工作法治化、规范化水平得到有效提升，法治政府建设成效显著。现将本年度法治政府建设工作情况报告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ascii="黑体" w:hAnsi="宋体" w:eastAsia="黑体" w:cs="黑体"/>
          <w:sz w:val="31"/>
          <w:szCs w:val="31"/>
          <w:bdr w:val="none" w:color="auto" w:sz="0" w:space="0"/>
        </w:rPr>
        <w:t>一、</w:t>
      </w:r>
      <w:r>
        <w:rPr>
          <w:rFonts w:hint="default" w:ascii="Times New Roman" w:hAnsi="Times New Roman" w:cs="Times New Roman"/>
          <w:sz w:val="31"/>
          <w:szCs w:val="31"/>
          <w:bdr w:val="none" w:color="auto" w:sz="0" w:space="0"/>
        </w:rPr>
        <w:t>202</w:t>
      </w:r>
      <w:r>
        <w:rPr>
          <w:rFonts w:hint="default" w:ascii="Times New Roman" w:hAnsi="Times New Roman" w:eastAsia="黑体" w:cs="Times New Roman"/>
          <w:sz w:val="31"/>
          <w:szCs w:val="31"/>
          <w:bdr w:val="none" w:color="auto" w:sz="0" w:space="0"/>
        </w:rPr>
        <w:t>5</w:t>
      </w:r>
      <w:r>
        <w:rPr>
          <w:rFonts w:hint="eastAsia" w:ascii="黑体" w:hAnsi="宋体" w:eastAsia="黑体" w:cs="黑体"/>
          <w:sz w:val="31"/>
          <w:szCs w:val="31"/>
          <w:bdr w:val="none" w:color="auto" w:sz="0" w:space="0"/>
        </w:rPr>
        <w:t>年度开展法治政府建设的主要举措和成效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eastAsia="仿宋_GB2312" w:cs="Times New Roman"/>
          <w:sz w:val="31"/>
          <w:szCs w:val="31"/>
          <w:bdr w:val="none" w:color="auto" w:sz="0" w:space="0"/>
        </w:rPr>
        <w:t>2025</w:t>
      </w:r>
      <w:r>
        <w:rPr>
          <w:rFonts w:hint="eastAsia" w:ascii="仿宋_GB2312" w:hAnsi="Calibri" w:eastAsia="仿宋_GB2312" w:cs="仿宋_GB2312"/>
          <w:sz w:val="31"/>
          <w:szCs w:val="31"/>
          <w:bdr w:val="none" w:color="auto" w:sz="0" w:space="0"/>
        </w:rPr>
        <w:t>年以来，区政务服务办围绕落实法治建设“一规划两纲要”为主线，扎实开展法治政府建设工作，推动市委、市政府和区委、区政府各项法治政府建设决策部署与深化政务服务改革紧密结合，努力打造一流法治化营商环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ascii="楷体_GB2312" w:hAnsi="Calibri" w:eastAsia="楷体_GB2312" w:cs="楷体_GB2312"/>
          <w:sz w:val="31"/>
          <w:szCs w:val="31"/>
          <w:bdr w:val="none" w:color="auto" w:sz="0" w:space="0"/>
        </w:rPr>
        <w:t>（一）</w:t>
      </w:r>
      <w:r>
        <w:rPr>
          <w:rFonts w:hint="eastAsia" w:ascii="楷体_GB2312" w:hAnsi="Calibri" w:eastAsia="楷体_GB2312" w:cs="楷体_GB2312"/>
          <w:sz w:val="31"/>
          <w:szCs w:val="31"/>
          <w:bdr w:val="none" w:color="auto" w:sz="0" w:space="0"/>
        </w:rPr>
        <w:t>坚持党的全面领导，法治政府建设任务取得新成效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bdr w:val="none" w:color="auto" w:sz="0" w:space="0"/>
        </w:rPr>
        <w:t>始终把党的领导贯穿于法治政府建设全过程、各方面，践行习近平法治思想，以领导干部带头尊法学法守法用法，不断提升政务服务依法治理能力。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eastAsia="仿宋_GB2312" w:cs="Times New Roman"/>
          <w:sz w:val="31"/>
          <w:szCs w:val="31"/>
          <w:bdr w:val="none" w:color="auto" w:sz="0" w:space="0"/>
        </w:rPr>
        <w:t>1.</w:t>
      </w:r>
      <w:r>
        <w:rPr>
          <w:rFonts w:hint="eastAsia" w:ascii="仿宋_GB2312" w:hAnsi="Calibri" w:eastAsia="仿宋_GB2312" w:cs="仿宋_GB2312"/>
          <w:sz w:val="31"/>
          <w:szCs w:val="31"/>
          <w:bdr w:val="none" w:color="auto" w:sz="0" w:space="0"/>
        </w:rPr>
        <w:t>依法履职能力不断提升，习近平总书记全面依法治国新理念新思想新战略实践融合思想日趋成熟。一是筑牢政治方向，抓好“关键少数”，建强法治政府建设“主力军”。把习近平法治思想、宪法、民法典等法律法规和党内法规列入年度学习计划，列入全面从严治党主责清单，将学法与本职工作相结合，坚持自学和集中学习相结合，推动领导干部带头学法用法，筑牢法治思维基础。全年集中学习习近平法治思想</w:t>
      </w:r>
      <w:r>
        <w:rPr>
          <w:rFonts w:hint="default" w:ascii="Times New Roman" w:hAnsi="Times New Roman" w:eastAsia="仿宋_GB2312" w:cs="Times New Roman"/>
          <w:sz w:val="31"/>
          <w:szCs w:val="31"/>
          <w:bdr w:val="none" w:color="auto" w:sz="0" w:space="0"/>
        </w:rPr>
        <w:t>4</w:t>
      </w:r>
      <w:r>
        <w:rPr>
          <w:rFonts w:hint="eastAsia" w:ascii="仿宋_GB2312" w:hAnsi="Calibri" w:eastAsia="仿宋_GB2312" w:cs="仿宋_GB2312"/>
          <w:sz w:val="31"/>
          <w:szCs w:val="31"/>
          <w:bdr w:val="none" w:color="auto" w:sz="0" w:space="0"/>
        </w:rPr>
        <w:t>次，制定领导干部法治政府建设职责清单，落实民主集中制，做到依法决策。理论学习中心组坚持把认真学习领会和贯彻落实习近平法治思想作为一项经常性重大政治任务，按照部署要求认真梳理、落实领导干部法治政府建设职责清单；认真学习贯彻习近平新时代中国特色社会主义思想和习近平总书记关于优化营商环境重要论述和重要指示批示精神，确保中央重大决策部署和市、区工作要求卓有成效。二是坚持理论武装，拧紧法治建设“责任阀”。严格按照我办</w:t>
      </w:r>
      <w:r>
        <w:rPr>
          <w:rFonts w:hint="default" w:ascii="Times New Roman" w:hAnsi="Times New Roman" w:eastAsia="仿宋_GB2312" w:cs="Times New Roman"/>
          <w:sz w:val="31"/>
          <w:szCs w:val="31"/>
          <w:bdr w:val="none" w:color="auto" w:sz="0" w:space="0"/>
        </w:rPr>
        <w:t>2025</w:t>
      </w:r>
      <w:r>
        <w:rPr>
          <w:rFonts w:hint="eastAsia" w:ascii="仿宋_GB2312" w:hAnsi="Calibri" w:eastAsia="仿宋_GB2312" w:cs="仿宋_GB2312"/>
          <w:sz w:val="31"/>
          <w:szCs w:val="31"/>
          <w:bdr w:val="none" w:color="auto" w:sz="0" w:space="0"/>
        </w:rPr>
        <w:t>年工作要点、全面从严治党主责清单明确的工作任务、工作责任，狠抓落实。严格落实“第一议题”制度，全年组织开展中心组学习</w:t>
      </w:r>
      <w:r>
        <w:rPr>
          <w:rFonts w:hint="default" w:ascii="Times New Roman" w:hAnsi="Times New Roman" w:eastAsia="仿宋_GB2312" w:cs="Times New Roman"/>
          <w:sz w:val="31"/>
          <w:szCs w:val="31"/>
          <w:bdr w:val="none" w:color="auto" w:sz="0" w:space="0"/>
        </w:rPr>
        <w:t>12</w:t>
      </w:r>
      <w:r>
        <w:rPr>
          <w:rFonts w:hint="eastAsia" w:ascii="仿宋_GB2312" w:hAnsi="Calibri" w:eastAsia="仿宋_GB2312" w:cs="仿宋_GB2312"/>
          <w:sz w:val="31"/>
          <w:szCs w:val="31"/>
          <w:bdr w:val="none" w:color="auto" w:sz="0" w:space="0"/>
        </w:rPr>
        <w:t>次，读书班</w:t>
      </w:r>
      <w:r>
        <w:rPr>
          <w:rFonts w:hint="default" w:ascii="Times New Roman" w:hAnsi="Times New Roman" w:eastAsia="仿宋_GB2312" w:cs="Times New Roman"/>
          <w:sz w:val="31"/>
          <w:szCs w:val="31"/>
          <w:bdr w:val="none" w:color="auto" w:sz="0" w:space="0"/>
        </w:rPr>
        <w:t>1</w:t>
      </w:r>
      <w:r>
        <w:rPr>
          <w:rFonts w:hint="eastAsia" w:ascii="仿宋_GB2312" w:hAnsi="Calibri" w:eastAsia="仿宋_GB2312" w:cs="仿宋_GB2312"/>
          <w:sz w:val="31"/>
          <w:szCs w:val="31"/>
          <w:bdr w:val="none" w:color="auto" w:sz="0" w:space="0"/>
        </w:rPr>
        <w:t>期，领导干部深入交流研讨</w:t>
      </w:r>
      <w:r>
        <w:rPr>
          <w:rFonts w:hint="default" w:ascii="Times New Roman" w:hAnsi="Times New Roman" w:eastAsia="仿宋_GB2312" w:cs="Times New Roman"/>
          <w:sz w:val="31"/>
          <w:szCs w:val="31"/>
          <w:bdr w:val="none" w:color="auto" w:sz="0" w:space="0"/>
        </w:rPr>
        <w:t>9</w:t>
      </w:r>
      <w:r>
        <w:rPr>
          <w:rFonts w:hint="eastAsia" w:ascii="仿宋_GB2312" w:hAnsi="Calibri" w:eastAsia="仿宋_GB2312" w:cs="仿宋_GB2312"/>
          <w:sz w:val="31"/>
          <w:szCs w:val="31"/>
          <w:bdr w:val="none" w:color="auto" w:sz="0" w:space="0"/>
        </w:rPr>
        <w:t>次，党员深入交流研讨</w:t>
      </w:r>
      <w:r>
        <w:rPr>
          <w:rFonts w:hint="default" w:ascii="Times New Roman" w:hAnsi="Times New Roman" w:eastAsia="仿宋_GB2312" w:cs="Times New Roman"/>
          <w:sz w:val="31"/>
          <w:szCs w:val="31"/>
          <w:bdr w:val="none" w:color="auto" w:sz="0" w:space="0"/>
        </w:rPr>
        <w:t>5</w:t>
      </w:r>
      <w:r>
        <w:rPr>
          <w:rFonts w:hint="eastAsia" w:ascii="仿宋_GB2312" w:hAnsi="Calibri" w:eastAsia="仿宋_GB2312" w:cs="仿宋_GB2312"/>
          <w:sz w:val="31"/>
          <w:szCs w:val="31"/>
          <w:bdr w:val="none" w:color="auto" w:sz="0" w:space="0"/>
        </w:rPr>
        <w:t>次。三是加强谋划设计，绘好法治建设“路线图”。围绕“一规划两纲要”的部署，以“八五”普法规划总结验收为主线，抓住机关干部和窗口人员这个“绝大多数”，常态化学习习近平法治思想。落实《东丽区</w:t>
      </w:r>
      <w:r>
        <w:rPr>
          <w:rFonts w:hint="default" w:ascii="Times New Roman" w:hAnsi="Times New Roman" w:eastAsia="仿宋_GB2312" w:cs="Times New Roman"/>
          <w:sz w:val="31"/>
          <w:szCs w:val="31"/>
          <w:bdr w:val="none" w:color="auto" w:sz="0" w:space="0"/>
        </w:rPr>
        <w:t>2025</w:t>
      </w:r>
      <w:r>
        <w:rPr>
          <w:rFonts w:hint="eastAsia" w:ascii="仿宋_GB2312" w:hAnsi="Calibri" w:eastAsia="仿宋_GB2312" w:cs="仿宋_GB2312"/>
          <w:sz w:val="31"/>
          <w:szCs w:val="31"/>
          <w:bdr w:val="none" w:color="auto" w:sz="0" w:space="0"/>
        </w:rPr>
        <w:t>年“民法典宣传月”工作方案》通知要求，举办东丽区营商环境大讲堂，“民法典进企业”主题宣传活动。通过“重温式”“引领式”“案例式”学习，区政务服务办全体干部职工进一步增强了自觉运用法治思维、法治方式意识，实现全战线、全覆盖的全员学习，切实提高了依法办事的能力和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eastAsia="仿宋_GB2312" w:cs="Times New Roman"/>
          <w:sz w:val="31"/>
          <w:szCs w:val="31"/>
          <w:bdr w:val="none" w:color="auto" w:sz="0" w:space="0"/>
        </w:rPr>
        <w:t>2.</w:t>
      </w:r>
      <w:r>
        <w:rPr>
          <w:rFonts w:hint="eastAsia" w:ascii="仿宋_GB2312" w:hAnsi="Calibri" w:eastAsia="仿宋_GB2312" w:cs="仿宋_GB2312"/>
          <w:sz w:val="31"/>
          <w:szCs w:val="31"/>
          <w:bdr w:val="none" w:color="auto" w:sz="0" w:space="0"/>
        </w:rPr>
        <w:t>精心组织党员干部法治教育培训，依法行政水平进一步提高。坚持以开展国家安全法、《中华人民共和国保守国家秘密法》、“以案释法 月月学法”学习培训、典型案例释解引领，制作《法治政府建设应知应会手册》，组织开展“实干争先 助力营商 素质提升 大讲堂”、法律法规知识测试、法律专家讲堂，充分利用党支部“三会一课”常态化学好用好《习近平法治思想学习纲要》，做好晋职晋级干部法治考试工作。全面贯彻实践要求，充分利用好法律顾问做好审批服务工作，用好“天津干部在线学习”平台，编制我办干部职工应知应会党内法规和国家法律清单，精心组织国家工作人员学法用法考试等工作，推动学习的精准性和实效性，着力强化法治意识，切实做好依法审批，推动理论学习往深里走、往实里走、往心里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eastAsia="仿宋_GB2312" w:cs="Times New Roman"/>
          <w:sz w:val="31"/>
          <w:szCs w:val="31"/>
          <w:bdr w:val="none" w:color="auto" w:sz="0" w:space="0"/>
        </w:rPr>
        <w:t>3.</w:t>
      </w:r>
      <w:r>
        <w:rPr>
          <w:rFonts w:hint="eastAsia" w:ascii="仿宋_GB2312" w:hAnsi="Calibri" w:eastAsia="仿宋_GB2312" w:cs="仿宋_GB2312"/>
          <w:sz w:val="31"/>
          <w:szCs w:val="31"/>
          <w:bdr w:val="none" w:color="auto" w:sz="0" w:space="0"/>
        </w:rPr>
        <w:t>坚持依法进行重大行政决策，不断提升依法决策能力。一是依法履行重大行政决策法定程序。对涉及重大事项或者关系群众切身利益的规范性文件，采取座谈、听证、论证或者向社会公布草案等方式广泛征求意见，把好规范性文件的社会公开关。同时严格落实规范性文件合法性审核、公平竞争审查和备案制度，未经审查或审查未通过、应公示而未公示的文件，不得提交会议讨论审议。今年以来严格按程序完成区政府重大行政决策《东丽区升级实施合规引导告知举措护航企业高质量发展工作方案》，办重大行政决策《东丽区行政许可事项清单（</w:t>
      </w:r>
      <w:r>
        <w:rPr>
          <w:rFonts w:hint="default" w:ascii="Times New Roman" w:hAnsi="Times New Roman" w:eastAsia="仿宋_GB2312" w:cs="Times New Roman"/>
          <w:sz w:val="31"/>
          <w:szCs w:val="31"/>
          <w:bdr w:val="none" w:color="auto" w:sz="0" w:space="0"/>
        </w:rPr>
        <w:t>2025</w:t>
      </w:r>
      <w:r>
        <w:rPr>
          <w:rFonts w:hint="eastAsia" w:ascii="仿宋_GB2312" w:hAnsi="Calibri" w:eastAsia="仿宋_GB2312" w:cs="仿宋_GB2312"/>
          <w:sz w:val="31"/>
          <w:szCs w:val="31"/>
          <w:bdr w:val="none" w:color="auto" w:sz="0" w:space="0"/>
        </w:rPr>
        <w:t>年版）》的制定和公开工作。二是坚持开展规范性文件清理工作。对规范性文件坚持有专人有序清理，做到规范性文件与经济社会发展进程相适应，凡不适应我区改革发展稳定要求的规范性文件予以废止或修改，确保规范性文件与法律、法规不相抵触，确保规范性文件之间相互协调和衔接，把好规范性文件的废止修订关。今年以来完成规范性文件清理</w:t>
      </w:r>
      <w:r>
        <w:rPr>
          <w:rFonts w:hint="default" w:ascii="Times New Roman" w:hAnsi="Times New Roman" w:eastAsia="仿宋_GB2312" w:cs="Times New Roman"/>
          <w:sz w:val="31"/>
          <w:szCs w:val="31"/>
          <w:bdr w:val="none" w:color="auto" w:sz="0" w:space="0"/>
        </w:rPr>
        <w:t>7</w:t>
      </w:r>
      <w:r>
        <w:rPr>
          <w:rFonts w:hint="eastAsia" w:ascii="仿宋_GB2312" w:hAnsi="Calibri" w:eastAsia="仿宋_GB2312" w:cs="仿宋_GB2312"/>
          <w:sz w:val="31"/>
          <w:szCs w:val="31"/>
          <w:bdr w:val="none" w:color="auto" w:sz="0" w:space="0"/>
        </w:rPr>
        <w:t>件，保留</w:t>
      </w:r>
      <w:r>
        <w:rPr>
          <w:rFonts w:hint="default" w:ascii="Times New Roman" w:hAnsi="Times New Roman" w:eastAsia="仿宋_GB2312" w:cs="Times New Roman"/>
          <w:sz w:val="31"/>
          <w:szCs w:val="31"/>
          <w:bdr w:val="none" w:color="auto" w:sz="0" w:space="0"/>
        </w:rPr>
        <w:t>7</w:t>
      </w:r>
      <w:r>
        <w:rPr>
          <w:rFonts w:hint="eastAsia" w:ascii="仿宋_GB2312" w:hAnsi="Calibri" w:eastAsia="仿宋_GB2312" w:cs="仿宋_GB2312"/>
          <w:sz w:val="31"/>
          <w:szCs w:val="31"/>
          <w:bdr w:val="none" w:color="auto" w:sz="0" w:space="0"/>
        </w:rPr>
        <w:t>件。三是充分发挥法律顾问和法规部门的保障作用。注重听取法律顾问、政策法规科的意见，切实防止违法决策、不当决策、拖延决策。全年开展合法性审查、公平竞争审查，法律顾问出具法律意见书</w:t>
      </w:r>
      <w:r>
        <w:rPr>
          <w:rFonts w:hint="default" w:ascii="Times New Roman" w:hAnsi="Times New Roman" w:eastAsia="仿宋_GB2312" w:cs="Times New Roman"/>
          <w:sz w:val="31"/>
          <w:szCs w:val="31"/>
          <w:bdr w:val="none" w:color="auto" w:sz="0" w:space="0"/>
        </w:rPr>
        <w:t>18</w:t>
      </w:r>
      <w:r>
        <w:rPr>
          <w:rFonts w:hint="eastAsia" w:ascii="仿宋_GB2312" w:hAnsi="Calibri" w:eastAsia="仿宋_GB2312" w:cs="仿宋_GB2312"/>
          <w:sz w:val="31"/>
          <w:szCs w:val="31"/>
          <w:bdr w:val="none" w:color="auto" w:sz="0" w:space="0"/>
        </w:rPr>
        <w:t>件。四是切实做好政府信息依申请公开工作。全年完成依申请公开答复</w:t>
      </w:r>
      <w:r>
        <w:rPr>
          <w:rFonts w:hint="default" w:ascii="Times New Roman" w:hAnsi="Times New Roman" w:eastAsia="仿宋_GB2312" w:cs="Times New Roman"/>
          <w:sz w:val="31"/>
          <w:szCs w:val="31"/>
          <w:bdr w:val="none" w:color="auto" w:sz="0" w:space="0"/>
        </w:rPr>
        <w:t>54</w:t>
      </w:r>
      <w:r>
        <w:rPr>
          <w:rFonts w:hint="eastAsia" w:ascii="仿宋_GB2312" w:hAnsi="Calibri" w:eastAsia="仿宋_GB2312" w:cs="仿宋_GB2312"/>
          <w:sz w:val="31"/>
          <w:szCs w:val="31"/>
          <w:bdr w:val="none" w:color="auto" w:sz="0" w:space="0"/>
        </w:rPr>
        <w:t>件。</w:t>
      </w:r>
      <w:r>
        <w:rPr>
          <w:rFonts w:hint="default" w:ascii="Times New Roman" w:hAnsi="Times New Roman" w:eastAsia="仿宋_GB2312" w:cs="Times New Roman"/>
          <w:sz w:val="31"/>
          <w:szCs w:val="31"/>
          <w:bdr w:val="none" w:color="auto" w:sz="0" w:space="0"/>
        </w:rPr>
        <w:t>2025</w:t>
      </w:r>
      <w:r>
        <w:rPr>
          <w:rFonts w:hint="eastAsia" w:ascii="仿宋_GB2312" w:hAnsi="Calibri" w:eastAsia="仿宋_GB2312" w:cs="仿宋_GB2312"/>
          <w:sz w:val="31"/>
          <w:szCs w:val="31"/>
          <w:bdr w:val="none" w:color="auto" w:sz="0" w:space="0"/>
        </w:rPr>
        <w:t>年全年未发生</w:t>
      </w:r>
      <w:r>
        <w:rPr>
          <w:rFonts w:hint="eastAsia" w:ascii="仿宋_GB2312" w:hAnsi="Calibri" w:eastAsia="仿宋_GB2312" w:cs="仿宋_GB2312"/>
          <w:sz w:val="31"/>
          <w:szCs w:val="31"/>
          <w:bdr w:val="none" w:color="auto" w:sz="0" w:space="0"/>
          <w:shd w:val="clear" w:fill="FFFFFF"/>
        </w:rPr>
        <w:t>行政诉讼案件。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Times New Roman" w:hAnsi="Times New Roman" w:cs="Times New Roman"/>
          <w:sz w:val="31"/>
          <w:szCs w:val="31"/>
        </w:rPr>
      </w:pPr>
      <w:r>
        <w:rPr>
          <w:rFonts w:hint="default" w:ascii="Times New Roman" w:hAnsi="Times New Roman" w:eastAsia="仿宋_GB2312" w:cs="Times New Roman"/>
          <w:sz w:val="31"/>
          <w:szCs w:val="31"/>
          <w:bdr w:val="none" w:color="auto" w:sz="0" w:space="0"/>
        </w:rPr>
        <w:t>4.</w:t>
      </w:r>
      <w:r>
        <w:rPr>
          <w:rFonts w:hint="eastAsia" w:ascii="仿宋_GB2312" w:hAnsi="Times New Roman" w:eastAsia="仿宋_GB2312" w:cs="仿宋_GB2312"/>
          <w:sz w:val="31"/>
          <w:szCs w:val="31"/>
          <w:bdr w:val="none" w:color="auto" w:sz="0" w:space="0"/>
        </w:rPr>
        <w:t>落实“谁执法谁普法”普法责任制，做好“八五”普法工作。充分利用办事大厅人员流量大的优势，以政务服务中心</w:t>
      </w:r>
      <w:r>
        <w:rPr>
          <w:rFonts w:hint="default" w:ascii="Times New Roman" w:hAnsi="Times New Roman" w:eastAsia="仿宋_GB2312" w:cs="Times New Roman"/>
          <w:sz w:val="31"/>
          <w:szCs w:val="31"/>
          <w:bdr w:val="none" w:color="auto" w:sz="0" w:space="0"/>
        </w:rPr>
        <w:t>LED</w:t>
      </w:r>
      <w:r>
        <w:rPr>
          <w:rFonts w:hint="eastAsia" w:ascii="仿宋_GB2312" w:hAnsi="Times New Roman" w:eastAsia="仿宋_GB2312" w:cs="仿宋_GB2312"/>
          <w:sz w:val="31"/>
          <w:szCs w:val="31"/>
          <w:bdr w:val="none" w:color="auto" w:sz="0" w:space="0"/>
        </w:rPr>
        <w:t>电子屏幕作为普法宣传和依法行政工作的主要阵地，利用大厅立柱、审批信息</w:t>
      </w:r>
      <w:r>
        <w:rPr>
          <w:rFonts w:hint="default" w:ascii="Times New Roman" w:hAnsi="Times New Roman" w:eastAsia="仿宋_GB2312" w:cs="Times New Roman"/>
          <w:sz w:val="31"/>
          <w:szCs w:val="31"/>
          <w:bdr w:val="none" w:color="auto" w:sz="0" w:space="0"/>
        </w:rPr>
        <w:t>LED</w:t>
      </w:r>
      <w:r>
        <w:rPr>
          <w:rFonts w:hint="eastAsia" w:ascii="仿宋_GB2312" w:hAnsi="Times New Roman" w:eastAsia="仿宋_GB2312" w:cs="仿宋_GB2312"/>
          <w:sz w:val="31"/>
          <w:szCs w:val="31"/>
          <w:bdr w:val="none" w:color="auto" w:sz="0" w:space="0"/>
        </w:rPr>
        <w:t>显示屏大力宣传​《中华人民共和国宪法》《中华人民共和国行政许可法》《中华人民共和国政府信息公开条例》《天津市法治宣传教育条例》《优化营商环境条例》《信访工作条例》等普法内容，实现行政审批的公开透明，让办事人员在发挥公民权利的同时受到法治熏陶从而达到提高公民学法、守法、用法的法治意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ascii="楷体" w:hAnsi="楷体" w:eastAsia="楷体" w:cs="楷体"/>
          <w:sz w:val="31"/>
          <w:szCs w:val="31"/>
          <w:bdr w:val="none" w:color="auto" w:sz="0" w:space="0"/>
        </w:rPr>
        <w:t>（二）强化主体责任，切实肩负起法治建设第一责任人责任，不断推进法治政府建设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eastAsia="仿宋_GB2312" w:cs="Times New Roman"/>
          <w:sz w:val="31"/>
          <w:szCs w:val="31"/>
          <w:bdr w:val="none" w:color="auto" w:sz="0" w:space="0"/>
        </w:rPr>
        <w:t>1.</w:t>
      </w:r>
      <w:r>
        <w:rPr>
          <w:rFonts w:hint="eastAsia" w:ascii="仿宋_GB2312" w:hAnsi="Calibri" w:eastAsia="仿宋_GB2312" w:cs="仿宋_GB2312"/>
          <w:sz w:val="31"/>
          <w:szCs w:val="31"/>
          <w:bdr w:val="none" w:color="auto" w:sz="0" w:space="0"/>
        </w:rPr>
        <w:t>持续提高政治站位，将法治政府建设贯穿始终。严格落实东丽区《关于贯彻落实</w:t>
      </w:r>
      <w:r>
        <w:rPr>
          <w:rFonts w:hint="default" w:ascii="Times New Roman" w:hAnsi="Times New Roman" w:eastAsia="仿宋_GB2312" w:cs="Times New Roman"/>
          <w:sz w:val="31"/>
          <w:szCs w:val="31"/>
          <w:bdr w:val="none" w:color="auto" w:sz="0" w:space="0"/>
        </w:rPr>
        <w:t>&lt;</w:t>
      </w:r>
      <w:r>
        <w:rPr>
          <w:rFonts w:hint="eastAsia" w:ascii="仿宋_GB2312" w:hAnsi="Calibri" w:eastAsia="仿宋_GB2312" w:cs="仿宋_GB2312"/>
          <w:sz w:val="31"/>
          <w:szCs w:val="31"/>
          <w:bdr w:val="none" w:color="auto" w:sz="0" w:space="0"/>
        </w:rPr>
        <w:t>关于党政主要负责人进一步履行推进法治建设第一责任人职责规定</w:t>
      </w:r>
      <w:r>
        <w:rPr>
          <w:rFonts w:hint="default" w:ascii="Times New Roman" w:hAnsi="Times New Roman" w:eastAsia="仿宋_GB2312" w:cs="Times New Roman"/>
          <w:sz w:val="31"/>
          <w:szCs w:val="31"/>
          <w:bdr w:val="none" w:color="auto" w:sz="0" w:space="0"/>
        </w:rPr>
        <w:t>&gt;</w:t>
      </w:r>
      <w:r>
        <w:rPr>
          <w:rFonts w:hint="eastAsia" w:ascii="仿宋_GB2312" w:hAnsi="Calibri" w:eastAsia="仿宋_GB2312" w:cs="仿宋_GB2312"/>
          <w:sz w:val="31"/>
          <w:szCs w:val="31"/>
          <w:bdr w:val="none" w:color="auto" w:sz="0" w:space="0"/>
        </w:rPr>
        <w:t>实施方案》，将法治建设工作与市高质量发展“十项行动”“三新三量”、我区营商环境提升专项行动等重点工作紧密结合，以提高决策能力，推进依法行政贯穿始终，作为增强“四个意识”、坚定“四个自信”、做到“两个维护”的重要体现，带头学，主动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eastAsia="仿宋_GB2312" w:cs="Times New Roman"/>
          <w:sz w:val="31"/>
          <w:szCs w:val="31"/>
          <w:bdr w:val="none" w:color="auto" w:sz="0" w:space="0"/>
        </w:rPr>
        <w:t>2.</w:t>
      </w:r>
      <w:r>
        <w:rPr>
          <w:rFonts w:hint="eastAsia" w:ascii="仿宋_GB2312" w:hAnsi="Calibri" w:eastAsia="仿宋_GB2312" w:cs="仿宋_GB2312"/>
          <w:sz w:val="31"/>
          <w:szCs w:val="31"/>
          <w:bdr w:val="none" w:color="auto" w:sz="0" w:space="0"/>
        </w:rPr>
        <w:t>落实“四个亲自”要求，发挥示范引领作用。主要负责人发挥关键少数的示范引领作用，带头进行提高依法行政能力专题辅导，对年初法治政府建设计划安排亲自组织研究，做到法治工作与其他重要工作同部署、同推进、同督促，每半年组织班子成员研究依法行政工作，对法治政府示范创建、“八五”普法验收等工作做到亲自部署、迎检各项准备亲自过问、区重点招商项目审批亲自协调、区重要任务亲自督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eastAsia="仿宋_GB2312" w:cs="Times New Roman"/>
          <w:sz w:val="31"/>
          <w:szCs w:val="31"/>
          <w:bdr w:val="none" w:color="auto" w:sz="0" w:space="0"/>
        </w:rPr>
        <w:t>3.</w:t>
      </w:r>
      <w:r>
        <w:rPr>
          <w:rFonts w:hint="eastAsia" w:ascii="仿宋_GB2312" w:hAnsi="Calibri" w:eastAsia="仿宋_GB2312" w:cs="仿宋_GB2312"/>
          <w:sz w:val="31"/>
          <w:szCs w:val="31"/>
          <w:bdr w:val="none" w:color="auto" w:sz="0" w:space="0"/>
        </w:rPr>
        <w:t>抓好各项制度落实，做到依法依规决策。严格执行党组工作规则、主任会议制度、“三重一大”事项集体决策、重大行政决策程序规定和规范性文件合法性审查、公平竞争审查等制度，落实法治政府建设工作年度报告公示制度，规范性文件清理，确保决策的合法性。以区委巡察、经责审计为契机，修改完善会议决策、财务管理、机关秩序管理等一系列制度，落实会议末位表态，确保各项决策的合法合规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eastAsia="仿宋_GB2312" w:cs="Times New Roman"/>
          <w:sz w:val="31"/>
          <w:szCs w:val="31"/>
          <w:bdr w:val="none" w:color="auto" w:sz="0" w:space="0"/>
        </w:rPr>
        <w:t>4.</w:t>
      </w:r>
      <w:r>
        <w:rPr>
          <w:rFonts w:hint="eastAsia" w:ascii="仿宋_GB2312" w:hAnsi="Calibri" w:eastAsia="仿宋_GB2312" w:cs="仿宋_GB2312"/>
          <w:sz w:val="31"/>
          <w:szCs w:val="31"/>
          <w:bdr w:val="none" w:color="auto" w:sz="0" w:space="0"/>
        </w:rPr>
        <w:t>切实发挥党组在推进本单位法治政府建设中的领导作用。一是压实法治政府建设责任链条，发挥党组法治政府建设统领作用。围绕法治工作年度重点工作，切实发挥把方向、管大局、作决策、保落实的作用。推进各项工作制度化、规范化、程序化，在优化营商环境、提升政务服务质效、简化审批流程等方面进一步发挥法律顾问的参谋助手作用，确保全年各项任务部署落到实处。二是强化“领导班子”法治建设责任。加强对法治政府建设的统筹谋划、组织实施和督促检查，主要负责人深入落实《党政主要负责人履行推进法治建设第一责任人职责规定》，领导班子成员按照职责分工承担分管工作组织推进。严格履行主责清单，切实全面提升党员领导干部法治素养和依法履职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eastAsia" w:ascii="楷体_GB2312" w:hAnsi="Calibri" w:eastAsia="楷体_GB2312" w:cs="楷体_GB2312"/>
          <w:sz w:val="31"/>
          <w:szCs w:val="31"/>
          <w:bdr w:val="none" w:color="auto" w:sz="0" w:space="0"/>
        </w:rPr>
        <w:t>（三）全面贯彻“一规划、两纲要”，切实提升政务服务能力水平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eastAsia="仿宋_GB2312" w:cs="Times New Roman"/>
          <w:sz w:val="31"/>
          <w:szCs w:val="31"/>
          <w:bdr w:val="none" w:color="auto" w:sz="0" w:space="0"/>
        </w:rPr>
        <w:t>1.</w:t>
      </w:r>
      <w:r>
        <w:rPr>
          <w:rFonts w:hint="eastAsia" w:ascii="仿宋_GB2312" w:hAnsi="Calibri" w:eastAsia="仿宋_GB2312" w:cs="仿宋_GB2312"/>
          <w:sz w:val="31"/>
          <w:szCs w:val="31"/>
          <w:bdr w:val="none" w:color="auto" w:sz="0" w:space="0"/>
        </w:rPr>
        <w:t>全力打造可感可及一流营商环境。一是落实营商环境提升专项行动。聚焦企业关切，</w:t>
      </w:r>
      <w:r>
        <w:rPr>
          <w:rFonts w:hint="default" w:ascii="Times New Roman" w:hAnsi="Times New Roman" w:eastAsia="仿宋_GB2312" w:cs="Times New Roman"/>
          <w:sz w:val="31"/>
          <w:szCs w:val="31"/>
          <w:bdr w:val="none" w:color="auto" w:sz="0" w:space="0"/>
        </w:rPr>
        <w:t>18</w:t>
      </w:r>
      <w:r>
        <w:rPr>
          <w:rFonts w:hint="eastAsia" w:ascii="仿宋_GB2312" w:hAnsi="Calibri" w:eastAsia="仿宋_GB2312" w:cs="仿宋_GB2312"/>
          <w:sz w:val="31"/>
          <w:szCs w:val="31"/>
          <w:bdr w:val="none" w:color="auto" w:sz="0" w:space="0"/>
        </w:rPr>
        <w:t>项重点任务</w:t>
      </w:r>
      <w:r>
        <w:rPr>
          <w:rFonts w:hint="default" w:ascii="Times New Roman" w:hAnsi="Times New Roman" w:eastAsia="仿宋_GB2312" w:cs="Times New Roman"/>
          <w:sz w:val="31"/>
          <w:szCs w:val="31"/>
          <w:bdr w:val="none" w:color="auto" w:sz="0" w:space="0"/>
        </w:rPr>
        <w:t>106</w:t>
      </w:r>
      <w:r>
        <w:rPr>
          <w:rFonts w:hint="eastAsia" w:ascii="仿宋_GB2312" w:hAnsi="Calibri" w:eastAsia="仿宋_GB2312" w:cs="仿宋_GB2312"/>
          <w:sz w:val="31"/>
          <w:szCs w:val="31"/>
          <w:bdr w:val="none" w:color="auto" w:sz="0" w:space="0"/>
        </w:rPr>
        <w:t>项任务已完成。出台《东丽区</w:t>
      </w:r>
      <w:r>
        <w:rPr>
          <w:rFonts w:hint="default" w:ascii="Times New Roman" w:hAnsi="Times New Roman" w:eastAsia="仿宋_GB2312" w:cs="Times New Roman"/>
          <w:sz w:val="31"/>
          <w:szCs w:val="31"/>
          <w:bdr w:val="none" w:color="auto" w:sz="0" w:space="0"/>
        </w:rPr>
        <w:t>2024</w:t>
      </w:r>
      <w:r>
        <w:rPr>
          <w:rFonts w:hint="eastAsia" w:ascii="仿宋_GB2312" w:hAnsi="Calibri" w:eastAsia="仿宋_GB2312" w:cs="仿宋_GB2312"/>
          <w:sz w:val="31"/>
          <w:szCs w:val="31"/>
          <w:bdr w:val="none" w:color="auto" w:sz="0" w:space="0"/>
        </w:rPr>
        <w:t>年营商环境白皮书》，制定了《东丽区升级实施合规引导告知举措 护航企业高质量发展工作方案》，完成</w:t>
      </w:r>
      <w:r>
        <w:rPr>
          <w:rFonts w:hint="eastAsia" w:ascii="仿宋_GB2312" w:hAnsi="Calibri" w:eastAsia="仿宋_GB2312" w:cs="仿宋_GB2312"/>
          <w:spacing w:val="0"/>
          <w:sz w:val="31"/>
          <w:szCs w:val="31"/>
          <w:bdr w:val="none" w:color="auto" w:sz="0" w:space="0"/>
        </w:rPr>
        <w:t>天津市的可持续航空燃料中心、经开区</w:t>
      </w:r>
      <w:r>
        <w:rPr>
          <w:rFonts w:hint="eastAsia" w:ascii="仿宋_GB2312" w:hAnsi="Calibri" w:eastAsia="仿宋_GB2312" w:cs="仿宋_GB2312"/>
          <w:sz w:val="31"/>
          <w:szCs w:val="31"/>
          <w:bdr w:val="none" w:color="auto" w:sz="0" w:space="0"/>
        </w:rPr>
        <w:t>“宜商驿站”、知识产权质押融资等项目投入使用。二是构建陪伴企业成长服务体系。制定《东丽区“政企同行·有需必应”实施方案》，划分</w:t>
      </w:r>
      <w:r>
        <w:rPr>
          <w:rFonts w:hint="default" w:ascii="Times New Roman" w:hAnsi="Times New Roman" w:eastAsia="仿宋_GB2312" w:cs="Times New Roman"/>
          <w:sz w:val="31"/>
          <w:szCs w:val="31"/>
          <w:bdr w:val="none" w:color="auto" w:sz="0" w:space="0"/>
        </w:rPr>
        <w:t>65</w:t>
      </w:r>
      <w:r>
        <w:rPr>
          <w:rFonts w:hint="eastAsia" w:ascii="仿宋_GB2312" w:hAnsi="Calibri" w:eastAsia="仿宋_GB2312" w:cs="仿宋_GB2312"/>
          <w:sz w:val="31"/>
          <w:szCs w:val="31"/>
          <w:bdr w:val="none" w:color="auto" w:sz="0" w:space="0"/>
        </w:rPr>
        <w:t>个网格片区，组建</w:t>
      </w:r>
      <w:r>
        <w:rPr>
          <w:rFonts w:hint="default" w:ascii="Times New Roman" w:hAnsi="Times New Roman" w:eastAsia="仿宋_GB2312" w:cs="Times New Roman"/>
          <w:sz w:val="31"/>
          <w:szCs w:val="31"/>
          <w:bdr w:val="none" w:color="auto" w:sz="0" w:space="0"/>
        </w:rPr>
        <w:t>100</w:t>
      </w:r>
      <w:r>
        <w:rPr>
          <w:rFonts w:hint="eastAsia" w:ascii="仿宋_GB2312" w:hAnsi="Calibri" w:eastAsia="仿宋_GB2312" w:cs="仿宋_GB2312"/>
          <w:sz w:val="31"/>
          <w:szCs w:val="31"/>
          <w:bdr w:val="none" w:color="auto" w:sz="0" w:space="0"/>
        </w:rPr>
        <w:t>余人的服务团队，确保企业诉求“件件有回应”。开展区级营商环境调研，企业总体满意度达</w:t>
      </w:r>
      <w:r>
        <w:rPr>
          <w:rFonts w:hint="default" w:ascii="Times New Roman" w:hAnsi="Times New Roman" w:eastAsia="仿宋_GB2312" w:cs="Times New Roman"/>
          <w:sz w:val="31"/>
          <w:szCs w:val="31"/>
          <w:bdr w:val="none" w:color="auto" w:sz="0" w:space="0"/>
        </w:rPr>
        <w:t>98%</w:t>
      </w:r>
      <w:r>
        <w:rPr>
          <w:rFonts w:hint="eastAsia" w:ascii="仿宋_GB2312" w:hAnsi="Calibri" w:eastAsia="仿宋_GB2312" w:cs="仿宋_GB2312"/>
          <w:sz w:val="31"/>
          <w:szCs w:val="31"/>
          <w:bdr w:val="none" w:color="auto" w:sz="0" w:space="0"/>
        </w:rPr>
        <w:t>。三是营造营商环境建设浓厚氛围。做实惠企政策宣讲，组织政策培训</w:t>
      </w:r>
      <w:r>
        <w:rPr>
          <w:rFonts w:hint="default" w:ascii="Times New Roman" w:hAnsi="Times New Roman" w:eastAsia="仿宋_GB2312" w:cs="Times New Roman"/>
          <w:sz w:val="31"/>
          <w:szCs w:val="31"/>
          <w:bdr w:val="none" w:color="auto" w:sz="0" w:space="0"/>
        </w:rPr>
        <w:t>140</w:t>
      </w:r>
      <w:r>
        <w:rPr>
          <w:rFonts w:hint="eastAsia" w:ascii="仿宋_GB2312" w:hAnsi="Calibri" w:eastAsia="仿宋_GB2312" w:cs="仿宋_GB2312"/>
          <w:sz w:val="31"/>
          <w:szCs w:val="31"/>
          <w:bdr w:val="none" w:color="auto" w:sz="0" w:space="0"/>
        </w:rPr>
        <w:t>余场，覆盖企业</w:t>
      </w:r>
      <w:r>
        <w:rPr>
          <w:rFonts w:hint="default" w:ascii="Times New Roman" w:hAnsi="Times New Roman" w:eastAsia="仿宋_GB2312" w:cs="Times New Roman"/>
          <w:sz w:val="31"/>
          <w:szCs w:val="31"/>
          <w:bdr w:val="none" w:color="auto" w:sz="0" w:space="0"/>
        </w:rPr>
        <w:t>1</w:t>
      </w:r>
      <w:r>
        <w:rPr>
          <w:rFonts w:hint="eastAsia" w:ascii="仿宋_GB2312" w:hAnsi="Calibri" w:eastAsia="仿宋_GB2312" w:cs="仿宋_GB2312"/>
          <w:sz w:val="31"/>
          <w:szCs w:val="31"/>
          <w:bdr w:val="none" w:color="auto" w:sz="0" w:space="0"/>
        </w:rPr>
        <w:t>万余家次。开展“对标先进谋提升”主题活动，推出</w:t>
      </w:r>
      <w:r>
        <w:rPr>
          <w:rFonts w:hint="default" w:ascii="Times New Roman" w:hAnsi="Times New Roman" w:eastAsia="仿宋_GB2312" w:cs="Times New Roman"/>
          <w:sz w:val="31"/>
          <w:szCs w:val="31"/>
          <w:bdr w:val="none" w:color="auto" w:sz="0" w:space="0"/>
        </w:rPr>
        <w:t>11</w:t>
      </w:r>
      <w:r>
        <w:rPr>
          <w:rFonts w:hint="eastAsia" w:ascii="仿宋_GB2312" w:hAnsi="Calibri" w:eastAsia="仿宋_GB2312" w:cs="仿宋_GB2312"/>
          <w:sz w:val="31"/>
          <w:szCs w:val="31"/>
          <w:bdr w:val="none" w:color="auto" w:sz="0" w:space="0"/>
        </w:rPr>
        <w:t>期</w:t>
      </w:r>
      <w:r>
        <w:rPr>
          <w:rFonts w:hint="default" w:ascii="Times New Roman" w:hAnsi="Times New Roman" w:eastAsia="仿宋_GB2312" w:cs="Times New Roman"/>
          <w:sz w:val="31"/>
          <w:szCs w:val="31"/>
          <w:bdr w:val="none" w:color="auto" w:sz="0" w:space="0"/>
        </w:rPr>
        <w:t>120</w:t>
      </w:r>
      <w:r>
        <w:rPr>
          <w:rFonts w:hint="eastAsia" w:ascii="仿宋_GB2312" w:hAnsi="Calibri" w:eastAsia="仿宋_GB2312" w:cs="仿宋_GB2312"/>
          <w:sz w:val="31"/>
          <w:szCs w:val="31"/>
          <w:bdr w:val="none" w:color="auto" w:sz="0" w:space="0"/>
        </w:rPr>
        <w:t>余项典型案例，各单位复制借鉴先进做法</w:t>
      </w:r>
      <w:r>
        <w:rPr>
          <w:rFonts w:hint="default" w:ascii="Times New Roman" w:hAnsi="Times New Roman" w:eastAsia="仿宋_GB2312" w:cs="Times New Roman"/>
          <w:sz w:val="31"/>
          <w:szCs w:val="31"/>
          <w:bdr w:val="none" w:color="auto" w:sz="0" w:space="0"/>
        </w:rPr>
        <w:t>130</w:t>
      </w:r>
      <w:r>
        <w:rPr>
          <w:rFonts w:hint="eastAsia" w:ascii="仿宋_GB2312" w:hAnsi="Calibri" w:eastAsia="仿宋_GB2312" w:cs="仿宋_GB2312"/>
          <w:sz w:val="31"/>
          <w:szCs w:val="31"/>
          <w:bdr w:val="none" w:color="auto" w:sz="0" w:space="0"/>
        </w:rPr>
        <w:t>余条。</w:t>
      </w:r>
      <w:r>
        <w:rPr>
          <w:rFonts w:hint="default" w:ascii="Times New Roman" w:hAnsi="Times New Roman" w:eastAsia="仿宋_GB2312" w:cs="Times New Roman"/>
          <w:sz w:val="31"/>
          <w:szCs w:val="31"/>
          <w:bdr w:val="none" w:color="auto" w:sz="0" w:space="0"/>
        </w:rPr>
        <w:t>30</w:t>
      </w:r>
      <w:r>
        <w:rPr>
          <w:rFonts w:hint="eastAsia" w:ascii="仿宋_GB2312" w:hAnsi="Calibri" w:eastAsia="仿宋_GB2312" w:cs="仿宋_GB2312"/>
          <w:sz w:val="31"/>
          <w:szCs w:val="31"/>
          <w:bdr w:val="none" w:color="auto" w:sz="0" w:space="0"/>
        </w:rPr>
        <w:t>余篇典型案例、经验做法被国家发展改革委《全国优化营商环境情况交流》、市政务服务办和人民日报、新华社等媒体收录、刊载。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eastAsia="仿宋_GB2312" w:cs="Times New Roman"/>
          <w:sz w:val="31"/>
          <w:szCs w:val="31"/>
          <w:bdr w:val="none" w:color="auto" w:sz="0" w:space="0"/>
        </w:rPr>
        <w:t>2.</w:t>
      </w:r>
      <w:r>
        <w:rPr>
          <w:rFonts w:hint="eastAsia" w:ascii="仿宋_GB2312" w:hAnsi="Calibri" w:eastAsia="仿宋_GB2312" w:cs="仿宋_GB2312"/>
          <w:sz w:val="31"/>
          <w:szCs w:val="31"/>
          <w:bdr w:val="none" w:color="auto" w:sz="0" w:space="0"/>
        </w:rPr>
        <w:t>深入推动政务服务改革工作。一是落实行政审批依法公开运行。坚持公布《行政许可事项清单》和负面清单，制定“免申即享”“中介要件”“告知承诺”“证明材料”清单并向社会公布，明确行政许可边界，落实国务院“证照分离”“高效办成一次办”“跨省通办”等改革举措，经验做法在中华人民共和国国家发展和改革委员会/国家发展改革委《全国优化营商环境情况交流》第</w:t>
      </w:r>
      <w:r>
        <w:rPr>
          <w:rFonts w:hint="default" w:ascii="Times New Roman" w:hAnsi="Times New Roman" w:eastAsia="仿宋_GB2312" w:cs="Times New Roman"/>
          <w:sz w:val="31"/>
          <w:szCs w:val="31"/>
          <w:bdr w:val="none" w:color="auto" w:sz="0" w:space="0"/>
        </w:rPr>
        <w:t>17</w:t>
      </w:r>
      <w:r>
        <w:rPr>
          <w:rFonts w:hint="eastAsia" w:ascii="仿宋_GB2312" w:hAnsi="Calibri" w:eastAsia="仿宋_GB2312" w:cs="仿宋_GB2312"/>
          <w:sz w:val="31"/>
          <w:szCs w:val="31"/>
          <w:bdr w:val="none" w:color="auto" w:sz="0" w:space="0"/>
        </w:rPr>
        <w:t>期中刊载，全面实行审批“马上办、网上办、就近办、一次办、自助办”，网上办件量达</w:t>
      </w:r>
      <w:r>
        <w:rPr>
          <w:rFonts w:hint="default" w:ascii="Times New Roman" w:hAnsi="Times New Roman" w:eastAsia="仿宋_GB2312" w:cs="Times New Roman"/>
          <w:sz w:val="31"/>
          <w:szCs w:val="31"/>
          <w:bdr w:val="none" w:color="auto" w:sz="0" w:space="0"/>
        </w:rPr>
        <w:t>99%</w:t>
      </w:r>
      <w:r>
        <w:rPr>
          <w:rFonts w:hint="eastAsia" w:ascii="仿宋_GB2312" w:hAnsi="Calibri" w:eastAsia="仿宋_GB2312" w:cs="仿宋_GB2312"/>
          <w:sz w:val="31"/>
          <w:szCs w:val="31"/>
          <w:bdr w:val="none" w:color="auto" w:sz="0" w:space="0"/>
        </w:rPr>
        <w:t>。推进政务服务标准化规范化便利化建设，在办事大厅开设综合受理专区，实现“前台综合受理、后台分类审批、统一窗口出件”服务模式，推动建立审批和监管协同联动工作机制，使我区在全市较早全面完成审管联动工作。二是深化改革，持续提升服务效能。全面落实国家、市级</w:t>
      </w:r>
      <w:r>
        <w:rPr>
          <w:rFonts w:hint="default" w:ascii="Times New Roman" w:hAnsi="Times New Roman" w:eastAsia="仿宋_GB2312" w:cs="Times New Roman"/>
          <w:sz w:val="31"/>
          <w:szCs w:val="31"/>
          <w:bdr w:val="none" w:color="auto" w:sz="0" w:space="0"/>
        </w:rPr>
        <w:t>33</w:t>
      </w:r>
      <w:r>
        <w:rPr>
          <w:rFonts w:hint="eastAsia" w:ascii="仿宋_GB2312" w:hAnsi="Calibri" w:eastAsia="仿宋_GB2312" w:cs="仿宋_GB2312"/>
          <w:sz w:val="31"/>
          <w:szCs w:val="31"/>
          <w:bdr w:val="none" w:color="auto" w:sz="0" w:space="0"/>
        </w:rPr>
        <w:t>个“一件事”场景，解答咨询超</w:t>
      </w:r>
      <w:r>
        <w:rPr>
          <w:rFonts w:hint="default" w:ascii="Times New Roman" w:hAnsi="Times New Roman" w:eastAsia="仿宋_GB2312" w:cs="Times New Roman"/>
          <w:sz w:val="31"/>
          <w:szCs w:val="31"/>
          <w:bdr w:val="none" w:color="auto" w:sz="0" w:space="0"/>
        </w:rPr>
        <w:t>2.5</w:t>
      </w:r>
      <w:r>
        <w:rPr>
          <w:rFonts w:hint="eastAsia" w:ascii="仿宋_GB2312" w:hAnsi="Calibri" w:eastAsia="仿宋_GB2312" w:cs="仿宋_GB2312"/>
          <w:sz w:val="31"/>
          <w:szCs w:val="31"/>
          <w:bdr w:val="none" w:color="auto" w:sz="0" w:space="0"/>
        </w:rPr>
        <w:t>万余人次，指导帮办</w:t>
      </w:r>
      <w:r>
        <w:rPr>
          <w:rFonts w:hint="default" w:ascii="Times New Roman" w:hAnsi="Times New Roman" w:eastAsia="仿宋_GB2312" w:cs="Times New Roman"/>
          <w:sz w:val="31"/>
          <w:szCs w:val="31"/>
          <w:bdr w:val="none" w:color="auto" w:sz="0" w:space="0"/>
        </w:rPr>
        <w:t>6.7</w:t>
      </w:r>
      <w:r>
        <w:rPr>
          <w:rFonts w:hint="eastAsia" w:ascii="仿宋_GB2312" w:hAnsi="Calibri" w:eastAsia="仿宋_GB2312" w:cs="仿宋_GB2312"/>
          <w:sz w:val="31"/>
          <w:szCs w:val="31"/>
          <w:bdr w:val="none" w:color="auto" w:sz="0" w:space="0"/>
        </w:rPr>
        <w:t>万余件次。创新推出</w:t>
      </w:r>
      <w:r>
        <w:rPr>
          <w:rFonts w:hint="default" w:ascii="Times New Roman" w:hAnsi="Times New Roman" w:eastAsia="仿宋_GB2312" w:cs="Times New Roman"/>
          <w:sz w:val="31"/>
          <w:szCs w:val="31"/>
          <w:bdr w:val="none" w:color="auto" w:sz="0" w:space="0"/>
        </w:rPr>
        <w:t>10</w:t>
      </w:r>
      <w:r>
        <w:rPr>
          <w:rFonts w:hint="eastAsia" w:ascii="仿宋_GB2312" w:hAnsi="Calibri" w:eastAsia="仿宋_GB2312" w:cs="仿宋_GB2312"/>
          <w:sz w:val="31"/>
          <w:szCs w:val="31"/>
          <w:bdr w:val="none" w:color="auto" w:sz="0" w:space="0"/>
        </w:rPr>
        <w:t>项区级“一件事”，涵盖企业融资、股权转让等领域，印发配套指南，办理</w:t>
      </w:r>
      <w:r>
        <w:rPr>
          <w:rFonts w:hint="default" w:ascii="Times New Roman" w:hAnsi="Times New Roman" w:eastAsia="仿宋_GB2312" w:cs="Times New Roman"/>
          <w:sz w:val="31"/>
          <w:szCs w:val="31"/>
          <w:bdr w:val="none" w:color="auto" w:sz="0" w:space="0"/>
        </w:rPr>
        <w:t>3500</w:t>
      </w:r>
      <w:r>
        <w:rPr>
          <w:rFonts w:hint="eastAsia" w:ascii="仿宋_GB2312" w:hAnsi="Calibri" w:eastAsia="仿宋_GB2312" w:cs="仿宋_GB2312"/>
          <w:sz w:val="31"/>
          <w:szCs w:val="31"/>
          <w:bdr w:val="none" w:color="auto" w:sz="0" w:space="0"/>
        </w:rPr>
        <w:t>余件次，效能平均提升</w:t>
      </w:r>
      <w:r>
        <w:rPr>
          <w:rFonts w:hint="default" w:ascii="Times New Roman" w:hAnsi="Times New Roman" w:eastAsia="仿宋_GB2312" w:cs="Times New Roman"/>
          <w:sz w:val="31"/>
          <w:szCs w:val="31"/>
          <w:bdr w:val="none" w:color="auto" w:sz="0" w:space="0"/>
        </w:rPr>
        <w:t>50%</w:t>
      </w:r>
      <w:r>
        <w:rPr>
          <w:rFonts w:hint="eastAsia" w:ascii="仿宋_GB2312" w:hAnsi="Calibri" w:eastAsia="仿宋_GB2312" w:cs="仿宋_GB2312"/>
          <w:sz w:val="31"/>
          <w:szCs w:val="31"/>
          <w:bdr w:val="none" w:color="auto" w:sz="0" w:space="0"/>
        </w:rPr>
        <w:t>以上。三是完善体系，夯实政务服务基础。动态发布区级非许可类事项清单，涵盖</w:t>
      </w:r>
      <w:r>
        <w:rPr>
          <w:rFonts w:hint="default" w:ascii="Times New Roman" w:hAnsi="Times New Roman" w:eastAsia="仿宋_GB2312" w:cs="Times New Roman"/>
          <w:sz w:val="31"/>
          <w:szCs w:val="31"/>
          <w:bdr w:val="none" w:color="auto" w:sz="0" w:space="0"/>
        </w:rPr>
        <w:t>512</w:t>
      </w:r>
      <w:r>
        <w:rPr>
          <w:rFonts w:hint="eastAsia" w:ascii="仿宋_GB2312" w:hAnsi="Calibri" w:eastAsia="仿宋_GB2312" w:cs="仿宋_GB2312"/>
          <w:sz w:val="31"/>
          <w:szCs w:val="31"/>
          <w:bdr w:val="none" w:color="auto" w:sz="0" w:space="0"/>
        </w:rPr>
        <w:t>个事项。“互联网</w:t>
      </w:r>
      <w:r>
        <w:rPr>
          <w:rFonts w:hint="default" w:ascii="Times New Roman" w:hAnsi="Times New Roman" w:eastAsia="仿宋_GB2312" w:cs="Times New Roman"/>
          <w:sz w:val="31"/>
          <w:szCs w:val="31"/>
          <w:bdr w:val="none" w:color="auto" w:sz="0" w:space="0"/>
        </w:rPr>
        <w:t>+</w:t>
      </w:r>
      <w:r>
        <w:rPr>
          <w:rFonts w:hint="eastAsia" w:ascii="仿宋_GB2312" w:hAnsi="Calibri" w:eastAsia="仿宋_GB2312" w:cs="仿宋_GB2312"/>
          <w:sz w:val="31"/>
          <w:szCs w:val="31"/>
          <w:bdr w:val="none" w:color="auto" w:sz="0" w:space="0"/>
        </w:rPr>
        <w:t>政务服务”网上办、一次办率稳定在</w:t>
      </w:r>
      <w:r>
        <w:rPr>
          <w:rFonts w:hint="default" w:ascii="Times New Roman" w:hAnsi="Times New Roman" w:eastAsia="仿宋_GB2312" w:cs="Times New Roman"/>
          <w:sz w:val="31"/>
          <w:szCs w:val="31"/>
          <w:bdr w:val="none" w:color="auto" w:sz="0" w:space="0"/>
        </w:rPr>
        <w:t>99%</w:t>
      </w:r>
      <w:r>
        <w:rPr>
          <w:rFonts w:hint="eastAsia" w:ascii="仿宋_GB2312" w:hAnsi="Calibri" w:eastAsia="仿宋_GB2312" w:cs="仿宋_GB2312"/>
          <w:sz w:val="31"/>
          <w:szCs w:val="31"/>
          <w:bdr w:val="none" w:color="auto" w:sz="0" w:space="0"/>
        </w:rPr>
        <w:t>以上。接入北京“云窗”系统，上线</w:t>
      </w:r>
      <w:r>
        <w:rPr>
          <w:rFonts w:hint="default" w:ascii="Times New Roman" w:hAnsi="Times New Roman" w:eastAsia="仿宋_GB2312" w:cs="Times New Roman"/>
          <w:sz w:val="31"/>
          <w:szCs w:val="31"/>
          <w:bdr w:val="none" w:color="auto" w:sz="0" w:space="0"/>
        </w:rPr>
        <w:t>70</w:t>
      </w:r>
      <w:r>
        <w:rPr>
          <w:rFonts w:hint="eastAsia" w:ascii="仿宋_GB2312" w:hAnsi="Calibri" w:eastAsia="仿宋_GB2312" w:cs="仿宋_GB2312"/>
          <w:sz w:val="31"/>
          <w:szCs w:val="31"/>
          <w:bdr w:val="none" w:color="auto" w:sz="0" w:space="0"/>
        </w:rPr>
        <w:t>个高频事项，服务京津冀跨区域通办。推行“说不”否定答复报告及季度回访机制，持续提升群众满意度。四是优化服务，增强群众办事体验。开展“送学上门”及窗口培训，提升人员服务能力。组织政务服务中的“面子工程”排查整治，优化软硬件设施。开展“丽企赋能百日行动”，办领导定期驻厅服务，形成“领导带头—科室联动—企业受益”新机制，有效解决企业复杂难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eastAsia="仿宋_GB2312" w:cs="Times New Roman"/>
          <w:sz w:val="31"/>
          <w:szCs w:val="31"/>
          <w:bdr w:val="none" w:color="auto" w:sz="0" w:space="0"/>
        </w:rPr>
        <w:t>3.</w:t>
      </w:r>
      <w:r>
        <w:rPr>
          <w:rFonts w:hint="eastAsia" w:ascii="仿宋_GB2312" w:hAnsi="Calibri" w:eastAsia="仿宋_GB2312" w:cs="仿宋_GB2312"/>
          <w:sz w:val="31"/>
          <w:szCs w:val="31"/>
          <w:bdr w:val="none" w:color="auto" w:sz="0" w:space="0"/>
        </w:rPr>
        <w:t>提升助力企业全周期发展能力。一是持续推出“丽企办”创新服务举措。创新推出“智享式”“纾解式”“全链式”“相融式”等</w:t>
      </w:r>
      <w:r>
        <w:rPr>
          <w:rFonts w:hint="default" w:ascii="Times New Roman" w:hAnsi="Times New Roman" w:eastAsia="仿宋_GB2312" w:cs="Times New Roman"/>
          <w:sz w:val="31"/>
          <w:szCs w:val="31"/>
          <w:bdr w:val="none" w:color="auto" w:sz="0" w:space="0"/>
        </w:rPr>
        <w:t>8</w:t>
      </w:r>
      <w:r>
        <w:rPr>
          <w:rFonts w:hint="eastAsia" w:ascii="仿宋_GB2312" w:hAnsi="Calibri" w:eastAsia="仿宋_GB2312" w:cs="仿宋_GB2312"/>
          <w:sz w:val="31"/>
          <w:szCs w:val="31"/>
          <w:bdr w:val="none" w:color="auto" w:sz="0" w:space="0"/>
        </w:rPr>
        <w:t>项举措，审批材料准备时间压缩</w:t>
      </w:r>
      <w:r>
        <w:rPr>
          <w:rFonts w:hint="default" w:ascii="Times New Roman" w:hAnsi="Times New Roman" w:eastAsia="仿宋_GB2312" w:cs="Times New Roman"/>
          <w:sz w:val="31"/>
          <w:szCs w:val="31"/>
          <w:bdr w:val="none" w:color="auto" w:sz="0" w:space="0"/>
        </w:rPr>
        <w:t>60%</w:t>
      </w:r>
      <w:r>
        <w:rPr>
          <w:rFonts w:hint="eastAsia" w:ascii="仿宋_GB2312" w:hAnsi="Calibri" w:eastAsia="仿宋_GB2312" w:cs="仿宋_GB2312"/>
          <w:sz w:val="31"/>
          <w:szCs w:val="31"/>
          <w:bdr w:val="none" w:color="auto" w:sz="0" w:space="0"/>
        </w:rPr>
        <w:t>，办理时限压缩</w:t>
      </w:r>
      <w:r>
        <w:rPr>
          <w:rFonts w:hint="default" w:ascii="Times New Roman" w:hAnsi="Times New Roman" w:eastAsia="仿宋_GB2312" w:cs="Times New Roman"/>
          <w:sz w:val="31"/>
          <w:szCs w:val="31"/>
          <w:bdr w:val="none" w:color="auto" w:sz="0" w:space="0"/>
        </w:rPr>
        <w:t>66%</w:t>
      </w:r>
      <w:r>
        <w:rPr>
          <w:rFonts w:hint="eastAsia" w:ascii="仿宋_GB2312" w:hAnsi="Calibri" w:eastAsia="仿宋_GB2312" w:cs="仿宋_GB2312"/>
          <w:sz w:val="31"/>
          <w:szCs w:val="31"/>
          <w:bdr w:val="none" w:color="auto" w:sz="0" w:space="0"/>
        </w:rPr>
        <w:t>，服务响应提速</w:t>
      </w:r>
      <w:r>
        <w:rPr>
          <w:rFonts w:hint="default" w:ascii="Times New Roman" w:hAnsi="Times New Roman" w:eastAsia="仿宋_GB2312" w:cs="Times New Roman"/>
          <w:sz w:val="31"/>
          <w:szCs w:val="31"/>
          <w:bdr w:val="none" w:color="auto" w:sz="0" w:space="0"/>
        </w:rPr>
        <w:t>50%</w:t>
      </w:r>
      <w:r>
        <w:rPr>
          <w:rFonts w:hint="eastAsia" w:ascii="仿宋_GB2312" w:hAnsi="Calibri" w:eastAsia="仿宋_GB2312" w:cs="仿宋_GB2312"/>
          <w:sz w:val="31"/>
          <w:szCs w:val="31"/>
          <w:bdr w:val="none" w:color="auto" w:sz="0" w:space="0"/>
        </w:rPr>
        <w:t>，其中，《东丽区推出“丽企办—智享式”</w:t>
      </w:r>
      <w:r>
        <w:rPr>
          <w:rFonts w:hint="default" w:ascii="Times New Roman" w:hAnsi="Times New Roman" w:eastAsia="仿宋_GB2312" w:cs="Times New Roman"/>
          <w:sz w:val="31"/>
          <w:szCs w:val="31"/>
          <w:bdr w:val="none" w:color="auto" w:sz="0" w:space="0"/>
        </w:rPr>
        <w:t>AI</w:t>
      </w:r>
      <w:r>
        <w:rPr>
          <w:rFonts w:hint="eastAsia" w:ascii="仿宋_GB2312" w:hAnsi="Calibri" w:eastAsia="仿宋_GB2312" w:cs="仿宋_GB2312"/>
          <w:sz w:val="31"/>
          <w:szCs w:val="31"/>
          <w:bdr w:val="none" w:color="auto" w:sz="0" w:space="0"/>
        </w:rPr>
        <w:t>政务服务平台》《天津东丽区推行“打捆式”环评审批模式（落实促进民营经济发展的政策措施）》等经验做法在《人民日报》等国家级媒体刊发。二是发挥工程建设项目审批牵头作用。跨职能打通</w:t>
      </w:r>
      <w:r>
        <w:rPr>
          <w:rFonts w:hint="default" w:ascii="Times New Roman" w:hAnsi="Times New Roman" w:eastAsia="仿宋_GB2312" w:cs="Times New Roman"/>
          <w:sz w:val="31"/>
          <w:szCs w:val="31"/>
          <w:bdr w:val="none" w:color="auto" w:sz="0" w:space="0"/>
        </w:rPr>
        <w:t>9</w:t>
      </w:r>
      <w:r>
        <w:rPr>
          <w:rFonts w:hint="eastAsia" w:ascii="仿宋_GB2312" w:hAnsi="Calibri" w:eastAsia="仿宋_GB2312" w:cs="仿宋_GB2312"/>
          <w:sz w:val="31"/>
          <w:szCs w:val="31"/>
          <w:bdr w:val="none" w:color="auto" w:sz="0" w:space="0"/>
        </w:rPr>
        <w:t>类开工疑难问题，全链条服务玉湖冷链等重点项目量身定制推进方案，实现“当年拿地、当年开工”。推动</w:t>
      </w:r>
      <w:r>
        <w:rPr>
          <w:rFonts w:hint="default" w:ascii="Times New Roman" w:hAnsi="Times New Roman" w:eastAsia="仿宋_GB2312" w:cs="Times New Roman"/>
          <w:sz w:val="31"/>
          <w:szCs w:val="31"/>
          <w:bdr w:val="none" w:color="auto" w:sz="0" w:space="0"/>
        </w:rPr>
        <w:t>394</w:t>
      </w:r>
      <w:r>
        <w:rPr>
          <w:rFonts w:hint="eastAsia" w:ascii="仿宋_GB2312" w:hAnsi="Calibri" w:eastAsia="仿宋_GB2312" w:cs="仿宋_GB2312"/>
          <w:sz w:val="31"/>
          <w:szCs w:val="31"/>
          <w:bdr w:val="none" w:color="auto" w:sz="0" w:space="0"/>
        </w:rPr>
        <w:t>个投资项目在我区落地，新增总投资</w:t>
      </w:r>
      <w:r>
        <w:rPr>
          <w:rFonts w:hint="default" w:ascii="Times New Roman" w:hAnsi="Times New Roman" w:eastAsia="仿宋_GB2312" w:cs="Times New Roman"/>
          <w:sz w:val="31"/>
          <w:szCs w:val="31"/>
          <w:bdr w:val="none" w:color="auto" w:sz="0" w:space="0"/>
        </w:rPr>
        <w:t>240.30</w:t>
      </w:r>
      <w:r>
        <w:rPr>
          <w:rFonts w:hint="eastAsia" w:ascii="仿宋_GB2312" w:hAnsi="Calibri" w:eastAsia="仿宋_GB2312" w:cs="仿宋_GB2312"/>
          <w:sz w:val="31"/>
          <w:szCs w:val="31"/>
          <w:bdr w:val="none" w:color="auto" w:sz="0" w:space="0"/>
        </w:rPr>
        <w:t>亿元，</w:t>
      </w:r>
      <w:r>
        <w:rPr>
          <w:rFonts w:hint="default" w:ascii="Times New Roman" w:hAnsi="Times New Roman" w:eastAsia="仿宋_GB2312" w:cs="Times New Roman"/>
          <w:sz w:val="31"/>
          <w:szCs w:val="31"/>
          <w:bdr w:val="none" w:color="auto" w:sz="0" w:space="0"/>
        </w:rPr>
        <w:t>82</w:t>
      </w:r>
      <w:r>
        <w:rPr>
          <w:rFonts w:hint="eastAsia" w:ascii="仿宋_GB2312" w:hAnsi="Calibri" w:eastAsia="仿宋_GB2312" w:cs="仿宋_GB2312"/>
          <w:sz w:val="31"/>
          <w:szCs w:val="31"/>
          <w:bdr w:val="none" w:color="auto" w:sz="0" w:space="0"/>
        </w:rPr>
        <w:t>个工程项目如期开工建设，总开工建筑面积</w:t>
      </w:r>
      <w:r>
        <w:rPr>
          <w:rFonts w:hint="default" w:ascii="Times New Roman" w:hAnsi="Times New Roman" w:eastAsia="仿宋_GB2312" w:cs="Times New Roman"/>
          <w:sz w:val="31"/>
          <w:szCs w:val="31"/>
          <w:bdr w:val="none" w:color="auto" w:sz="0" w:space="0"/>
        </w:rPr>
        <w:t>166</w:t>
      </w:r>
      <w:r>
        <w:rPr>
          <w:rFonts w:hint="eastAsia" w:ascii="仿宋_GB2312" w:hAnsi="Calibri" w:eastAsia="仿宋_GB2312" w:cs="仿宋_GB2312"/>
          <w:sz w:val="31"/>
          <w:szCs w:val="31"/>
          <w:bdr w:val="none" w:color="auto" w:sz="0" w:space="0"/>
        </w:rPr>
        <w:t>万平方米。三是靠前提供增值化服务助力企业发展。推动存量资产项目落地，出台《东丽区盘活工业存量资产项目环境影响评价审批工作方案》，解决天津亚米特等企业闲置厂房环评审批问题。将排污口设置许可、环境影响评价审批、排污许可证核发时限从</w:t>
      </w:r>
      <w:r>
        <w:rPr>
          <w:rFonts w:hint="default" w:ascii="Times New Roman" w:hAnsi="Times New Roman" w:eastAsia="仿宋_GB2312" w:cs="Times New Roman"/>
          <w:sz w:val="31"/>
          <w:szCs w:val="31"/>
          <w:bdr w:val="none" w:color="auto" w:sz="0" w:space="0"/>
        </w:rPr>
        <w:t>3</w:t>
      </w:r>
      <w:r>
        <w:rPr>
          <w:rFonts w:hint="eastAsia" w:ascii="仿宋_GB2312" w:hAnsi="Calibri" w:eastAsia="仿宋_GB2312" w:cs="仿宋_GB2312"/>
          <w:sz w:val="31"/>
          <w:szCs w:val="31"/>
          <w:bdr w:val="none" w:color="auto" w:sz="0" w:space="0"/>
        </w:rPr>
        <w:t>个月压缩至</w:t>
      </w:r>
      <w:r>
        <w:rPr>
          <w:rFonts w:hint="default" w:ascii="Times New Roman" w:hAnsi="Times New Roman" w:eastAsia="仿宋_GB2312" w:cs="Times New Roman"/>
          <w:sz w:val="31"/>
          <w:szCs w:val="31"/>
          <w:bdr w:val="none" w:color="auto" w:sz="0" w:space="0"/>
        </w:rPr>
        <w:t>1</w:t>
      </w:r>
      <w:r>
        <w:rPr>
          <w:rFonts w:hint="eastAsia" w:ascii="仿宋_GB2312" w:hAnsi="Calibri" w:eastAsia="仿宋_GB2312" w:cs="仿宋_GB2312"/>
          <w:sz w:val="31"/>
          <w:szCs w:val="31"/>
          <w:bdr w:val="none" w:color="auto" w:sz="0" w:space="0"/>
        </w:rPr>
        <w:t>个月内，推动东丽湖污水处理项目落地。通过组团上门</w:t>
      </w:r>
      <w:r>
        <w:rPr>
          <w:rFonts w:hint="default" w:ascii="Times New Roman" w:hAnsi="Times New Roman" w:eastAsia="仿宋_GB2312" w:cs="Times New Roman"/>
          <w:sz w:val="31"/>
          <w:szCs w:val="31"/>
          <w:bdr w:val="none" w:color="auto" w:sz="0" w:space="0"/>
        </w:rPr>
        <w:t>+</w:t>
      </w:r>
      <w:r>
        <w:rPr>
          <w:rFonts w:hint="eastAsia" w:ascii="仿宋_GB2312" w:hAnsi="Calibri" w:eastAsia="仿宋_GB2312" w:cs="仿宋_GB2312"/>
          <w:sz w:val="31"/>
          <w:szCs w:val="31"/>
          <w:bdr w:val="none" w:color="auto" w:sz="0" w:space="0"/>
        </w:rPr>
        <w:t>超前服务，为投资</w:t>
      </w:r>
      <w:r>
        <w:rPr>
          <w:rFonts w:hint="default" w:ascii="Times New Roman" w:hAnsi="Times New Roman" w:eastAsia="仿宋_GB2312" w:cs="Times New Roman"/>
          <w:sz w:val="31"/>
          <w:szCs w:val="31"/>
          <w:bdr w:val="none" w:color="auto" w:sz="0" w:space="0"/>
        </w:rPr>
        <w:t>3</w:t>
      </w:r>
      <w:r>
        <w:rPr>
          <w:rFonts w:hint="eastAsia" w:ascii="仿宋_GB2312" w:hAnsi="Calibri" w:eastAsia="仿宋_GB2312" w:cs="仿宋_GB2312"/>
          <w:sz w:val="31"/>
          <w:szCs w:val="31"/>
          <w:bdr w:val="none" w:color="auto" w:sz="0" w:space="0"/>
        </w:rPr>
        <w:t>亿元的天津钢管绿色精品高端特种钢升级改造项目节约环评审批时间</w:t>
      </w:r>
      <w:r>
        <w:rPr>
          <w:rFonts w:hint="default" w:ascii="Times New Roman" w:hAnsi="Times New Roman" w:eastAsia="仿宋_GB2312" w:cs="Times New Roman"/>
          <w:sz w:val="31"/>
          <w:szCs w:val="31"/>
          <w:bdr w:val="none" w:color="auto" w:sz="0" w:space="0"/>
        </w:rPr>
        <w:t>2</w:t>
      </w:r>
      <w:r>
        <w:rPr>
          <w:rFonts w:hint="eastAsia" w:ascii="仿宋_GB2312" w:hAnsi="Calibri" w:eastAsia="仿宋_GB2312" w:cs="仿宋_GB2312"/>
          <w:sz w:val="31"/>
          <w:szCs w:val="31"/>
          <w:bdr w:val="none" w:color="auto" w:sz="0" w:space="0"/>
        </w:rPr>
        <w:t>个月以上。打造放射诊疗事项“三证合一”集成办理，实现“一套材料、一窗受理”，审批时限从</w:t>
      </w:r>
      <w:r>
        <w:rPr>
          <w:rFonts w:hint="default" w:ascii="Times New Roman" w:hAnsi="Times New Roman" w:eastAsia="仿宋_GB2312" w:cs="Times New Roman"/>
          <w:sz w:val="31"/>
          <w:szCs w:val="31"/>
          <w:bdr w:val="none" w:color="auto" w:sz="0" w:space="0"/>
        </w:rPr>
        <w:t>15</w:t>
      </w:r>
      <w:r>
        <w:rPr>
          <w:rFonts w:hint="eastAsia" w:ascii="仿宋_GB2312" w:hAnsi="Calibri" w:eastAsia="仿宋_GB2312" w:cs="仿宋_GB2312"/>
          <w:sz w:val="31"/>
          <w:szCs w:val="31"/>
          <w:bdr w:val="none" w:color="auto" w:sz="0" w:space="0"/>
        </w:rPr>
        <w:t>天压缩至</w:t>
      </w:r>
      <w:r>
        <w:rPr>
          <w:rFonts w:hint="default" w:ascii="Times New Roman" w:hAnsi="Times New Roman" w:eastAsia="仿宋_GB2312" w:cs="Times New Roman"/>
          <w:sz w:val="31"/>
          <w:szCs w:val="31"/>
          <w:bdr w:val="none" w:color="auto" w:sz="0" w:space="0"/>
        </w:rPr>
        <w:t>5</w:t>
      </w:r>
      <w:r>
        <w:rPr>
          <w:rFonts w:hint="eastAsia" w:ascii="仿宋_GB2312" w:hAnsi="Calibri" w:eastAsia="仿宋_GB2312" w:cs="仿宋_GB2312"/>
          <w:sz w:val="31"/>
          <w:szCs w:val="31"/>
          <w:bdr w:val="none" w:color="auto" w:sz="0" w:space="0"/>
        </w:rPr>
        <w:t>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eastAsia="仿宋_GB2312" w:cs="Times New Roman"/>
          <w:sz w:val="31"/>
          <w:szCs w:val="31"/>
          <w:bdr w:val="none" w:color="auto" w:sz="0" w:space="0"/>
        </w:rPr>
        <w:t>4.</w:t>
      </w:r>
      <w:r>
        <w:rPr>
          <w:rFonts w:hint="eastAsia" w:ascii="仿宋_GB2312" w:hAnsi="Calibri" w:eastAsia="仿宋_GB2312" w:cs="仿宋_GB2312"/>
          <w:sz w:val="31"/>
          <w:szCs w:val="31"/>
          <w:bdr w:val="none" w:color="auto" w:sz="0" w:space="0"/>
        </w:rPr>
        <w:t>提升服务能力，深化优质服务。一是强化干部作风建设。采用“现场巡查</w:t>
      </w:r>
      <w:r>
        <w:rPr>
          <w:rFonts w:hint="default" w:ascii="Times New Roman" w:hAnsi="Times New Roman" w:eastAsia="仿宋_GB2312" w:cs="Times New Roman"/>
          <w:sz w:val="31"/>
          <w:szCs w:val="31"/>
          <w:bdr w:val="none" w:color="auto" w:sz="0" w:space="0"/>
        </w:rPr>
        <w:t>+</w:t>
      </w:r>
      <w:r>
        <w:rPr>
          <w:rFonts w:hint="eastAsia" w:ascii="仿宋_GB2312" w:hAnsi="Calibri" w:eastAsia="仿宋_GB2312" w:cs="仿宋_GB2312"/>
          <w:sz w:val="31"/>
          <w:szCs w:val="31"/>
          <w:bdr w:val="none" w:color="auto" w:sz="0" w:space="0"/>
        </w:rPr>
        <w:t>视频抓拍</w:t>
      </w:r>
      <w:r>
        <w:rPr>
          <w:rFonts w:hint="default" w:ascii="Times New Roman" w:hAnsi="Times New Roman" w:eastAsia="仿宋_GB2312" w:cs="Times New Roman"/>
          <w:sz w:val="31"/>
          <w:szCs w:val="31"/>
          <w:bdr w:val="none" w:color="auto" w:sz="0" w:space="0"/>
        </w:rPr>
        <w:t>+</w:t>
      </w:r>
      <w:r>
        <w:rPr>
          <w:rFonts w:hint="eastAsia" w:ascii="仿宋_GB2312" w:hAnsi="Calibri" w:eastAsia="仿宋_GB2312" w:cs="仿宋_GB2312"/>
          <w:sz w:val="31"/>
          <w:szCs w:val="31"/>
          <w:bdr w:val="none" w:color="auto" w:sz="0" w:space="0"/>
        </w:rPr>
        <w:t>数据量化”管理模式对窗口人员进行管理、考核。持续做好“服务之星、服务标兵”选树工作。二是升级“功能分区”到“体验优化”</w:t>
      </w:r>
      <w:r>
        <w:rPr>
          <w:rStyle w:val="10"/>
          <w:rFonts w:hint="eastAsia" w:ascii="仿宋_GB2312" w:hAnsi="Calibri" w:eastAsia="仿宋_GB2312" w:cs="仿宋_GB2312"/>
          <w:sz w:val="31"/>
          <w:szCs w:val="31"/>
          <w:bdr w:val="none" w:color="auto" w:sz="0" w:space="0"/>
        </w:rPr>
        <w:t>。</w:t>
      </w:r>
      <w:r>
        <w:rPr>
          <w:rFonts w:hint="eastAsia" w:ascii="仿宋_GB2312" w:hAnsi="Calibri" w:eastAsia="仿宋_GB2312" w:cs="仿宋_GB2312"/>
          <w:sz w:val="31"/>
          <w:szCs w:val="31"/>
          <w:bdr w:val="none" w:color="auto" w:sz="0" w:space="0"/>
        </w:rPr>
        <w:t>整合咨询、分流、兜底服务等功能，配备专业帮办员，为群众提供“接力式”引导服务，实现业务办理“零障碍”。全年，政务服务大厅接待办事企业群众</w:t>
      </w:r>
      <w:r>
        <w:rPr>
          <w:rFonts w:hint="default" w:ascii="Times New Roman" w:hAnsi="Times New Roman" w:eastAsia="仿宋_GB2312" w:cs="Times New Roman"/>
          <w:sz w:val="31"/>
          <w:szCs w:val="31"/>
          <w:bdr w:val="none" w:color="auto" w:sz="0" w:space="0"/>
        </w:rPr>
        <w:t>81000</w:t>
      </w:r>
      <w:r>
        <w:rPr>
          <w:rFonts w:hint="eastAsia" w:ascii="仿宋_GB2312" w:hAnsi="Calibri" w:eastAsia="仿宋_GB2312" w:cs="仿宋_GB2312"/>
          <w:sz w:val="31"/>
          <w:szCs w:val="31"/>
          <w:bdr w:val="none" w:color="auto" w:sz="0" w:space="0"/>
        </w:rPr>
        <w:t>人次，线上线下统收业务</w:t>
      </w:r>
      <w:r>
        <w:rPr>
          <w:rFonts w:hint="default" w:ascii="Times New Roman" w:hAnsi="Times New Roman" w:eastAsia="仿宋_GB2312" w:cs="Times New Roman"/>
          <w:sz w:val="31"/>
          <w:szCs w:val="31"/>
          <w:bdr w:val="none" w:color="auto" w:sz="0" w:space="0"/>
        </w:rPr>
        <w:t>43000</w:t>
      </w:r>
      <w:r>
        <w:rPr>
          <w:rFonts w:hint="eastAsia" w:ascii="仿宋_GB2312" w:hAnsi="Calibri" w:eastAsia="仿宋_GB2312" w:cs="仿宋_GB2312"/>
          <w:sz w:val="31"/>
          <w:szCs w:val="31"/>
          <w:bdr w:val="none" w:color="auto" w:sz="0" w:space="0"/>
        </w:rPr>
        <w:t>余件，业务受理率达</w:t>
      </w:r>
      <w:r>
        <w:rPr>
          <w:rFonts w:hint="default" w:ascii="Times New Roman" w:hAnsi="Times New Roman" w:eastAsia="仿宋_GB2312" w:cs="Times New Roman"/>
          <w:sz w:val="31"/>
          <w:szCs w:val="31"/>
          <w:bdr w:val="none" w:color="auto" w:sz="0" w:space="0"/>
        </w:rPr>
        <w:t>100%</w:t>
      </w:r>
      <w:r>
        <w:rPr>
          <w:rFonts w:hint="eastAsia" w:ascii="仿宋_GB2312" w:hAnsi="Calibri" w:eastAsia="仿宋_GB2312" w:cs="仿宋_GB2312"/>
          <w:sz w:val="31"/>
          <w:szCs w:val="31"/>
          <w:bdr w:val="none" w:color="auto" w:sz="0" w:space="0"/>
        </w:rPr>
        <w:t>。北部分中心积极开展“不见面审批”“一对一服务”“提前</w:t>
      </w:r>
      <w:r>
        <w:rPr>
          <w:rFonts w:hint="default" w:ascii="Times New Roman" w:hAnsi="Times New Roman" w:eastAsia="仿宋_GB2312" w:cs="Times New Roman"/>
          <w:sz w:val="31"/>
          <w:szCs w:val="31"/>
          <w:bdr w:val="none" w:color="auto" w:sz="0" w:space="0"/>
        </w:rPr>
        <w:t>+</w:t>
      </w:r>
      <w:r>
        <w:rPr>
          <w:rFonts w:hint="eastAsia" w:ascii="仿宋_GB2312" w:hAnsi="Calibri" w:eastAsia="仿宋_GB2312" w:cs="仿宋_GB2312"/>
          <w:sz w:val="31"/>
          <w:szCs w:val="31"/>
          <w:bdr w:val="none" w:color="auto" w:sz="0" w:space="0"/>
        </w:rPr>
        <w:t>预约</w:t>
      </w:r>
      <w:r>
        <w:rPr>
          <w:rFonts w:hint="default" w:ascii="Times New Roman" w:hAnsi="Times New Roman" w:eastAsia="仿宋_GB2312" w:cs="Times New Roman"/>
          <w:sz w:val="31"/>
          <w:szCs w:val="31"/>
          <w:bdr w:val="none" w:color="auto" w:sz="0" w:space="0"/>
        </w:rPr>
        <w:t>+</w:t>
      </w:r>
      <w:r>
        <w:rPr>
          <w:rFonts w:hint="eastAsia" w:ascii="仿宋_GB2312" w:hAnsi="Calibri" w:eastAsia="仿宋_GB2312" w:cs="仿宋_GB2312"/>
          <w:sz w:val="31"/>
          <w:szCs w:val="31"/>
          <w:bdr w:val="none" w:color="auto" w:sz="0" w:space="0"/>
        </w:rPr>
        <w:t>延时”“电话</w:t>
      </w:r>
      <w:r>
        <w:rPr>
          <w:rFonts w:hint="default" w:ascii="Times New Roman" w:hAnsi="Times New Roman" w:eastAsia="仿宋_GB2312" w:cs="Times New Roman"/>
          <w:sz w:val="31"/>
          <w:szCs w:val="31"/>
          <w:bdr w:val="none" w:color="auto" w:sz="0" w:space="0"/>
        </w:rPr>
        <w:t>+</w:t>
      </w:r>
      <w:r>
        <w:rPr>
          <w:rFonts w:hint="eastAsia" w:ascii="仿宋_GB2312" w:hAnsi="Calibri" w:eastAsia="仿宋_GB2312" w:cs="仿宋_GB2312"/>
          <w:sz w:val="31"/>
          <w:szCs w:val="31"/>
          <w:bdr w:val="none" w:color="auto" w:sz="0" w:space="0"/>
        </w:rPr>
        <w:t>微信”帮办等创新服务，提高服务效率和用户体验。三是打造“有诉即应”暖心服务。充分利用“办不成事”窗口、“心丽”工作室、</w:t>
      </w:r>
      <w:r>
        <w:rPr>
          <w:rFonts w:hint="default" w:ascii="Times New Roman" w:hAnsi="Times New Roman" w:eastAsia="仿宋_GB2312" w:cs="Times New Roman"/>
          <w:sz w:val="31"/>
          <w:szCs w:val="31"/>
          <w:bdr w:val="none" w:color="auto" w:sz="0" w:space="0"/>
        </w:rPr>
        <w:t>12345</w:t>
      </w:r>
      <w:r>
        <w:rPr>
          <w:rFonts w:hint="eastAsia" w:ascii="仿宋_GB2312" w:hAnsi="Calibri" w:eastAsia="仿宋_GB2312" w:cs="仿宋_GB2312"/>
          <w:sz w:val="31"/>
          <w:szCs w:val="31"/>
          <w:bdr w:val="none" w:color="auto" w:sz="0" w:space="0"/>
        </w:rPr>
        <w:t>政务服务便民热线企业群众提供兜底服务，形成收集问题、协调处置的闭环，并以窗口中汇集的典型案例为政务服务提供解决问题的思路，打造更具包容性和前瞻性的服务生态，为全区高质量发展注入新动能。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eastAsia" w:ascii="黑体" w:hAnsi="宋体" w:eastAsia="黑体" w:cs="黑体"/>
          <w:sz w:val="31"/>
          <w:szCs w:val="31"/>
          <w:bdr w:val="none" w:color="auto" w:sz="0" w:space="0"/>
        </w:rPr>
        <w:t>二、法治政府建设存在问题和薄弱环节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eastAsia="仿宋_GB2312" w:cs="Times New Roman"/>
          <w:spacing w:val="0"/>
          <w:sz w:val="31"/>
          <w:szCs w:val="31"/>
          <w:bdr w:val="none" w:color="auto" w:sz="0" w:space="0"/>
        </w:rPr>
        <w:t>2025</w:t>
      </w:r>
      <w:r>
        <w:rPr>
          <w:rFonts w:hint="eastAsia" w:ascii="仿宋_GB2312" w:hAnsi="Calibri" w:eastAsia="仿宋_GB2312" w:cs="仿宋_GB2312"/>
          <w:spacing w:val="0"/>
          <w:sz w:val="31"/>
          <w:szCs w:val="31"/>
          <w:bdr w:val="none" w:color="auto" w:sz="0" w:space="0"/>
        </w:rPr>
        <w:t>年，政务服务办法治政府建设取得了一些成效，但</w:t>
      </w:r>
      <w:r>
        <w:rPr>
          <w:rFonts w:hint="eastAsia" w:ascii="仿宋_GB2312" w:hAnsi="Calibri" w:eastAsia="仿宋_GB2312" w:cs="仿宋_GB2312"/>
          <w:sz w:val="31"/>
          <w:szCs w:val="31"/>
          <w:bdr w:val="none" w:color="auto" w:sz="0" w:space="0"/>
        </w:rPr>
        <w:t>与打造市场化、法治化、国际化的一流营商环境相比还存在着</w:t>
      </w:r>
      <w:r>
        <w:rPr>
          <w:rFonts w:hint="eastAsia" w:ascii="仿宋_GB2312" w:hAnsi="Calibri" w:eastAsia="仿宋_GB2312" w:cs="仿宋_GB2312"/>
          <w:spacing w:val="0"/>
          <w:sz w:val="31"/>
          <w:szCs w:val="31"/>
          <w:bdr w:val="none" w:color="auto" w:sz="0" w:space="0"/>
        </w:rPr>
        <w:t>一定的差距，法治政府建设仍存在一些问题：一是在法治建设责任体系上主体职责协同工作不明显。法治建设责任分工过于明确，缺乏“一盘棋”“整体”“全局”思想，法治建设工作与中心工作、日常管理还不能做到“无缝”连接，工作落实上存有死角。二是在落实上级部署工作上，安排任务多，主动谋求突破的积极性、守正创新的主动性不够，在一定程度上影响了法治政府建设整体质量和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eastAsia" w:ascii="黑体" w:hAnsi="宋体" w:eastAsia="黑体" w:cs="黑体"/>
          <w:spacing w:val="0"/>
          <w:sz w:val="31"/>
          <w:szCs w:val="31"/>
          <w:bdr w:val="none" w:color="auto" w:sz="0" w:space="0"/>
        </w:rPr>
        <w:t>三、下一步工作举措</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eastAsia="楷体_GB2312" w:cs="Times New Roman"/>
          <w:sz w:val="31"/>
          <w:szCs w:val="31"/>
          <w:bdr w:val="none" w:color="auto" w:sz="0" w:space="0"/>
        </w:rPr>
        <w:t>1.</w:t>
      </w:r>
      <w:r>
        <w:rPr>
          <w:rFonts w:hint="eastAsia" w:ascii="楷体_GB2312" w:hAnsi="Calibri" w:eastAsia="楷体_GB2312" w:cs="楷体_GB2312"/>
          <w:sz w:val="31"/>
          <w:szCs w:val="31"/>
          <w:bdr w:val="none" w:color="auto" w:sz="0" w:space="0"/>
        </w:rPr>
        <w:t>深学细悟习近平法治思想，以法治思维和法治方式推进依法服务。</w:t>
      </w:r>
      <w:r>
        <w:rPr>
          <w:rFonts w:hint="eastAsia" w:ascii="仿宋_GB2312" w:hAnsi="Calibri" w:eastAsia="仿宋_GB2312" w:cs="仿宋_GB2312"/>
          <w:sz w:val="31"/>
          <w:szCs w:val="31"/>
          <w:bdr w:val="none" w:color="auto" w:sz="0" w:space="0"/>
        </w:rPr>
        <w:t>坚持政治引领，在学思践悟中强化法治意识，在知行合一中强化实践导向，完善法治政府建设责任体系，发挥“关键少数”学法守法践法的“领头雁”作用，主动谋求突破，开展创新，不断锤炼法治能力。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eastAsia="楷体_GB2312" w:cs="Times New Roman"/>
          <w:sz w:val="31"/>
          <w:szCs w:val="31"/>
          <w:bdr w:val="none" w:color="auto" w:sz="0" w:space="0"/>
        </w:rPr>
        <w:t>2.</w:t>
      </w:r>
      <w:r>
        <w:rPr>
          <w:rFonts w:hint="eastAsia" w:ascii="楷体_GB2312" w:hAnsi="Calibri" w:eastAsia="楷体_GB2312" w:cs="楷体_GB2312"/>
          <w:sz w:val="31"/>
          <w:szCs w:val="31"/>
          <w:bdr w:val="none" w:color="auto" w:sz="0" w:space="0"/>
        </w:rPr>
        <w:t>加强密切协同，不断推动法治建设工作整体质量上水平。</w:t>
      </w:r>
      <w:r>
        <w:rPr>
          <w:rFonts w:hint="eastAsia" w:ascii="仿宋_GB2312" w:hAnsi="Calibri" w:eastAsia="仿宋_GB2312" w:cs="仿宋_GB2312"/>
          <w:sz w:val="31"/>
          <w:szCs w:val="31"/>
          <w:bdr w:val="none" w:color="auto" w:sz="0" w:space="0"/>
        </w:rPr>
        <w:t>增强法治建设的责任感和使命感，强化“一盘棋”“全局”思想意识，紧紧围绕“一规划、两纲要”进一步明确重点工作，合理分工，强化分工合作，密切协同，切实形成法治建设工作各个环节、各个节点“闭环”“链条”式开展工作，确保法治建设工作整体质量上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eastAsia="楷体_GB2312" w:cs="Times New Roman"/>
          <w:sz w:val="31"/>
          <w:szCs w:val="31"/>
          <w:bdr w:val="none" w:color="auto" w:sz="0" w:space="0"/>
        </w:rPr>
        <w:t>3.</w:t>
      </w:r>
      <w:r>
        <w:rPr>
          <w:rFonts w:hint="eastAsia" w:ascii="楷体_GB2312" w:hAnsi="Calibri" w:eastAsia="楷体_GB2312" w:cs="楷体_GB2312"/>
          <w:sz w:val="31"/>
          <w:szCs w:val="31"/>
          <w:bdr w:val="none" w:color="auto" w:sz="0" w:space="0"/>
        </w:rPr>
        <w:t>持续做好“高效办成一件事”不断推动营商环境持续优化提升。</w:t>
      </w:r>
      <w:r>
        <w:rPr>
          <w:rFonts w:hint="eastAsia" w:ascii="仿宋_GB2312" w:hAnsi="Calibri" w:eastAsia="仿宋_GB2312" w:cs="仿宋_GB2312"/>
          <w:sz w:val="31"/>
          <w:szCs w:val="31"/>
          <w:bdr w:val="none" w:color="auto" w:sz="0" w:space="0"/>
        </w:rPr>
        <w:t>落实市级部署，</w:t>
      </w:r>
      <w:r>
        <w:rPr>
          <w:rFonts w:hint="eastAsia" w:ascii="仿宋_GB2312" w:hAnsi="Times New Roman" w:eastAsia="仿宋_GB2312" w:cs="仿宋_GB2312"/>
          <w:sz w:val="31"/>
          <w:szCs w:val="31"/>
          <w:bdr w:val="none" w:color="auto" w:sz="0" w:space="0"/>
        </w:rPr>
        <w:t>组织区各</w:t>
      </w:r>
      <w:r>
        <w:rPr>
          <w:rFonts w:hint="default" w:ascii="Times New Roman" w:hAnsi="Times New Roman" w:cs="Times New Roman"/>
          <w:sz w:val="31"/>
          <w:szCs w:val="31"/>
          <w:bdr w:val="none" w:color="auto" w:sz="0" w:space="0"/>
        </w:rPr>
        <w:t>“</w:t>
      </w:r>
      <w:r>
        <w:rPr>
          <w:rFonts w:hint="eastAsia" w:ascii="仿宋_GB2312" w:hAnsi="Times New Roman" w:eastAsia="仿宋_GB2312" w:cs="仿宋_GB2312"/>
          <w:sz w:val="31"/>
          <w:szCs w:val="31"/>
          <w:bdr w:val="none" w:color="auto" w:sz="0" w:space="0"/>
        </w:rPr>
        <w:t>一件事</w:t>
      </w:r>
      <w:r>
        <w:rPr>
          <w:rFonts w:hint="default" w:ascii="Times New Roman" w:hAnsi="Times New Roman" w:cs="Times New Roman"/>
          <w:sz w:val="31"/>
          <w:szCs w:val="31"/>
          <w:bdr w:val="none" w:color="auto" w:sz="0" w:space="0"/>
        </w:rPr>
        <w:t>”</w:t>
      </w:r>
      <w:r>
        <w:rPr>
          <w:rFonts w:hint="eastAsia" w:ascii="仿宋_GB2312" w:hAnsi="Times New Roman" w:eastAsia="仿宋_GB2312" w:cs="仿宋_GB2312"/>
          <w:sz w:val="31"/>
          <w:szCs w:val="31"/>
          <w:bdr w:val="none" w:color="auto" w:sz="0" w:space="0"/>
        </w:rPr>
        <w:t>场景牵头单位实施好后续各批次</w:t>
      </w:r>
      <w:r>
        <w:rPr>
          <w:rFonts w:hint="default" w:ascii="Times New Roman" w:hAnsi="Times New Roman" w:cs="Times New Roman"/>
          <w:sz w:val="31"/>
          <w:szCs w:val="31"/>
          <w:bdr w:val="none" w:color="auto" w:sz="0" w:space="0"/>
        </w:rPr>
        <w:t>“</w:t>
      </w:r>
      <w:r>
        <w:rPr>
          <w:rFonts w:hint="eastAsia" w:ascii="仿宋_GB2312" w:hAnsi="Times New Roman" w:eastAsia="仿宋_GB2312" w:cs="仿宋_GB2312"/>
          <w:sz w:val="31"/>
          <w:szCs w:val="31"/>
          <w:bdr w:val="none" w:color="auto" w:sz="0" w:space="0"/>
        </w:rPr>
        <w:t>高效办成一件事</w:t>
      </w:r>
      <w:r>
        <w:rPr>
          <w:rFonts w:hint="default" w:ascii="Times New Roman" w:hAnsi="Times New Roman" w:cs="Times New Roman"/>
          <w:sz w:val="31"/>
          <w:szCs w:val="31"/>
          <w:bdr w:val="none" w:color="auto" w:sz="0" w:space="0"/>
        </w:rPr>
        <w:t>”</w:t>
      </w:r>
      <w:r>
        <w:rPr>
          <w:rFonts w:hint="eastAsia" w:ascii="仿宋_GB2312" w:hAnsi="Times New Roman" w:eastAsia="仿宋_GB2312" w:cs="仿宋_GB2312"/>
          <w:sz w:val="31"/>
          <w:szCs w:val="31"/>
          <w:bdr w:val="none" w:color="auto" w:sz="0" w:space="0"/>
        </w:rPr>
        <w:t>场景清单及办理路径</w:t>
      </w:r>
      <w:r>
        <w:rPr>
          <w:rFonts w:hint="eastAsia" w:ascii="仿宋_GB2312" w:hAnsi="Calibri" w:eastAsia="仿宋_GB2312" w:cs="仿宋_GB2312"/>
          <w:sz w:val="31"/>
          <w:szCs w:val="31"/>
          <w:bdr w:val="none" w:color="auto" w:sz="0" w:space="0"/>
        </w:rPr>
        <w:t>，</w:t>
      </w:r>
      <w:r>
        <w:rPr>
          <w:rFonts w:hint="eastAsia" w:ascii="仿宋_GB2312" w:hAnsi="Times New Roman" w:eastAsia="仿宋_GB2312" w:cs="仿宋_GB2312"/>
          <w:sz w:val="31"/>
          <w:szCs w:val="31"/>
          <w:bdr w:val="none" w:color="auto" w:sz="0" w:space="0"/>
        </w:rPr>
        <w:t>再自主推出一批区级</w:t>
      </w:r>
      <w:r>
        <w:rPr>
          <w:rFonts w:hint="default" w:ascii="Times New Roman" w:hAnsi="Times New Roman" w:cs="Times New Roman"/>
          <w:sz w:val="31"/>
          <w:szCs w:val="31"/>
          <w:bdr w:val="none" w:color="auto" w:sz="0" w:space="0"/>
        </w:rPr>
        <w:t>“</w:t>
      </w:r>
      <w:r>
        <w:rPr>
          <w:rFonts w:hint="eastAsia" w:ascii="仿宋_GB2312" w:hAnsi="Times New Roman" w:eastAsia="仿宋_GB2312" w:cs="仿宋_GB2312"/>
          <w:sz w:val="31"/>
          <w:szCs w:val="31"/>
          <w:bdr w:val="none" w:color="auto" w:sz="0" w:space="0"/>
        </w:rPr>
        <w:t>一件事</w:t>
      </w:r>
      <w:r>
        <w:rPr>
          <w:rFonts w:hint="default" w:ascii="Times New Roman" w:hAnsi="Times New Roman" w:cs="Times New Roman"/>
          <w:sz w:val="31"/>
          <w:szCs w:val="31"/>
          <w:bdr w:val="none" w:color="auto" w:sz="0" w:space="0"/>
        </w:rPr>
        <w:t>”</w:t>
      </w:r>
      <w:r>
        <w:rPr>
          <w:rFonts w:hint="eastAsia" w:ascii="仿宋_GB2312" w:hAnsi="Times New Roman" w:eastAsia="仿宋_GB2312" w:cs="仿宋_GB2312"/>
          <w:sz w:val="31"/>
          <w:szCs w:val="31"/>
          <w:bdr w:val="none" w:color="auto" w:sz="0" w:space="0"/>
        </w:rPr>
        <w:t>场景。</w:t>
      </w:r>
      <w:r>
        <w:rPr>
          <w:rFonts w:hint="eastAsia" w:ascii="仿宋_GB2312" w:hAnsi="Calibri" w:eastAsia="仿宋_GB2312" w:cs="仿宋_GB2312"/>
          <w:sz w:val="31"/>
          <w:szCs w:val="31"/>
          <w:bdr w:val="none" w:color="auto" w:sz="0" w:space="0"/>
        </w:rPr>
        <w:t>完善跨部门协作机制，高效运行“政企同行·有需必应”工作机制，有效提升市场主体的活力。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eastAsia="楷体_GB2312" w:cs="Times New Roman"/>
          <w:sz w:val="31"/>
          <w:szCs w:val="31"/>
          <w:bdr w:val="none" w:color="auto" w:sz="0" w:space="0"/>
        </w:rPr>
        <w:t>4.</w:t>
      </w:r>
      <w:r>
        <w:rPr>
          <w:rFonts w:hint="eastAsia" w:ascii="楷体_GB2312" w:hAnsi="Times New Roman" w:eastAsia="楷体_GB2312" w:cs="楷体_GB2312"/>
          <w:sz w:val="31"/>
          <w:szCs w:val="31"/>
          <w:bdr w:val="none" w:color="auto" w:sz="0" w:space="0"/>
        </w:rPr>
        <w:t>压实标准化规范化便利化</w:t>
      </w:r>
      <w:r>
        <w:rPr>
          <w:rFonts w:hint="eastAsia" w:ascii="楷体_GB2312" w:hAnsi="Calibri" w:eastAsia="楷体_GB2312" w:cs="楷体_GB2312"/>
          <w:sz w:val="31"/>
          <w:szCs w:val="31"/>
          <w:bdr w:val="none" w:color="auto" w:sz="0" w:space="0"/>
        </w:rPr>
        <w:t>法治</w:t>
      </w:r>
      <w:r>
        <w:rPr>
          <w:rFonts w:hint="eastAsia" w:ascii="楷体_GB2312" w:hAnsi="Times New Roman" w:eastAsia="楷体_GB2312" w:cs="楷体_GB2312"/>
          <w:sz w:val="31"/>
          <w:szCs w:val="31"/>
          <w:bdr w:val="none" w:color="auto" w:sz="0" w:space="0"/>
        </w:rPr>
        <w:t>建设</w:t>
      </w:r>
      <w:r>
        <w:rPr>
          <w:rFonts w:hint="eastAsia" w:ascii="楷体_GB2312" w:hAnsi="Calibri" w:eastAsia="楷体_GB2312" w:cs="楷体_GB2312"/>
          <w:sz w:val="31"/>
          <w:szCs w:val="31"/>
          <w:bdr w:val="none" w:color="auto" w:sz="0" w:space="0"/>
        </w:rPr>
        <w:t>，</w:t>
      </w:r>
      <w:r>
        <w:rPr>
          <w:rFonts w:hint="eastAsia" w:ascii="楷体_GB2312" w:hAnsi="Times New Roman" w:eastAsia="楷体_GB2312" w:cs="楷体_GB2312"/>
          <w:sz w:val="31"/>
          <w:szCs w:val="31"/>
          <w:bdr w:val="none" w:color="auto" w:sz="0" w:space="0"/>
        </w:rPr>
        <w:t>不断巩固基层政务服务</w:t>
      </w:r>
      <w:r>
        <w:rPr>
          <w:rFonts w:hint="eastAsia" w:ascii="楷体_GB2312" w:hAnsi="Calibri" w:eastAsia="楷体_GB2312" w:cs="楷体_GB2312"/>
          <w:sz w:val="31"/>
          <w:szCs w:val="31"/>
          <w:bdr w:val="none" w:color="auto" w:sz="0" w:space="0"/>
        </w:rPr>
        <w:t>新</w:t>
      </w:r>
      <w:r>
        <w:rPr>
          <w:rFonts w:hint="eastAsia" w:ascii="楷体_GB2312" w:hAnsi="Times New Roman" w:eastAsia="楷体_GB2312" w:cs="楷体_GB2312"/>
          <w:sz w:val="31"/>
          <w:szCs w:val="31"/>
          <w:bdr w:val="none" w:color="auto" w:sz="0" w:space="0"/>
        </w:rPr>
        <w:t>体系</w:t>
      </w:r>
      <w:r>
        <w:rPr>
          <w:rFonts w:hint="eastAsia" w:ascii="楷体_GB2312" w:hAnsi="Calibri" w:eastAsia="楷体_GB2312" w:cs="楷体_GB2312"/>
          <w:sz w:val="31"/>
          <w:szCs w:val="31"/>
          <w:bdr w:val="none" w:color="auto" w:sz="0" w:space="0"/>
        </w:rPr>
        <w:t>。</w:t>
      </w:r>
      <w:r>
        <w:rPr>
          <w:rFonts w:hint="eastAsia" w:ascii="仿宋_GB2312" w:hAnsi="Times New Roman" w:eastAsia="仿宋_GB2312" w:cs="仿宋_GB2312"/>
          <w:sz w:val="31"/>
          <w:szCs w:val="31"/>
          <w:bdr w:val="none" w:color="auto" w:sz="0" w:space="0"/>
        </w:rPr>
        <w:t>依托</w:t>
      </w:r>
      <w:r>
        <w:rPr>
          <w:rFonts w:hint="default" w:ascii="Times New Roman" w:hAnsi="Times New Roman" w:cs="Times New Roman"/>
          <w:sz w:val="31"/>
          <w:szCs w:val="31"/>
          <w:bdr w:val="none" w:color="auto" w:sz="0" w:space="0"/>
        </w:rPr>
        <w:t>“</w:t>
      </w:r>
      <w:r>
        <w:rPr>
          <w:rFonts w:hint="eastAsia" w:ascii="仿宋_GB2312" w:hAnsi="Times New Roman" w:eastAsia="仿宋_GB2312" w:cs="仿宋_GB2312"/>
          <w:sz w:val="31"/>
          <w:szCs w:val="31"/>
          <w:bdr w:val="none" w:color="auto" w:sz="0" w:space="0"/>
        </w:rPr>
        <w:t>证照分离</w:t>
      </w:r>
      <w:r>
        <w:rPr>
          <w:rFonts w:hint="default" w:ascii="Times New Roman" w:hAnsi="Times New Roman" w:cs="Times New Roman"/>
          <w:sz w:val="31"/>
          <w:szCs w:val="31"/>
          <w:bdr w:val="none" w:color="auto" w:sz="0" w:space="0"/>
        </w:rPr>
        <w:t>”“</w:t>
      </w:r>
      <w:r>
        <w:rPr>
          <w:rFonts w:hint="eastAsia" w:ascii="仿宋_GB2312" w:hAnsi="Times New Roman" w:eastAsia="仿宋_GB2312" w:cs="仿宋_GB2312"/>
          <w:sz w:val="31"/>
          <w:szCs w:val="31"/>
          <w:bdr w:val="none" w:color="auto" w:sz="0" w:space="0"/>
        </w:rPr>
        <w:t>免申即享</w:t>
      </w:r>
      <w:r>
        <w:rPr>
          <w:rFonts w:hint="default" w:ascii="Times New Roman" w:hAnsi="Times New Roman" w:cs="Times New Roman"/>
          <w:sz w:val="31"/>
          <w:szCs w:val="31"/>
          <w:bdr w:val="none" w:color="auto" w:sz="0" w:space="0"/>
        </w:rPr>
        <w:t>”</w:t>
      </w:r>
      <w:r>
        <w:rPr>
          <w:rFonts w:hint="eastAsia" w:ascii="仿宋_GB2312" w:hAnsi="Times New Roman" w:eastAsia="仿宋_GB2312" w:cs="仿宋_GB2312"/>
          <w:sz w:val="31"/>
          <w:szCs w:val="31"/>
          <w:bdr w:val="none" w:color="auto" w:sz="0" w:space="0"/>
        </w:rPr>
        <w:t>等改革举措，畅通企业群众办事路径，降低办事成本</w:t>
      </w:r>
      <w:r>
        <w:rPr>
          <w:rFonts w:hint="eastAsia" w:ascii="仿宋_GB2312" w:hAnsi="Calibri" w:eastAsia="仿宋_GB2312" w:cs="仿宋_GB2312"/>
          <w:sz w:val="31"/>
          <w:szCs w:val="31"/>
          <w:bdr w:val="none" w:color="auto" w:sz="0" w:space="0"/>
        </w:rPr>
        <w:t>。</w:t>
      </w:r>
      <w:r>
        <w:rPr>
          <w:rFonts w:hint="eastAsia" w:ascii="仿宋_GB2312" w:hAnsi="Times New Roman" w:eastAsia="仿宋_GB2312" w:cs="仿宋_GB2312"/>
          <w:sz w:val="31"/>
          <w:szCs w:val="31"/>
          <w:bdr w:val="none" w:color="auto" w:sz="0" w:space="0"/>
        </w:rPr>
        <w:t>动态关注区各专业大厅和各街道便民服务中心运行情况，全力打造便捷高效温暖的政务服务环境。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default" w:ascii="Times New Roman" w:hAnsi="Times New Roman" w:eastAsia="楷体_GB2312" w:cs="Times New Roman"/>
          <w:sz w:val="31"/>
          <w:szCs w:val="31"/>
          <w:bdr w:val="none" w:color="auto" w:sz="0" w:space="0"/>
        </w:rPr>
        <w:t>5.</w:t>
      </w:r>
      <w:r>
        <w:rPr>
          <w:rFonts w:hint="eastAsia" w:ascii="楷体_GB2312" w:hAnsi="Calibri" w:eastAsia="楷体_GB2312" w:cs="楷体_GB2312"/>
          <w:sz w:val="31"/>
          <w:szCs w:val="31"/>
          <w:bdr w:val="none" w:color="auto" w:sz="0" w:space="0"/>
        </w:rPr>
        <w:t>拓展创新举措，不断推动“丽企办”特色品牌影响力。</w:t>
      </w:r>
      <w:r>
        <w:rPr>
          <w:rFonts w:hint="eastAsia" w:ascii="仿宋_GB2312" w:hAnsi="Calibri" w:eastAsia="仿宋_GB2312" w:cs="仿宋_GB2312"/>
          <w:sz w:val="31"/>
          <w:szCs w:val="31"/>
          <w:bdr w:val="none" w:color="auto" w:sz="0" w:space="0"/>
        </w:rPr>
        <w:t>围绕聚焦企业需求，精简审批流程、压缩审批时限，以“企业视角”更新迭代、拓展升级“丽企办”系列创新服务举措，提升服务效能，做好优保快保，保障项目高效完成立项、开工等前期手续。为企业发展赋能增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pacing w:val="0"/>
          <w:sz w:val="31"/>
          <w:szCs w:val="31"/>
          <w:bdr w:val="none" w:color="auto" w:sz="0" w:space="0"/>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right"/>
        <w:textAlignment w:val="auto"/>
        <w:rPr>
          <w:rFonts w:hint="default" w:ascii="Calibri" w:hAnsi="Calibri" w:cs="Calibri"/>
          <w:sz w:val="21"/>
          <w:szCs w:val="21"/>
        </w:rPr>
      </w:pPr>
      <w:r>
        <w:rPr>
          <w:rFonts w:hint="eastAsia" w:ascii="仿宋_GB2312" w:hAnsi="Calibri" w:eastAsia="仿宋_GB2312" w:cs="仿宋_GB2312"/>
          <w:sz w:val="31"/>
          <w:szCs w:val="31"/>
          <w:bdr w:val="none" w:color="auto" w:sz="0" w:space="0"/>
        </w:rPr>
        <w:t>区政务服务办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right"/>
        <w:textAlignment w:val="auto"/>
        <w:rPr>
          <w:rFonts w:hint="default" w:ascii="Calibri" w:hAnsi="Calibri" w:cs="Calibri"/>
          <w:sz w:val="21"/>
          <w:szCs w:val="21"/>
        </w:rPr>
      </w:pPr>
      <w:r>
        <w:rPr>
          <w:rFonts w:hint="default" w:ascii="Times New Roman" w:hAnsi="Times New Roman" w:eastAsia="仿宋_GB2312" w:cs="Times New Roman"/>
          <w:sz w:val="31"/>
          <w:szCs w:val="31"/>
          <w:bdr w:val="none" w:color="auto" w:sz="0" w:space="0"/>
        </w:rPr>
        <w:t>2025</w:t>
      </w:r>
      <w:r>
        <w:rPr>
          <w:rFonts w:hint="eastAsia" w:ascii="仿宋_GB2312" w:hAnsi="Calibri" w:eastAsia="仿宋_GB2312" w:cs="仿宋_GB2312"/>
          <w:sz w:val="31"/>
          <w:szCs w:val="31"/>
          <w:bdr w:val="none" w:color="auto" w:sz="0" w:space="0"/>
        </w:rPr>
        <w:t>年</w:t>
      </w:r>
      <w:r>
        <w:rPr>
          <w:rFonts w:hint="default" w:ascii="Times New Roman" w:hAnsi="Times New Roman" w:eastAsia="仿宋_GB2312" w:cs="Times New Roman"/>
          <w:sz w:val="31"/>
          <w:szCs w:val="31"/>
          <w:bdr w:val="none" w:color="auto" w:sz="0" w:space="0"/>
        </w:rPr>
        <w:t>12</w:t>
      </w:r>
      <w:r>
        <w:rPr>
          <w:rFonts w:hint="eastAsia" w:ascii="仿宋_GB2312" w:hAnsi="Calibri" w:eastAsia="仿宋_GB2312" w:cs="仿宋_GB2312"/>
          <w:sz w:val="31"/>
          <w:szCs w:val="31"/>
          <w:bdr w:val="none" w:color="auto" w:sz="0" w:space="0"/>
        </w:rPr>
        <w:t>月</w:t>
      </w:r>
      <w:r>
        <w:rPr>
          <w:rFonts w:hint="default" w:ascii="Times New Roman" w:hAnsi="Times New Roman" w:eastAsia="仿宋_GB2312" w:cs="Times New Roman"/>
          <w:sz w:val="31"/>
          <w:szCs w:val="31"/>
          <w:bdr w:val="none" w:color="auto" w:sz="0" w:space="0"/>
        </w:rPr>
        <w:t>29</w:t>
      </w:r>
      <w:r>
        <w:rPr>
          <w:rFonts w:hint="eastAsia" w:ascii="仿宋_GB2312" w:hAnsi="Calibri" w:eastAsia="仿宋_GB2312" w:cs="仿宋_GB2312"/>
          <w:sz w:val="31"/>
          <w:szCs w:val="31"/>
          <w:bdr w:val="none" w:color="auto" w:sz="0" w:space="0"/>
        </w:rPr>
        <w:t>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firstLineChars="200"/>
        <w:jc w:val="both"/>
        <w:textAlignment w:val="auto"/>
        <w:rPr>
          <w:rFonts w:hint="default" w:ascii="Calibri" w:hAnsi="Calibri" w:cs="Calibri"/>
          <w:sz w:val="21"/>
          <w:szCs w:val="21"/>
        </w:rPr>
      </w:pPr>
      <w:r>
        <w:rPr>
          <w:rFonts w:hint="eastAsia" w:ascii="仿宋_GB2312" w:hAnsi="Calibri" w:eastAsia="仿宋_GB2312" w:cs="仿宋_GB2312"/>
          <w:sz w:val="31"/>
          <w:szCs w:val="31"/>
          <w:bdr w:val="none" w:color="auto" w:sz="0" w:space="0"/>
        </w:rPr>
        <w:t>（联系人：刁玉友，联系电话：</w:t>
      </w:r>
      <w:r>
        <w:rPr>
          <w:rFonts w:hint="default" w:ascii="Times New Roman" w:hAnsi="Times New Roman" w:eastAsia="仿宋_GB2312" w:cs="Times New Roman"/>
          <w:sz w:val="31"/>
          <w:szCs w:val="31"/>
          <w:bdr w:val="none" w:color="auto" w:sz="0" w:space="0"/>
        </w:rPr>
        <w:t>24980511</w:t>
      </w:r>
      <w:r>
        <w:rPr>
          <w:rFonts w:hint="eastAsia" w:ascii="仿宋_GB2312" w:hAnsi="Calibri" w:eastAsia="仿宋_GB2312" w:cs="仿宋_GB2312"/>
          <w:sz w:val="31"/>
          <w:szCs w:val="31"/>
          <w:bdr w:val="none" w:color="auto" w:sz="0" w:space="0"/>
        </w:rPr>
        <w:t>）</w:t>
      </w:r>
    </w:p>
    <w:p>
      <w:pPr>
        <w:pStyle w:val="7"/>
        <w:keepNext w:val="0"/>
        <w:keepLines w:val="0"/>
        <w:widowControl/>
        <w:suppressLineNumbers w:val="0"/>
        <w:spacing w:line="315" w:lineRule="atLeast"/>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bidi w:val="0"/>
        <w:adjustRightInd w:val="0"/>
        <w:snapToGrid w:val="0"/>
        <w:spacing w:line="560" w:lineRule="exact"/>
        <w:ind w:firstLine="1050" w:firstLineChars="500"/>
        <w:textAlignment w:val="auto"/>
        <w:rPr>
          <w:rFonts w:hint="default" w:ascii="Times New Roman" w:hAnsi="Times New Roman"/>
          <w:lang w:val="en-US" w:eastAsia="zh-CN"/>
        </w:rPr>
      </w:pPr>
      <w:bookmarkStart w:id="0" w:name="_GoBack"/>
      <w:bookmarkEnd w:id="0"/>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文星仿宋">
    <w:altName w:val="方正仿宋_GBK"/>
    <w:panose1 w:val="00000000000000000000"/>
    <w:charset w:val="00"/>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0000000000000000000"/>
    <w:charset w:val="00"/>
    <w:family w:val="auto"/>
    <w:pitch w:val="default"/>
    <w:sig w:usb0="00000000" w:usb1="00000000" w:usb2="00000000" w:usb3="00000000" w:csb0="0000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9922510</wp:posOffset>
              </wp:positionV>
              <wp:extent cx="1828800" cy="33782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337820"/>
                      </a:xfrm>
                      <a:prstGeom prst="rect">
                        <a:avLst/>
                      </a:prstGeom>
                      <a:noFill/>
                      <a:ln>
                        <a:noFill/>
                      </a:ln>
                    </wps:spPr>
                    <wps:txbx>
                      <w:txbxContent>
                        <w:p>
                          <w:pPr>
                            <w:pStyle w:val="5"/>
                            <w:rPr>
                              <w:rFonts w:hint="eastAsia" w:ascii="宋体" w:hAnsi="宋体" w:eastAsia="宋体" w:cs="宋体"/>
                              <w:sz w:val="28"/>
                              <w:szCs w:val="40"/>
                              <w:lang w:eastAsia="zh-CN"/>
                            </w:rPr>
                          </w:pPr>
                          <w:r>
                            <w:rPr>
                              <w:rFonts w:hint="eastAsia" w:ascii="宋体" w:hAnsi="宋体" w:eastAsia="宋体" w:cs="宋体"/>
                              <w:sz w:val="28"/>
                              <w:szCs w:val="40"/>
                              <w:lang w:eastAsia="zh-CN"/>
                            </w:rPr>
                            <w:fldChar w:fldCharType="begin"/>
                          </w:r>
                          <w:r>
                            <w:rPr>
                              <w:rFonts w:hint="eastAsia" w:ascii="宋体" w:hAnsi="宋体" w:eastAsia="宋体" w:cs="宋体"/>
                              <w:sz w:val="28"/>
                              <w:szCs w:val="40"/>
                              <w:lang w:eastAsia="zh-CN"/>
                            </w:rPr>
                            <w:instrText xml:space="preserve"> PAGE  \* MERGEFORMAT </w:instrText>
                          </w:r>
                          <w:r>
                            <w:rPr>
                              <w:rFonts w:hint="eastAsia" w:ascii="宋体" w:hAnsi="宋体" w:eastAsia="宋体" w:cs="宋体"/>
                              <w:sz w:val="28"/>
                              <w:szCs w:val="40"/>
                              <w:lang w:eastAsia="zh-CN"/>
                            </w:rPr>
                            <w:fldChar w:fldCharType="separate"/>
                          </w:r>
                          <w:r>
                            <w:rPr>
                              <w:rFonts w:hint="eastAsia" w:ascii="宋体" w:hAnsi="宋体" w:eastAsia="宋体" w:cs="宋体"/>
                              <w:sz w:val="28"/>
                              <w:szCs w:val="40"/>
                              <w:lang w:eastAsia="zh-CN"/>
                            </w:rPr>
                            <w:t>1</w:t>
                          </w:r>
                          <w:r>
                            <w:rPr>
                              <w:rFonts w:hint="eastAsia" w:ascii="宋体" w:hAnsi="宋体" w:eastAsia="宋体" w:cs="宋体"/>
                              <w:sz w:val="28"/>
                              <w:szCs w:val="40"/>
                              <w:lang w:eastAsia="zh-CN"/>
                            </w:rPr>
                            <w:fldChar w:fldCharType="end"/>
                          </w:r>
                        </w:p>
                      </w:txbxContent>
                    </wps:txbx>
                    <wps:bodyPr wrap="none" lIns="0" tIns="0" rIns="0" bIns="0" upright="0"/>
                  </wps:wsp>
                </a:graphicData>
              </a:graphic>
            </wp:anchor>
          </w:drawing>
        </mc:Choice>
        <mc:Fallback>
          <w:pict>
            <v:shape id="文本框 3" o:spid="_x0000_s1026" o:spt="202" type="#_x0000_t202" style="position:absolute;left:0pt;margin-top:781.3pt;height:26.6pt;width:144pt;mso-position-horizontal:outside;mso-position-horizontal-relative:margin;mso-position-vertical-relative:page;mso-wrap-style:none;z-index:251659264;mso-width-relative:page;mso-height-relative:page;" filled="f" stroked="f" coordsize="21600,21600" o:gfxdata="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x7ItdtUAAAAKAQAADwAAAAAAAAABACAA&#10;AAA4AAAAZHJzL2Rvd25yZXYueG1sUEsBAhQAFAAAAAgAh07iQHpkE2bBAQAAfgMAAA4AAAAAAAAA&#10;AQAgAAAAOgEAAGRycy9lMm9Eb2MueG1sUEsFBgAAAAAGAAYAWQEAAG0FAAAAAA==&#10;">
              <v:fill on="f" focussize="0,0"/>
              <v:stroke on="f"/>
              <v:imagedata o:title=""/>
              <o:lock v:ext="edit" aspectratio="f"/>
              <v:textbox inset="0mm,0mm,0mm,0mm">
                <w:txbxContent>
                  <w:p>
                    <w:pPr>
                      <w:pStyle w:val="5"/>
                      <w:rPr>
                        <w:rFonts w:hint="eastAsia" w:ascii="宋体" w:hAnsi="宋体" w:eastAsia="宋体" w:cs="宋体"/>
                        <w:sz w:val="28"/>
                        <w:szCs w:val="40"/>
                        <w:lang w:eastAsia="zh-CN"/>
                      </w:rPr>
                    </w:pPr>
                    <w:r>
                      <w:rPr>
                        <w:rFonts w:hint="eastAsia" w:ascii="宋体" w:hAnsi="宋体" w:eastAsia="宋体" w:cs="宋体"/>
                        <w:sz w:val="28"/>
                        <w:szCs w:val="40"/>
                        <w:lang w:eastAsia="zh-CN"/>
                      </w:rPr>
                      <w:fldChar w:fldCharType="begin"/>
                    </w:r>
                    <w:r>
                      <w:rPr>
                        <w:rFonts w:hint="eastAsia" w:ascii="宋体" w:hAnsi="宋体" w:eastAsia="宋体" w:cs="宋体"/>
                        <w:sz w:val="28"/>
                        <w:szCs w:val="40"/>
                        <w:lang w:eastAsia="zh-CN"/>
                      </w:rPr>
                      <w:instrText xml:space="preserve"> PAGE  \* MERGEFORMAT </w:instrText>
                    </w:r>
                    <w:r>
                      <w:rPr>
                        <w:rFonts w:hint="eastAsia" w:ascii="宋体" w:hAnsi="宋体" w:eastAsia="宋体" w:cs="宋体"/>
                        <w:sz w:val="28"/>
                        <w:szCs w:val="40"/>
                        <w:lang w:eastAsia="zh-CN"/>
                      </w:rPr>
                      <w:fldChar w:fldCharType="separate"/>
                    </w:r>
                    <w:r>
                      <w:rPr>
                        <w:rFonts w:hint="eastAsia" w:ascii="宋体" w:hAnsi="宋体" w:eastAsia="宋体" w:cs="宋体"/>
                        <w:sz w:val="28"/>
                        <w:szCs w:val="40"/>
                        <w:lang w:eastAsia="zh-CN"/>
                      </w:rPr>
                      <w:t>1</w:t>
                    </w:r>
                    <w:r>
                      <w:rPr>
                        <w:rFonts w:hint="eastAsia" w:ascii="宋体" w:hAnsi="宋体" w:eastAsia="宋体" w:cs="宋体"/>
                        <w:sz w:val="28"/>
                        <w:szCs w:val="4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DA2MzZmOWY3Y2EwMGE2YjJhYzMzYjVkMDcwZGIifQ=="/>
  </w:docVars>
  <w:rsids>
    <w:rsidRoot w:val="00601FD2"/>
    <w:rsid w:val="000938E2"/>
    <w:rsid w:val="00095AF9"/>
    <w:rsid w:val="00116C6B"/>
    <w:rsid w:val="00136913"/>
    <w:rsid w:val="002F088A"/>
    <w:rsid w:val="005043E4"/>
    <w:rsid w:val="00601FD2"/>
    <w:rsid w:val="006C248F"/>
    <w:rsid w:val="00942EE6"/>
    <w:rsid w:val="00AE7630"/>
    <w:rsid w:val="00B11A96"/>
    <w:rsid w:val="00C04C88"/>
    <w:rsid w:val="00C8676A"/>
    <w:rsid w:val="00D14D68"/>
    <w:rsid w:val="00E43D29"/>
    <w:rsid w:val="00F732C2"/>
    <w:rsid w:val="00F930FB"/>
    <w:rsid w:val="02F72D4F"/>
    <w:rsid w:val="04090ED4"/>
    <w:rsid w:val="0423323C"/>
    <w:rsid w:val="04DA6678"/>
    <w:rsid w:val="05AD05DE"/>
    <w:rsid w:val="07379D64"/>
    <w:rsid w:val="09D5A4C0"/>
    <w:rsid w:val="0DFB72E7"/>
    <w:rsid w:val="0E4E3DDD"/>
    <w:rsid w:val="0F47262A"/>
    <w:rsid w:val="0F7C5C5A"/>
    <w:rsid w:val="13F41DC8"/>
    <w:rsid w:val="1CD01479"/>
    <w:rsid w:val="1DF20628"/>
    <w:rsid w:val="24F351C7"/>
    <w:rsid w:val="254F47BE"/>
    <w:rsid w:val="26A90A1F"/>
    <w:rsid w:val="27F740EC"/>
    <w:rsid w:val="2A0370D0"/>
    <w:rsid w:val="2B221CED"/>
    <w:rsid w:val="2BFF8C2D"/>
    <w:rsid w:val="2CEB8412"/>
    <w:rsid w:val="2F6E14FB"/>
    <w:rsid w:val="2F9BD1BB"/>
    <w:rsid w:val="2FFFDFEC"/>
    <w:rsid w:val="33616D27"/>
    <w:rsid w:val="35415CC5"/>
    <w:rsid w:val="3A1D3859"/>
    <w:rsid w:val="3B7FCE9C"/>
    <w:rsid w:val="3BF769B9"/>
    <w:rsid w:val="3DF60E90"/>
    <w:rsid w:val="3EE12BE1"/>
    <w:rsid w:val="3F474AF4"/>
    <w:rsid w:val="3FBE359F"/>
    <w:rsid w:val="3FF96969"/>
    <w:rsid w:val="40222BF0"/>
    <w:rsid w:val="444837AD"/>
    <w:rsid w:val="45DB07B3"/>
    <w:rsid w:val="47D92658"/>
    <w:rsid w:val="4B3A3468"/>
    <w:rsid w:val="4B584E8D"/>
    <w:rsid w:val="4B64643D"/>
    <w:rsid w:val="4F738D2E"/>
    <w:rsid w:val="513C7C7F"/>
    <w:rsid w:val="54435CCE"/>
    <w:rsid w:val="565E30E4"/>
    <w:rsid w:val="57F9D806"/>
    <w:rsid w:val="59B9FA5D"/>
    <w:rsid w:val="5B7F8958"/>
    <w:rsid w:val="5BF6127B"/>
    <w:rsid w:val="5BFD1BFB"/>
    <w:rsid w:val="5D3F2454"/>
    <w:rsid w:val="5F1716C5"/>
    <w:rsid w:val="5F6D1332"/>
    <w:rsid w:val="614B5239"/>
    <w:rsid w:val="663F1ED5"/>
    <w:rsid w:val="699FC702"/>
    <w:rsid w:val="69BF944D"/>
    <w:rsid w:val="69C6085F"/>
    <w:rsid w:val="6B2E2BC2"/>
    <w:rsid w:val="6B3FA206"/>
    <w:rsid w:val="6D2ED579"/>
    <w:rsid w:val="6D9C55E8"/>
    <w:rsid w:val="6DED147D"/>
    <w:rsid w:val="6E67A50E"/>
    <w:rsid w:val="6F9B7638"/>
    <w:rsid w:val="6FF3F94D"/>
    <w:rsid w:val="73E7169F"/>
    <w:rsid w:val="74FFF4F3"/>
    <w:rsid w:val="75F33820"/>
    <w:rsid w:val="765E3597"/>
    <w:rsid w:val="76AECF92"/>
    <w:rsid w:val="770FB517"/>
    <w:rsid w:val="77BF83C4"/>
    <w:rsid w:val="7AF7E419"/>
    <w:rsid w:val="7BFDA501"/>
    <w:rsid w:val="7CF56DCE"/>
    <w:rsid w:val="7CFFE15F"/>
    <w:rsid w:val="7DF74DED"/>
    <w:rsid w:val="7E2E6DD6"/>
    <w:rsid w:val="7E9D0462"/>
    <w:rsid w:val="7EEF65EF"/>
    <w:rsid w:val="7F751204"/>
    <w:rsid w:val="7F7C90C5"/>
    <w:rsid w:val="7F9DF3A8"/>
    <w:rsid w:val="7FE3B41C"/>
    <w:rsid w:val="7FF9ED1E"/>
    <w:rsid w:val="7FFDF9DC"/>
    <w:rsid w:val="90FA55CD"/>
    <w:rsid w:val="9BAB16B6"/>
    <w:rsid w:val="9D7D2D37"/>
    <w:rsid w:val="9F7FAE27"/>
    <w:rsid w:val="9FBB28BC"/>
    <w:rsid w:val="BDFFA2F8"/>
    <w:rsid w:val="BEDB56E5"/>
    <w:rsid w:val="BEFBAB1D"/>
    <w:rsid w:val="BFFF0462"/>
    <w:rsid w:val="D49D5300"/>
    <w:rsid w:val="DD97F7C3"/>
    <w:rsid w:val="E2DFCED3"/>
    <w:rsid w:val="E39BE50A"/>
    <w:rsid w:val="E977FE0F"/>
    <w:rsid w:val="EDEEA00A"/>
    <w:rsid w:val="EFBFF637"/>
    <w:rsid w:val="EFE65C9E"/>
    <w:rsid w:val="F7F5A8EB"/>
    <w:rsid w:val="F89FCA63"/>
    <w:rsid w:val="FBB35F9F"/>
    <w:rsid w:val="FBDF0EA8"/>
    <w:rsid w:val="FBFBC0B5"/>
    <w:rsid w:val="FCAF6A71"/>
    <w:rsid w:val="FCBA9B14"/>
    <w:rsid w:val="FD3C3ADB"/>
    <w:rsid w:val="FDD36CFA"/>
    <w:rsid w:val="FE3D1153"/>
    <w:rsid w:val="FEBF1E4C"/>
    <w:rsid w:val="FF79CEA2"/>
    <w:rsid w:val="FFF7EEA3"/>
    <w:rsid w:val="FFFA6967"/>
    <w:rsid w:val="FFFDA7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99"/>
    <w:rPr>
      <w:rFonts w:ascii="Times New Roman" w:hAnsi="Times New Roman" w:eastAsia="文星仿宋"/>
      <w:sz w:val="32"/>
    </w:rPr>
  </w:style>
  <w:style w:type="paragraph" w:styleId="4">
    <w:name w:val="Body Text Indent 2"/>
    <w:basedOn w:val="1"/>
    <w:qFormat/>
    <w:uiPriority w:val="0"/>
    <w:pPr>
      <w:ind w:firstLine="644" w:firstLineChars="200"/>
    </w:pPr>
    <w:rPr>
      <w:rFonts w:ascii="Times New Roman" w:hAnsi="Times New Roman" w:eastAsia="黑体"/>
      <w:sz w:val="32"/>
      <w:szCs w:val="24"/>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customStyle="1" w:styleId="11">
    <w:name w:val="NormalCharacter"/>
    <w:semiHidden/>
    <w:qFormat/>
    <w:uiPriority w:val="0"/>
  </w:style>
  <w:style w:type="character" w:customStyle="1" w:styleId="12">
    <w:name w:val="15"/>
    <w:basedOn w:val="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3117</Words>
  <Characters>3183</Characters>
  <Lines>31</Lines>
  <Paragraphs>8</Paragraphs>
  <TotalTime>3</TotalTime>
  <ScaleCrop>false</ScaleCrop>
  <LinksUpToDate>false</LinksUpToDate>
  <CharactersWithSpaces>3187</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2020-09-26T15:02:00Z</dcterms:created>
  <dc:creator>Administrator</dc:creator>
  <cp:lastModifiedBy>kylin</cp:lastModifiedBy>
  <cp:lastPrinted>2025-12-27T16:59:00Z</cp:lastPrinted>
  <dcterms:modified xsi:type="dcterms:W3CDTF">2026-01-16T12:08:47Z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EDC6FA17D8C1FE8C90CC5169F3496AFD</vt:lpwstr>
  </property>
  <property fmtid="{D5CDD505-2E9C-101B-9397-08002B2CF9AE}" pid="4" name="KSOTemplateDocerSaveRecord">
    <vt:lpwstr>eyJoZGlkIjoiODg2ODA2MzZmOWY3Y2EwMGE2YjJhYzMzYjVkMDcwZGIiLCJ1c2VySWQiOiI0NDM3MTIwODgifQ==</vt:lpwstr>
  </property>
</Properties>
</file>