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eastAsia="zh-CN"/>
        </w:rPr>
        <w:t>天津市</w:t>
      </w:r>
      <w:r>
        <w:rPr>
          <w:rFonts w:hint="eastAsia" w:ascii="方正小标宋简体" w:hAnsi="方正小标宋简体" w:eastAsia="方正小标宋简体" w:cs="方正小标宋简体"/>
          <w:b w:val="0"/>
          <w:bCs w:val="0"/>
          <w:sz w:val="44"/>
          <w:szCs w:val="44"/>
        </w:rPr>
        <w:t>东丽区</w:t>
      </w:r>
      <w:r>
        <w:rPr>
          <w:rFonts w:hint="eastAsia" w:ascii="方正小标宋简体" w:hAnsi="方正小标宋简体" w:eastAsia="方正小标宋简体" w:cs="方正小标宋简体"/>
          <w:b w:val="0"/>
          <w:bCs w:val="0"/>
          <w:sz w:val="44"/>
          <w:szCs w:val="44"/>
          <w:lang w:eastAsia="zh-CN"/>
        </w:rPr>
        <w:t>住房和建设委员会</w:t>
      </w:r>
      <w:r>
        <w:rPr>
          <w:rFonts w:hint="default" w:ascii="Times New Roman" w:hAnsi="Times New Roman" w:eastAsia="方正小标宋简体" w:cs="Times New Roman"/>
          <w:b w:val="0"/>
          <w:bCs w:val="0"/>
          <w:sz w:val="44"/>
          <w:szCs w:val="44"/>
        </w:rPr>
        <w:t>202</w:t>
      </w:r>
      <w:r>
        <w:rPr>
          <w:rFonts w:hint="default" w:eastAsia="方正小标宋简体" w:cs="Times New Roman"/>
          <w:b w:val="0"/>
          <w:bCs w:val="0"/>
          <w:sz w:val="44"/>
          <w:szCs w:val="44"/>
          <w:lang w:val="en" w:eastAsia="zh-CN"/>
        </w:rPr>
        <w:t>5</w:t>
      </w:r>
      <w:r>
        <w:rPr>
          <w:rFonts w:hint="eastAsia" w:ascii="方正小标宋简体" w:hAnsi="方正小标宋简体" w:eastAsia="方正小标宋简体" w:cs="方正小标宋简体"/>
          <w:b w:val="0"/>
          <w:bCs w:val="0"/>
          <w:sz w:val="44"/>
          <w:szCs w:val="44"/>
        </w:rPr>
        <w:t>年</w:t>
      </w:r>
      <w:r>
        <w:rPr>
          <w:rFonts w:hint="eastAsia" w:ascii="方正小标宋简体" w:hAnsi="方正小标宋简体" w:eastAsia="方正小标宋简体" w:cs="方正小标宋简体"/>
          <w:b w:val="0"/>
          <w:bCs w:val="0"/>
          <w:color w:val="222222"/>
          <w:kern w:val="0"/>
          <w:sz w:val="44"/>
          <w:szCs w:val="44"/>
        </w:rPr>
        <w:t>法治</w:t>
      </w:r>
      <w:r>
        <w:rPr>
          <w:rFonts w:hint="eastAsia" w:ascii="方正小标宋简体" w:hAnsi="方正小标宋简体" w:eastAsia="方正小标宋简体" w:cs="方正小标宋简体"/>
          <w:b w:val="0"/>
          <w:bCs w:val="0"/>
          <w:color w:val="222222"/>
          <w:kern w:val="0"/>
          <w:sz w:val="44"/>
          <w:szCs w:val="44"/>
          <w:lang w:eastAsia="zh-CN"/>
        </w:rPr>
        <w:t>政府</w:t>
      </w:r>
      <w:r>
        <w:rPr>
          <w:rFonts w:hint="eastAsia" w:ascii="方正小标宋简体" w:hAnsi="方正小标宋简体" w:eastAsia="方正小标宋简体" w:cs="方正小标宋简体"/>
          <w:b w:val="0"/>
          <w:bCs w:val="0"/>
          <w:color w:val="222222"/>
          <w:kern w:val="0"/>
          <w:sz w:val="44"/>
          <w:szCs w:val="44"/>
        </w:rPr>
        <w:t>建设</w:t>
      </w:r>
      <w:r>
        <w:rPr>
          <w:rFonts w:hint="eastAsia" w:ascii="方正小标宋简体" w:hAnsi="方正小标宋简体" w:eastAsia="方正小标宋简体" w:cs="方正小标宋简体"/>
          <w:b w:val="0"/>
          <w:bCs w:val="0"/>
          <w:color w:val="222222"/>
          <w:kern w:val="0"/>
          <w:sz w:val="44"/>
          <w:szCs w:val="44"/>
          <w:lang w:eastAsia="zh-CN"/>
        </w:rPr>
        <w:t>年度</w:t>
      </w:r>
      <w:r>
        <w:rPr>
          <w:rFonts w:hint="eastAsia" w:ascii="方正小标宋简体" w:hAnsi="方正小标宋简体" w:eastAsia="方正小标宋简体" w:cs="方正小标宋简体"/>
          <w:b w:val="0"/>
          <w:bCs w:val="0"/>
          <w:color w:val="222222"/>
          <w:kern w:val="0"/>
          <w:sz w:val="44"/>
          <w:szCs w:val="44"/>
        </w:rPr>
        <w:t>报告</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360" w:firstLineChars="200"/>
        <w:textAlignment w:val="auto"/>
        <w:rPr>
          <w:rFonts w:ascii="仿宋_GB2312" w:hAnsi="仿宋" w:eastAsia="仿宋_GB2312"/>
          <w:sz w:val="18"/>
          <w:szCs w:val="18"/>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sz w:val="32"/>
          <w:szCs w:val="32"/>
        </w:rPr>
      </w:pPr>
      <w:r>
        <w:rPr>
          <w:rFonts w:hint="eastAsia" w:ascii="Times New Roman" w:hAnsi="Times New Roman" w:eastAsia="仿宋_GB2312" w:cs="Times New Roman"/>
          <w:color w:val="auto"/>
          <w:sz w:val="32"/>
          <w:szCs w:val="32"/>
          <w:lang w:val="en-US" w:eastAsia="zh-CN"/>
        </w:rPr>
        <w:t>202</w:t>
      </w:r>
      <w:r>
        <w:rPr>
          <w:rFonts w:hint="default" w:ascii="Times New Roman" w:hAnsi="Times New Roman" w:eastAsia="仿宋_GB2312" w:cs="Times New Roman"/>
          <w:color w:val="auto"/>
          <w:sz w:val="32"/>
          <w:szCs w:val="32"/>
          <w:lang w:val="en" w:eastAsia="zh-CN"/>
        </w:rPr>
        <w:t>5</w:t>
      </w:r>
      <w:r>
        <w:rPr>
          <w:rFonts w:hint="eastAsia" w:ascii="Times New Roman" w:hAnsi="Times New Roman" w:eastAsia="仿宋_GB2312" w:cs="Times New Roman"/>
          <w:color w:val="auto"/>
          <w:sz w:val="32"/>
          <w:szCs w:val="32"/>
          <w:lang w:val="en-US" w:eastAsia="zh-CN"/>
        </w:rPr>
        <w:t>年是《法治政府建设实施纲要（</w:t>
      </w:r>
      <w:r>
        <w:rPr>
          <w:rFonts w:hint="default" w:ascii="Times New Roman" w:hAnsi="Times New Roman" w:eastAsia="仿宋_GB2312" w:cs="Times New Roman"/>
          <w:color w:val="auto"/>
          <w:sz w:val="32"/>
          <w:szCs w:val="32"/>
          <w:lang w:val="en-US" w:eastAsia="zh-CN"/>
        </w:rPr>
        <w:t>2021—2025</w:t>
      </w:r>
      <w:r>
        <w:rPr>
          <w:rFonts w:hint="eastAsia" w:ascii="Times New Roman" w:hAnsi="Times New Roman" w:eastAsia="仿宋_GB2312" w:cs="Times New Roman"/>
          <w:color w:val="auto"/>
          <w:sz w:val="32"/>
          <w:szCs w:val="32"/>
          <w:lang w:val="en-US" w:eastAsia="zh-CN"/>
        </w:rPr>
        <w:t>年）》收官之年，</w:t>
      </w:r>
      <w:r>
        <w:rPr>
          <w:rFonts w:hint="eastAsia" w:eastAsia="仿宋_GB2312" w:cs="Times New Roman"/>
          <w:color w:val="auto"/>
          <w:sz w:val="32"/>
          <w:szCs w:val="32"/>
          <w:lang w:val="en-US" w:eastAsia="zh-CN"/>
        </w:rPr>
        <w:t>我委</w:t>
      </w:r>
      <w:r>
        <w:rPr>
          <w:rFonts w:hint="eastAsia" w:ascii="Times New Roman" w:hAnsi="Times New Roman" w:eastAsia="仿宋_GB2312" w:cs="Times New Roman"/>
          <w:color w:val="auto"/>
          <w:sz w:val="32"/>
          <w:szCs w:val="32"/>
          <w:lang w:val="en-US" w:eastAsia="zh-CN"/>
        </w:rPr>
        <w:t>坚持以习近平新时代中国特色社会主义思想为指导，全面贯彻落实党的二十大和二十届二中、三中全会精神，</w:t>
      </w:r>
      <w:r>
        <w:rPr>
          <w:rFonts w:hint="eastAsia" w:ascii="Times New Roman" w:hAnsi="Times New Roman" w:eastAsia="仿宋_GB2312" w:cs="Times New Roman"/>
          <w:color w:val="auto"/>
          <w:sz w:val="32"/>
          <w:szCs w:val="32"/>
          <w:lang w:val="en" w:eastAsia="zh-CN"/>
        </w:rPr>
        <w:t>深学笃用习近平法治思想，深入学习贯彻落实习近平总书记视察天津重要讲话和对政法工作的重要指示精神，认真落实</w:t>
      </w:r>
      <w:r>
        <w:rPr>
          <w:rFonts w:hint="eastAsia" w:ascii="Times New Roman" w:hAnsi="Times New Roman" w:eastAsia="仿宋_GB2312" w:cs="Times New Roman"/>
          <w:color w:val="auto"/>
          <w:sz w:val="32"/>
          <w:szCs w:val="32"/>
          <w:lang w:val="en-US" w:eastAsia="zh-CN"/>
        </w:rPr>
        <w:t>中央、市委、区委政法工作会议精神，</w:t>
      </w:r>
      <w:r>
        <w:rPr>
          <w:rFonts w:hint="eastAsia" w:ascii="仿宋_GB2312" w:hAnsi="仿宋" w:eastAsia="仿宋_GB2312"/>
          <w:sz w:val="32"/>
          <w:szCs w:val="32"/>
          <w:lang w:eastAsia="zh-CN"/>
        </w:rPr>
        <w:t>按照“一规划两纲要”工作要求，认真对照工作职责，逐项落实法治政府建设各项工作任务</w:t>
      </w:r>
      <w:r>
        <w:rPr>
          <w:rFonts w:hint="eastAsia" w:ascii="仿宋_GB2312" w:hAnsi="仿宋" w:eastAsia="仿宋_GB2312"/>
          <w:sz w:val="32"/>
          <w:szCs w:val="32"/>
        </w:rPr>
        <w:t>。现将</w:t>
      </w:r>
      <w:r>
        <w:rPr>
          <w:rFonts w:hint="eastAsia" w:ascii="Times New Roman" w:hAnsi="Times New Roman" w:eastAsia="仿宋_GB2312" w:cs="Times New Roman"/>
          <w:sz w:val="32"/>
          <w:szCs w:val="32"/>
        </w:rPr>
        <w:t>202</w:t>
      </w:r>
      <w:r>
        <w:rPr>
          <w:rFonts w:hint="eastAsia" w:eastAsia="仿宋_GB2312" w:cs="Times New Roman"/>
          <w:sz w:val="32"/>
          <w:szCs w:val="32"/>
          <w:lang w:val="en-US" w:eastAsia="zh-CN"/>
        </w:rPr>
        <w:t>5</w:t>
      </w:r>
      <w:r>
        <w:rPr>
          <w:rFonts w:hint="eastAsia" w:ascii="仿宋_GB2312" w:hAnsi="仿宋" w:eastAsia="仿宋_GB2312"/>
          <w:sz w:val="32"/>
          <w:szCs w:val="32"/>
        </w:rPr>
        <w:t>年</w:t>
      </w:r>
      <w:r>
        <w:rPr>
          <w:rFonts w:hint="eastAsia" w:ascii="仿宋_GB2312" w:hAnsi="仿宋" w:eastAsia="仿宋_GB2312"/>
          <w:sz w:val="32"/>
          <w:szCs w:val="32"/>
          <w:lang w:eastAsia="zh-CN"/>
        </w:rPr>
        <w:t>度法治政府建设工作情况汇报</w:t>
      </w:r>
      <w:r>
        <w:rPr>
          <w:rFonts w:hint="eastAsia" w:ascii="仿宋_GB2312" w:hAnsi="仿宋" w:eastAsia="仿宋_GB2312"/>
          <w:sz w:val="32"/>
          <w:szCs w:val="32"/>
        </w:rPr>
        <w:t>如下：</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rPr>
        <w:t>一、学习贯彻习近平法治思想情况</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lang w:eastAsia="zh-CN"/>
        </w:rPr>
        <w:t>我</w:t>
      </w:r>
      <w:r>
        <w:rPr>
          <w:rFonts w:hint="eastAsia" w:ascii="仿宋_GB2312" w:hAnsi="仿宋" w:eastAsia="仿宋_GB2312"/>
          <w:sz w:val="32"/>
          <w:szCs w:val="32"/>
        </w:rPr>
        <w:t>委高度重视并深入</w:t>
      </w:r>
      <w:r>
        <w:rPr>
          <w:rFonts w:hint="eastAsia" w:ascii="仿宋_GB2312" w:hAnsi="仿宋" w:eastAsia="仿宋_GB2312"/>
          <w:sz w:val="32"/>
          <w:szCs w:val="32"/>
          <w:lang w:eastAsia="zh-CN"/>
        </w:rPr>
        <w:t>学习宣传贯彻</w:t>
      </w:r>
      <w:r>
        <w:rPr>
          <w:rFonts w:hint="eastAsia" w:ascii="仿宋_GB2312" w:hAnsi="仿宋" w:eastAsia="仿宋_GB2312"/>
          <w:sz w:val="32"/>
          <w:szCs w:val="32"/>
        </w:rPr>
        <w:t>习近平法治思想，坚持以习近平法治思想为指导，切实发挥党委对法治政府建设的集中领导和统筹推进作用，</w:t>
      </w:r>
      <w:r>
        <w:rPr>
          <w:rFonts w:hint="eastAsia" w:ascii="仿宋_GB2312" w:hAnsi="仿宋" w:eastAsia="仿宋_GB2312"/>
          <w:sz w:val="32"/>
          <w:szCs w:val="32"/>
          <w:lang w:eastAsia="zh-CN"/>
        </w:rPr>
        <w:t>围绕法治天津建设“一规划两纲要”目标任务，部署推进组织开展法治建设工作，</w:t>
      </w:r>
      <w:r>
        <w:rPr>
          <w:rFonts w:hint="eastAsia" w:ascii="仿宋_GB2312" w:hAnsi="仿宋" w:eastAsia="仿宋_GB2312"/>
          <w:sz w:val="32"/>
          <w:szCs w:val="32"/>
        </w:rPr>
        <w:t>增强“四个意识”、坚定“四个自信”、做到“两个维护”，自觉履行推进法治建设第一责任人职责</w:t>
      </w:r>
      <w:r>
        <w:rPr>
          <w:rFonts w:hint="eastAsia" w:ascii="仿宋_GB2312" w:hAnsi="仿宋" w:eastAsia="仿宋_GB2312"/>
          <w:sz w:val="32"/>
          <w:szCs w:val="32"/>
          <w:lang w:eastAsia="zh-CN"/>
        </w:rPr>
        <w:t>，严格依法决策和述法工作</w:t>
      </w:r>
      <w:r>
        <w:rPr>
          <w:rFonts w:hint="eastAsia" w:ascii="仿宋_GB2312" w:hAnsi="仿宋" w:eastAsia="仿宋_GB2312"/>
          <w:sz w:val="32"/>
          <w:szCs w:val="32"/>
        </w:rPr>
        <w:t>。成立全面依法行政领导小组负责</w:t>
      </w:r>
      <w:r>
        <w:rPr>
          <w:rFonts w:hint="eastAsia" w:ascii="仿宋_GB2312" w:hAnsi="仿宋" w:eastAsia="仿宋_GB2312"/>
          <w:sz w:val="32"/>
          <w:szCs w:val="32"/>
          <w:lang w:eastAsia="zh-CN"/>
        </w:rPr>
        <w:t>我委</w:t>
      </w:r>
      <w:r>
        <w:rPr>
          <w:rFonts w:hint="eastAsia" w:ascii="仿宋_GB2312" w:hAnsi="仿宋" w:eastAsia="仿宋_GB2312"/>
          <w:sz w:val="32"/>
          <w:szCs w:val="32"/>
        </w:rPr>
        <w:t>依法行政总体工作的领导和监督，并建立了议事规则、会议制度、会前学法制度等制度措施，全面依法行政领导小组研究部署依法</w:t>
      </w:r>
      <w:r>
        <w:rPr>
          <w:rFonts w:hint="eastAsia" w:ascii="仿宋_GB2312" w:hAnsi="仿宋" w:eastAsia="仿宋_GB2312"/>
          <w:sz w:val="32"/>
          <w:szCs w:val="32"/>
          <w:lang w:eastAsia="zh-CN"/>
        </w:rPr>
        <w:t>行政</w:t>
      </w:r>
      <w:r>
        <w:rPr>
          <w:rFonts w:hint="eastAsia" w:ascii="仿宋_GB2312" w:hAnsi="仿宋" w:eastAsia="仿宋_GB2312"/>
          <w:sz w:val="32"/>
          <w:szCs w:val="32"/>
        </w:rPr>
        <w:t>工作规划，统筹推进法治政府建设重点工作任务。</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hAnsi="仿宋" w:eastAsia="仿宋_GB2312"/>
          <w:color w:val="auto"/>
          <w:sz w:val="32"/>
          <w:szCs w:val="32"/>
        </w:rPr>
      </w:pPr>
      <w:r>
        <w:rPr>
          <w:rFonts w:hint="eastAsia" w:ascii="仿宋_GB2312" w:hAnsi="仿宋" w:eastAsia="仿宋_GB2312"/>
          <w:color w:val="auto"/>
          <w:sz w:val="32"/>
          <w:szCs w:val="32"/>
        </w:rPr>
        <w:t>全面依法行政领导小组工作机制由主要负责人担任全面依法行政领导小组组长，集体研究</w:t>
      </w:r>
      <w:r>
        <w:rPr>
          <w:rFonts w:hint="eastAsia" w:ascii="仿宋_GB2312" w:hAnsi="仿宋" w:eastAsia="仿宋_GB2312"/>
          <w:color w:val="auto"/>
          <w:sz w:val="32"/>
          <w:szCs w:val="32"/>
          <w:lang w:eastAsia="zh-CN"/>
        </w:rPr>
        <w:t>我</w:t>
      </w:r>
      <w:r>
        <w:rPr>
          <w:rFonts w:hint="eastAsia" w:ascii="仿宋_GB2312" w:hAnsi="仿宋" w:eastAsia="仿宋_GB2312"/>
          <w:color w:val="auto"/>
          <w:sz w:val="32"/>
          <w:szCs w:val="32"/>
        </w:rPr>
        <w:t>区住房建设工作重大问题，充分发挥全面依法行政领导小组会议在依法行政重大问题中的作用，</w:t>
      </w:r>
      <w:r>
        <w:rPr>
          <w:rFonts w:ascii="仿宋_GB2312" w:hAnsi="仿宋" w:eastAsia="仿宋_GB2312"/>
          <w:color w:val="auto"/>
          <w:sz w:val="32"/>
          <w:szCs w:val="32"/>
        </w:rPr>
        <w:t>学习贯彻中央全面依法治国工作会议、中央全面依法治国委员会会议精神</w:t>
      </w:r>
      <w:r>
        <w:rPr>
          <w:rFonts w:hint="eastAsia" w:ascii="仿宋_GB2312" w:hAnsi="仿宋" w:eastAsia="仿宋_GB2312"/>
          <w:color w:val="auto"/>
          <w:sz w:val="32"/>
          <w:szCs w:val="32"/>
        </w:rPr>
        <w:t>，作出推进依法行政工作重大决策部署，总揽和监督本单位依法行政工作。建立领导小组例会制度，定期听取工作汇报、分析研判形势、加强统筹协调、切实解决问题。</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hAnsi="楷体_GB2312" w:eastAsia="仿宋_GB2312" w:cs="楷体_GB2312"/>
          <w:bCs/>
          <w:color w:val="auto"/>
          <w:kern w:val="0"/>
          <w:sz w:val="32"/>
          <w:szCs w:val="32"/>
        </w:rPr>
      </w:pPr>
      <w:r>
        <w:rPr>
          <w:rFonts w:hint="eastAsia" w:ascii="仿宋_GB2312" w:hAnsi="仿宋_GB2312" w:eastAsia="仿宋_GB2312" w:cs="仿宋_GB2312"/>
          <w:color w:val="auto"/>
          <w:sz w:val="32"/>
          <w:szCs w:val="32"/>
          <w:lang w:eastAsia="zh-CN"/>
        </w:rPr>
        <w:t>我</w:t>
      </w:r>
      <w:r>
        <w:rPr>
          <w:rFonts w:hint="eastAsia" w:ascii="仿宋_GB2312" w:hAnsi="仿宋_GB2312" w:eastAsia="仿宋_GB2312" w:cs="仿宋_GB2312"/>
          <w:color w:val="auto"/>
          <w:sz w:val="32"/>
          <w:szCs w:val="32"/>
        </w:rPr>
        <w:t>委</w:t>
      </w:r>
      <w:r>
        <w:rPr>
          <w:rFonts w:hint="eastAsia" w:ascii="仿宋_GB2312" w:hAnsi="仿宋_GB2312" w:eastAsia="仿宋_GB2312" w:cs="仿宋_GB2312"/>
          <w:color w:val="auto"/>
          <w:sz w:val="32"/>
          <w:szCs w:val="32"/>
          <w:lang w:eastAsia="zh-CN"/>
        </w:rPr>
        <w:t>主要负责</w:t>
      </w:r>
      <w:r>
        <w:rPr>
          <w:rFonts w:hint="eastAsia" w:ascii="仿宋_GB2312" w:hAnsi="仿宋_GB2312" w:eastAsia="仿宋_GB2312" w:cs="仿宋_GB2312"/>
          <w:color w:val="auto"/>
          <w:sz w:val="32"/>
          <w:szCs w:val="32"/>
        </w:rPr>
        <w:t>同志主持进行中心组集体学习，全体中心组成员</w:t>
      </w:r>
      <w:r>
        <w:rPr>
          <w:rFonts w:hint="eastAsia" w:ascii="仿宋_GB2312" w:eastAsia="仿宋_GB2312"/>
          <w:color w:val="auto"/>
          <w:sz w:val="32"/>
          <w:szCs w:val="32"/>
        </w:rPr>
        <w:t>参加</w:t>
      </w:r>
      <w:r>
        <w:rPr>
          <w:rFonts w:hint="eastAsia" w:ascii="仿宋_GB2312" w:hAnsi="仿宋_GB2312" w:eastAsia="仿宋_GB2312" w:cs="仿宋_GB2312"/>
          <w:color w:val="auto"/>
          <w:sz w:val="32"/>
          <w:szCs w:val="32"/>
        </w:rPr>
        <w:t>。学习研讨了</w:t>
      </w:r>
      <w:r>
        <w:rPr>
          <w:rFonts w:ascii="Times New Roman" w:hAnsi="Times New Roman" w:eastAsia="仿宋_GB2312"/>
          <w:sz w:val="32"/>
          <w:szCs w:val="32"/>
        </w:rPr>
        <w:t>《习近平法治思想学习纲要》</w:t>
      </w:r>
      <w:r>
        <w:rPr>
          <w:rFonts w:hint="eastAsia" w:ascii="仿宋_GB2312" w:hAnsi="仿宋_GB2312" w:eastAsia="仿宋_GB2312" w:cs="仿宋_GB2312"/>
          <w:color w:val="auto"/>
          <w:sz w:val="32"/>
          <w:szCs w:val="32"/>
        </w:rPr>
        <w:t>。通过集中学习研讨，</w:t>
      </w:r>
      <w:r>
        <w:rPr>
          <w:rFonts w:hint="eastAsia" w:ascii="仿宋_GB2312" w:hAnsi="仿宋_GB2312" w:eastAsia="仿宋_GB2312" w:cs="仿宋_GB2312"/>
          <w:color w:val="auto"/>
          <w:sz w:val="32"/>
          <w:szCs w:val="32"/>
          <w:lang w:eastAsia="zh-CN"/>
        </w:rPr>
        <w:t>我</w:t>
      </w:r>
      <w:r>
        <w:rPr>
          <w:rFonts w:hint="eastAsia" w:ascii="仿宋_GB2312" w:hAnsi="仿宋_GB2312" w:eastAsia="仿宋_GB2312" w:cs="仿宋_GB2312"/>
          <w:color w:val="auto"/>
          <w:sz w:val="32"/>
          <w:szCs w:val="32"/>
        </w:rPr>
        <w:t>委处级领导深刻</w:t>
      </w:r>
      <w:r>
        <w:rPr>
          <w:rFonts w:ascii="仿宋_GB2312" w:hAnsi="仿宋_GB2312" w:eastAsia="仿宋_GB2312" w:cs="仿宋_GB2312"/>
          <w:color w:val="auto"/>
          <w:sz w:val="32"/>
          <w:szCs w:val="32"/>
        </w:rPr>
        <w:t>学习到公平正</w:t>
      </w:r>
      <w:r>
        <w:rPr>
          <w:rFonts w:hint="eastAsia" w:ascii="仿宋_GB2312" w:hAnsi="仿宋_GB2312" w:eastAsia="仿宋_GB2312" w:cs="仿宋_GB2312"/>
          <w:color w:val="auto"/>
          <w:sz w:val="32"/>
          <w:szCs w:val="32"/>
          <w:lang w:eastAsia="zh-CN"/>
        </w:rPr>
        <w:t>义</w:t>
      </w:r>
      <w:r>
        <w:rPr>
          <w:rFonts w:ascii="仿宋_GB2312" w:hAnsi="仿宋_GB2312" w:eastAsia="仿宋_GB2312" w:cs="仿宋_GB2312"/>
          <w:color w:val="auto"/>
          <w:sz w:val="32"/>
          <w:szCs w:val="32"/>
        </w:rPr>
        <w:t>的重要性，理解了推行全面依法治国，必须紧紧围绕</w:t>
      </w:r>
      <w:r>
        <w:rPr>
          <w:rFonts w:hint="eastAsia" w:ascii="仿宋_GB2312" w:hAnsi="仿宋_GB2312" w:eastAsia="仿宋_GB2312" w:cs="仿宋_GB2312"/>
          <w:color w:val="auto"/>
          <w:sz w:val="32"/>
          <w:szCs w:val="32"/>
        </w:rPr>
        <w:t>保障</w:t>
      </w:r>
      <w:r>
        <w:rPr>
          <w:rFonts w:ascii="仿宋_GB2312" w:hAnsi="仿宋_GB2312" w:eastAsia="仿宋_GB2312" w:cs="仿宋_GB2312"/>
          <w:color w:val="auto"/>
          <w:sz w:val="32"/>
          <w:szCs w:val="32"/>
        </w:rPr>
        <w:t>和促进社会公平</w:t>
      </w:r>
      <w:r>
        <w:rPr>
          <w:rFonts w:hint="eastAsia" w:ascii="仿宋_GB2312" w:hAnsi="仿宋_GB2312" w:eastAsia="仿宋_GB2312" w:cs="仿宋_GB2312"/>
          <w:color w:val="auto"/>
          <w:sz w:val="32"/>
          <w:szCs w:val="32"/>
          <w:lang w:eastAsia="zh-CN"/>
        </w:rPr>
        <w:t>正义</w:t>
      </w:r>
      <w:r>
        <w:rPr>
          <w:rFonts w:ascii="仿宋_GB2312" w:hAnsi="仿宋_GB2312" w:eastAsia="仿宋_GB2312" w:cs="仿宋_GB2312"/>
          <w:color w:val="auto"/>
          <w:sz w:val="32"/>
          <w:szCs w:val="32"/>
        </w:rPr>
        <w:t>来进行</w:t>
      </w:r>
      <w:r>
        <w:rPr>
          <w:rFonts w:hint="eastAsia" w:ascii="仿宋_GB2312" w:hAnsi="楷体_GB2312" w:eastAsia="仿宋_GB2312" w:cs="楷体_GB2312"/>
          <w:bCs/>
          <w:color w:val="auto"/>
          <w:kern w:val="0"/>
          <w:sz w:val="32"/>
          <w:szCs w:val="32"/>
        </w:rPr>
        <w:t>，同时，切实提高政治站位，增强运用法治思维和法治方式推进工作能力。</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我</w:t>
      </w:r>
      <w:r>
        <w:rPr>
          <w:rFonts w:hint="eastAsia" w:ascii="仿宋_GB2312" w:hAnsi="仿宋_GB2312" w:eastAsia="仿宋_GB2312" w:cs="仿宋_GB2312"/>
          <w:sz w:val="32"/>
          <w:szCs w:val="32"/>
        </w:rPr>
        <w:t>委建立健全依法科学民主决策机制，对于“三重一大”事项坚持集体决策，贯彻落实民主集中制，明确重大行政决策的主体、权限、程序等事项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建立部门权力和责任清单，全面推行行政执法三项制度，依法规范决策行为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规范行政处罚裁量基准制度，建立重大行政执法决定法制审核制度，发挥公职律师和法律顾问在制定行政决策、推进依法行政中的积极作用。</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ascii="黑体" w:hAnsi="黑体" w:eastAsia="黑体"/>
          <w:sz w:val="32"/>
          <w:szCs w:val="32"/>
        </w:rPr>
      </w:pPr>
      <w:r>
        <w:rPr>
          <w:rFonts w:hint="eastAsia" w:ascii="黑体" w:hAnsi="黑体" w:eastAsia="黑体"/>
          <w:sz w:val="32"/>
          <w:szCs w:val="32"/>
          <w:lang w:eastAsia="zh-CN"/>
        </w:rPr>
        <w:t>二、党政主要负责人履职情况和主要成效</w:t>
      </w:r>
    </w:p>
    <w:p>
      <w:pPr>
        <w:keepNext w:val="0"/>
        <w:keepLines w:val="0"/>
        <w:pageBreakBefore w:val="0"/>
        <w:widowControl w:val="0"/>
        <w:kinsoku/>
        <w:wordWrap/>
        <w:overflowPunct/>
        <w:topLinePunct w:val="0"/>
        <w:autoSpaceDE/>
        <w:autoSpaceDN/>
        <w:bidi w:val="0"/>
        <w:adjustRightInd/>
        <w:snapToGrid w:val="0"/>
        <w:spacing w:line="560" w:lineRule="exact"/>
        <w:ind w:firstLine="58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楷体_GB2312" w:cs="Times New Roman"/>
          <w:color w:val="auto"/>
          <w:sz w:val="32"/>
          <w:szCs w:val="32"/>
          <w:lang w:val="en-US" w:eastAsia="zh-CN"/>
        </w:rPr>
        <w:t>（一）落实第一责任，</w:t>
      </w:r>
      <w:r>
        <w:rPr>
          <w:rFonts w:hint="eastAsia" w:ascii="Times New Roman" w:hAnsi="Times New Roman" w:eastAsia="楷体_GB2312" w:cs="Times New Roman"/>
          <w:color w:val="auto"/>
          <w:sz w:val="32"/>
          <w:szCs w:val="32"/>
          <w:lang w:val="en-US" w:eastAsia="zh-CN"/>
        </w:rPr>
        <w:t>厚植法治根基</w:t>
      </w:r>
      <w:r>
        <w:rPr>
          <w:rFonts w:hint="default" w:ascii="Times New Roman" w:hAnsi="Times New Roman" w:eastAsia="楷体_GB2312" w:cs="Times New Roman"/>
          <w:color w:val="auto"/>
          <w:sz w:val="32"/>
          <w:szCs w:val="32"/>
          <w:lang w:val="en-US" w:eastAsia="zh-CN"/>
        </w:rPr>
        <w:t>。</w:t>
      </w:r>
      <w:r>
        <w:rPr>
          <w:rFonts w:hint="eastAsia" w:eastAsia="仿宋_GB2312" w:cs="Times New Roman"/>
          <w:color w:val="auto"/>
          <w:sz w:val="32"/>
          <w:szCs w:val="32"/>
          <w:lang w:val="en-US" w:eastAsia="zh-CN"/>
        </w:rPr>
        <w:t>我</w:t>
      </w:r>
      <w:r>
        <w:rPr>
          <w:rFonts w:hint="eastAsia" w:ascii="Times New Roman" w:hAnsi="Times New Roman" w:eastAsia="仿宋_GB2312" w:cs="Times New Roman"/>
          <w:color w:val="auto"/>
          <w:sz w:val="32"/>
          <w:szCs w:val="32"/>
          <w:lang w:val="en-US" w:eastAsia="zh-CN"/>
        </w:rPr>
        <w:t>委主要负责人</w:t>
      </w:r>
      <w:r>
        <w:rPr>
          <w:rFonts w:hint="default" w:ascii="Times New Roman" w:hAnsi="Times New Roman" w:eastAsia="仿宋_GB2312" w:cs="Times New Roman"/>
          <w:color w:val="auto"/>
          <w:sz w:val="32"/>
          <w:szCs w:val="32"/>
          <w:lang w:eastAsia="zh-CN"/>
        </w:rPr>
        <w:t>认真履行</w:t>
      </w:r>
      <w:r>
        <w:rPr>
          <w:rFonts w:hint="eastAsia" w:eastAsia="仿宋_GB2312" w:cs="Times New Roman"/>
          <w:color w:val="auto"/>
          <w:sz w:val="32"/>
          <w:szCs w:val="32"/>
          <w:lang w:eastAsia="zh-CN"/>
        </w:rPr>
        <w:t>本单位</w:t>
      </w:r>
      <w:r>
        <w:rPr>
          <w:rFonts w:hint="default" w:ascii="Times New Roman" w:hAnsi="Times New Roman" w:eastAsia="仿宋_GB2312" w:cs="Times New Roman"/>
          <w:color w:val="auto"/>
          <w:sz w:val="32"/>
          <w:szCs w:val="32"/>
          <w:lang w:eastAsia="zh-CN"/>
        </w:rPr>
        <w:t>法治</w:t>
      </w:r>
      <w:r>
        <w:rPr>
          <w:rFonts w:hint="eastAsia" w:ascii="仿宋_GB2312" w:hAnsi="仿宋_GB2312" w:eastAsia="仿宋_GB2312" w:cs="仿宋_GB2312"/>
          <w:color w:val="auto"/>
          <w:sz w:val="32"/>
          <w:szCs w:val="32"/>
          <w:lang w:eastAsia="zh-CN"/>
        </w:rPr>
        <w:t>建设“第一责任人”责</w:t>
      </w:r>
      <w:r>
        <w:rPr>
          <w:rFonts w:hint="default" w:ascii="Times New Roman" w:hAnsi="Times New Roman" w:eastAsia="仿宋_GB2312" w:cs="Times New Roman"/>
          <w:color w:val="auto"/>
          <w:sz w:val="32"/>
          <w:szCs w:val="32"/>
          <w:lang w:eastAsia="zh-CN"/>
        </w:rPr>
        <w:t>任，</w:t>
      </w:r>
      <w:r>
        <w:rPr>
          <w:rFonts w:hint="default" w:ascii="Times New Roman" w:hAnsi="Times New Roman" w:eastAsia="仿宋_GB2312" w:cs="Times New Roman"/>
          <w:color w:val="auto"/>
          <w:sz w:val="32"/>
          <w:szCs w:val="32"/>
        </w:rPr>
        <w:t>年初</w:t>
      </w:r>
      <w:r>
        <w:rPr>
          <w:rFonts w:hint="default" w:ascii="Times New Roman" w:hAnsi="Times New Roman" w:eastAsia="仿宋_GB2312" w:cs="Times New Roman"/>
          <w:color w:val="auto"/>
          <w:sz w:val="32"/>
          <w:szCs w:val="32"/>
          <w:lang w:eastAsia="zh-CN"/>
        </w:rPr>
        <w:t>组织研究</w:t>
      </w:r>
      <w:r>
        <w:rPr>
          <w:rFonts w:hint="default" w:ascii="Times New Roman" w:hAnsi="Times New Roman" w:eastAsia="仿宋_GB2312" w:cs="Times New Roman"/>
          <w:color w:val="auto"/>
          <w:sz w:val="32"/>
          <w:szCs w:val="32"/>
        </w:rPr>
        <w:t>制定了</w:t>
      </w:r>
      <w:r>
        <w:rPr>
          <w:rFonts w:hint="default" w:ascii="Times New Roman" w:hAnsi="Times New Roman" w:eastAsia="仿宋_GB2312" w:cs="Times New Roman"/>
          <w:color w:val="auto"/>
          <w:sz w:val="32"/>
          <w:szCs w:val="32"/>
          <w:lang w:eastAsia="zh-CN"/>
        </w:rPr>
        <w:t>《住建委202</w:t>
      </w:r>
      <w:r>
        <w:rPr>
          <w:rFonts w:hint="eastAsia"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lang w:eastAsia="zh-CN"/>
        </w:rPr>
        <w:t>年法治政府建设计划》，</w:t>
      </w:r>
      <w:r>
        <w:rPr>
          <w:rFonts w:hint="default" w:ascii="Times New Roman" w:hAnsi="Times New Roman" w:eastAsia="仿宋_GB2312" w:cs="Times New Roman"/>
          <w:color w:val="auto"/>
          <w:sz w:val="32"/>
          <w:szCs w:val="32"/>
        </w:rPr>
        <w:t>成立</w:t>
      </w:r>
      <w:r>
        <w:rPr>
          <w:rFonts w:hint="default" w:ascii="Times New Roman" w:hAnsi="Times New Roman" w:eastAsia="仿宋_GB2312" w:cs="Times New Roman"/>
          <w:color w:val="auto"/>
          <w:sz w:val="32"/>
          <w:szCs w:val="32"/>
          <w:lang w:eastAsia="zh-CN"/>
        </w:rPr>
        <w:t>由</w:t>
      </w:r>
      <w:r>
        <w:rPr>
          <w:rFonts w:hint="eastAsia" w:eastAsia="仿宋_GB2312" w:cs="Times New Roman"/>
          <w:color w:val="auto"/>
          <w:sz w:val="32"/>
          <w:szCs w:val="32"/>
          <w:lang w:eastAsia="zh-CN"/>
        </w:rPr>
        <w:t>主要负责人任</w:t>
      </w:r>
      <w:r>
        <w:rPr>
          <w:rFonts w:hint="default" w:ascii="Times New Roman" w:hAnsi="Times New Roman" w:eastAsia="仿宋_GB2312" w:cs="Times New Roman"/>
          <w:color w:val="auto"/>
          <w:sz w:val="32"/>
          <w:szCs w:val="32"/>
          <w:lang w:eastAsia="zh-CN"/>
        </w:rPr>
        <w:t>组长的</w:t>
      </w:r>
      <w:r>
        <w:rPr>
          <w:rFonts w:hint="default" w:ascii="Times New Roman" w:hAnsi="Times New Roman" w:eastAsia="仿宋_GB2312" w:cs="Times New Roman"/>
          <w:color w:val="auto"/>
          <w:sz w:val="32"/>
          <w:szCs w:val="32"/>
        </w:rPr>
        <w:t>全面依法行政领导小组</w:t>
      </w:r>
      <w:r>
        <w:rPr>
          <w:rFonts w:hint="default"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领导和监督全</w:t>
      </w:r>
      <w:r>
        <w:rPr>
          <w:rFonts w:hint="default" w:ascii="Times New Roman" w:hAnsi="Times New Roman" w:eastAsia="仿宋_GB2312" w:cs="Times New Roman"/>
          <w:color w:val="auto"/>
          <w:sz w:val="32"/>
          <w:szCs w:val="32"/>
          <w:lang w:eastAsia="zh-CN"/>
        </w:rPr>
        <w:t>委法治</w:t>
      </w:r>
      <w:r>
        <w:rPr>
          <w:rFonts w:hint="eastAsia" w:eastAsia="仿宋_GB2312" w:cs="Times New Roman"/>
          <w:color w:val="auto"/>
          <w:sz w:val="32"/>
          <w:szCs w:val="32"/>
          <w:lang w:eastAsia="zh-CN"/>
        </w:rPr>
        <w:t>政府</w:t>
      </w:r>
      <w:r>
        <w:rPr>
          <w:rFonts w:hint="default" w:ascii="Times New Roman" w:hAnsi="Times New Roman" w:eastAsia="仿宋_GB2312" w:cs="Times New Roman"/>
          <w:color w:val="auto"/>
          <w:sz w:val="32"/>
          <w:szCs w:val="32"/>
          <w:lang w:eastAsia="zh-CN"/>
        </w:rPr>
        <w:t>建设</w:t>
      </w:r>
      <w:r>
        <w:rPr>
          <w:rFonts w:hint="default" w:ascii="Times New Roman" w:hAnsi="Times New Roman" w:eastAsia="仿宋_GB2312" w:cs="Times New Roman"/>
          <w:color w:val="auto"/>
          <w:sz w:val="32"/>
          <w:szCs w:val="32"/>
        </w:rPr>
        <w:t>总体工作。</w:t>
      </w:r>
      <w:r>
        <w:rPr>
          <w:rFonts w:hint="default" w:ascii="Times New Roman" w:hAnsi="Times New Roman" w:eastAsia="仿宋_GB2312" w:cs="Times New Roman"/>
          <w:color w:val="auto"/>
          <w:sz w:val="32"/>
          <w:szCs w:val="32"/>
          <w:lang w:eastAsia="zh-CN"/>
        </w:rPr>
        <w:t>全年组织专题学法2次，带头给住建系统干部职工讲法治课</w:t>
      </w:r>
      <w:r>
        <w:rPr>
          <w:rFonts w:hint="eastAsia" w:ascii="Times New Roman" w:hAnsi="Times New Roman" w:eastAsia="仿宋_GB2312" w:cs="Times New Roman"/>
          <w:color w:val="auto"/>
          <w:sz w:val="32"/>
          <w:szCs w:val="32"/>
          <w:lang w:val="en-US" w:eastAsia="zh-CN"/>
        </w:rPr>
        <w:t>1次</w:t>
      </w:r>
      <w:r>
        <w:rPr>
          <w:rFonts w:hint="eastAsia"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通过以上率下、</w:t>
      </w:r>
      <w:r>
        <w:rPr>
          <w:rFonts w:hint="eastAsia" w:ascii="Times New Roman" w:hAnsi="Times New Roman" w:eastAsia="仿宋_GB2312" w:cs="Times New Roman"/>
          <w:color w:val="auto"/>
          <w:sz w:val="32"/>
          <w:szCs w:val="32"/>
          <w:lang w:eastAsia="zh-CN"/>
        </w:rPr>
        <w:t>教育宣讲</w:t>
      </w:r>
      <w:r>
        <w:rPr>
          <w:rFonts w:hint="default" w:ascii="Times New Roman" w:hAnsi="Times New Roman" w:eastAsia="仿宋_GB2312" w:cs="Times New Roman"/>
          <w:color w:val="auto"/>
          <w:sz w:val="32"/>
          <w:szCs w:val="32"/>
          <w:lang w:eastAsia="zh-CN"/>
        </w:rPr>
        <w:t>，推动习近平法治思想入脑入心</w:t>
      </w:r>
      <w:r>
        <w:rPr>
          <w:rFonts w:hint="default" w:ascii="Times New Roman" w:hAnsi="Times New Roman" w:eastAsia="仿宋_GB2312" w:cs="Times New Roman"/>
          <w:color w:val="auto"/>
          <w:sz w:val="32"/>
          <w:szCs w:val="32"/>
          <w:lang w:val="en" w:eastAsia="zh-CN"/>
        </w:rPr>
        <w:t>、</w:t>
      </w:r>
      <w:r>
        <w:rPr>
          <w:rFonts w:hint="default" w:ascii="Times New Roman" w:hAnsi="Times New Roman" w:eastAsia="仿宋_GB2312" w:cs="Times New Roman"/>
          <w:color w:val="auto"/>
          <w:sz w:val="32"/>
          <w:szCs w:val="32"/>
          <w:lang w:eastAsia="zh-CN"/>
        </w:rPr>
        <w:t>走深走实，干部职工法治观念不断提升</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全委法治氛围日益浓厚</w:t>
      </w:r>
      <w:r>
        <w:rPr>
          <w:rFonts w:hint="default" w:ascii="Times New Roman" w:hAnsi="Times New Roman" w:eastAsia="仿宋_GB2312"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560" w:lineRule="exact"/>
        <w:ind w:firstLine="58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（二）加强行政执法，维护</w:t>
      </w:r>
      <w:r>
        <w:rPr>
          <w:rFonts w:hint="eastAsia" w:eastAsia="楷体_GB2312" w:cs="Times New Roman"/>
          <w:color w:val="auto"/>
          <w:sz w:val="32"/>
          <w:szCs w:val="32"/>
          <w:lang w:val="en-US" w:eastAsia="zh-CN"/>
        </w:rPr>
        <w:t>住房和建设</w:t>
      </w:r>
      <w:r>
        <w:rPr>
          <w:rFonts w:hint="default" w:ascii="Times New Roman" w:hAnsi="Times New Roman" w:eastAsia="楷体_GB2312" w:cs="Times New Roman"/>
          <w:color w:val="auto"/>
          <w:sz w:val="32"/>
          <w:szCs w:val="32"/>
          <w:lang w:val="en-US" w:eastAsia="zh-CN"/>
        </w:rPr>
        <w:t>市场秩序。</w:t>
      </w:r>
      <w:r>
        <w:rPr>
          <w:rFonts w:hint="default" w:ascii="Times New Roman" w:hAnsi="Times New Roman" w:eastAsia="仿宋_GB2312" w:cs="Times New Roman"/>
          <w:color w:val="auto"/>
          <w:sz w:val="32"/>
          <w:szCs w:val="32"/>
          <w:lang w:val="en-US" w:eastAsia="zh-CN"/>
        </w:rPr>
        <w:t>一是</w:t>
      </w:r>
      <w:r>
        <w:rPr>
          <w:rFonts w:hint="eastAsia" w:ascii="Times New Roman" w:hAnsi="Times New Roman" w:eastAsia="仿宋_GB2312" w:cs="Times New Roman"/>
          <w:color w:val="auto"/>
          <w:sz w:val="32"/>
          <w:szCs w:val="32"/>
          <w:lang w:val="en-US" w:eastAsia="zh-CN"/>
        </w:rPr>
        <w:t>组织对</w:t>
      </w:r>
      <w:r>
        <w:rPr>
          <w:rFonts w:hint="default" w:ascii="Times New Roman" w:hAnsi="Times New Roman" w:eastAsia="仿宋_GB2312" w:cs="Times New Roman"/>
          <w:color w:val="auto"/>
          <w:sz w:val="32"/>
          <w:szCs w:val="32"/>
          <w:lang w:val="en-US" w:eastAsia="zh-CN"/>
        </w:rPr>
        <w:t>全区</w:t>
      </w:r>
      <w:r>
        <w:rPr>
          <w:rFonts w:hint="eastAsia" w:ascii="Times New Roman" w:hAnsi="Times New Roman" w:eastAsia="仿宋_GB2312" w:cs="Times New Roman"/>
          <w:color w:val="auto"/>
          <w:sz w:val="32"/>
          <w:szCs w:val="32"/>
          <w:lang w:val="en-US" w:eastAsia="zh-CN"/>
        </w:rPr>
        <w:t>建设工程</w:t>
      </w:r>
      <w:r>
        <w:rPr>
          <w:rFonts w:hint="default" w:ascii="Times New Roman" w:hAnsi="Times New Roman" w:eastAsia="仿宋_GB2312" w:cs="Times New Roman"/>
          <w:color w:val="auto"/>
          <w:sz w:val="32"/>
          <w:szCs w:val="32"/>
          <w:lang w:val="en-US" w:eastAsia="zh-CN"/>
        </w:rPr>
        <w:t>项目</w:t>
      </w:r>
      <w:r>
        <w:rPr>
          <w:rFonts w:hint="eastAsia" w:ascii="Times New Roman" w:hAnsi="Times New Roman" w:eastAsia="仿宋_GB2312" w:cs="Times New Roman"/>
          <w:color w:val="auto"/>
          <w:sz w:val="32"/>
          <w:szCs w:val="32"/>
          <w:lang w:val="en-US" w:eastAsia="zh-CN"/>
        </w:rPr>
        <w:t>开展</w:t>
      </w:r>
      <w:r>
        <w:rPr>
          <w:rFonts w:hint="default" w:ascii="Times New Roman" w:hAnsi="Times New Roman" w:eastAsia="仿宋_GB2312" w:cs="Times New Roman"/>
          <w:color w:val="auto"/>
          <w:sz w:val="32"/>
          <w:szCs w:val="32"/>
          <w:lang w:val="en-US" w:eastAsia="zh-CN"/>
        </w:rPr>
        <w:t>执法检查，</w:t>
      </w:r>
      <w:r>
        <w:rPr>
          <w:rFonts w:hint="eastAsia" w:ascii="Times New Roman" w:hAnsi="Times New Roman" w:eastAsia="仿宋_GB2312" w:cs="Times New Roman"/>
          <w:color w:val="auto"/>
          <w:sz w:val="32"/>
          <w:szCs w:val="32"/>
          <w:lang w:val="en-US" w:eastAsia="zh-CN"/>
        </w:rPr>
        <w:t>全年</w:t>
      </w:r>
      <w:r>
        <w:rPr>
          <w:rFonts w:hint="default" w:ascii="Times New Roman" w:hAnsi="Times New Roman" w:eastAsia="仿宋_GB2312" w:cs="Times New Roman"/>
          <w:color w:val="auto"/>
          <w:sz w:val="32"/>
          <w:szCs w:val="32"/>
          <w:lang w:val="en-US" w:eastAsia="zh-CN"/>
        </w:rPr>
        <w:t>共出动执法人员</w:t>
      </w:r>
      <w:r>
        <w:rPr>
          <w:rFonts w:hint="eastAsia" w:eastAsia="仿宋_GB2312" w:cs="Times New Roman"/>
          <w:color w:val="auto"/>
          <w:sz w:val="32"/>
          <w:szCs w:val="32"/>
          <w:lang w:val="en-US" w:eastAsia="zh-CN"/>
        </w:rPr>
        <w:t>1400余</w:t>
      </w:r>
      <w:r>
        <w:rPr>
          <w:rFonts w:hint="default" w:ascii="Times New Roman" w:hAnsi="Times New Roman" w:eastAsia="仿宋_GB2312" w:cs="Times New Roman"/>
          <w:color w:val="auto"/>
          <w:sz w:val="32"/>
          <w:szCs w:val="32"/>
          <w:lang w:val="en-US" w:eastAsia="zh-CN"/>
        </w:rPr>
        <w:t>人次，</w:t>
      </w:r>
      <w:r>
        <w:rPr>
          <w:rFonts w:hint="eastAsia" w:ascii="Times New Roman" w:hAnsi="Times New Roman" w:eastAsia="仿宋_GB2312" w:cs="Times New Roman"/>
          <w:color w:val="auto"/>
          <w:sz w:val="32"/>
          <w:szCs w:val="32"/>
          <w:lang w:val="en-US" w:eastAsia="zh-CN"/>
        </w:rPr>
        <w:t>立案处罚</w:t>
      </w:r>
      <w:r>
        <w:rPr>
          <w:rFonts w:hint="eastAsia" w:eastAsia="仿宋_GB2312" w:cs="Times New Roman"/>
          <w:color w:val="auto"/>
          <w:sz w:val="32"/>
          <w:szCs w:val="32"/>
          <w:lang w:val="en-US" w:eastAsia="zh-CN"/>
        </w:rPr>
        <w:t>31</w:t>
      </w:r>
      <w:r>
        <w:rPr>
          <w:rFonts w:hint="eastAsia" w:ascii="Times New Roman" w:hAnsi="Times New Roman" w:eastAsia="仿宋_GB2312" w:cs="Times New Roman"/>
          <w:color w:val="auto"/>
          <w:sz w:val="32"/>
          <w:szCs w:val="32"/>
          <w:lang w:val="en-US" w:eastAsia="zh-CN"/>
        </w:rPr>
        <w:t>件</w:t>
      </w: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共</w:t>
      </w:r>
      <w:r>
        <w:rPr>
          <w:rFonts w:hint="default" w:ascii="Times New Roman" w:hAnsi="Times New Roman" w:eastAsia="仿宋_GB2312" w:cs="Times New Roman"/>
          <w:color w:val="auto"/>
          <w:sz w:val="32"/>
          <w:szCs w:val="32"/>
          <w:lang w:val="en-US" w:eastAsia="zh-CN"/>
        </w:rPr>
        <w:t>处罚金</w:t>
      </w:r>
      <w:r>
        <w:rPr>
          <w:rFonts w:hint="eastAsia" w:ascii="Times New Roman" w:hAnsi="Times New Roman" w:eastAsia="仿宋_GB2312" w:cs="Times New Roman"/>
          <w:sz w:val="32"/>
          <w:szCs w:val="32"/>
        </w:rPr>
        <w:t>37.69</w:t>
      </w:r>
      <w:r>
        <w:rPr>
          <w:rFonts w:hint="eastAsia" w:eastAsia="仿宋_GB2312" w:cs="Times New Roman"/>
          <w:sz w:val="32"/>
          <w:szCs w:val="32"/>
          <w:lang w:eastAsia="zh-CN"/>
        </w:rPr>
        <w:t>万</w:t>
      </w:r>
      <w:r>
        <w:rPr>
          <w:rFonts w:hint="eastAsia" w:ascii="仿宋_GB2312" w:hAnsi="仿宋_GB2312" w:eastAsia="仿宋_GB2312" w:cs="仿宋_GB2312"/>
          <w:sz w:val="32"/>
          <w:szCs w:val="32"/>
        </w:rPr>
        <w:t>元</w:t>
      </w:r>
      <w:r>
        <w:rPr>
          <w:rFonts w:hint="default" w:ascii="Times New Roman" w:hAnsi="Times New Roman" w:eastAsia="仿宋_GB2312" w:cs="Times New Roman"/>
          <w:color w:val="auto"/>
          <w:sz w:val="32"/>
          <w:szCs w:val="32"/>
          <w:lang w:val="en" w:eastAsia="zh-CN"/>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二是严格履行招投标等监管职能，完成招标备案项目合计</w:t>
      </w:r>
      <w:r>
        <w:rPr>
          <w:rFonts w:hint="default" w:eastAsia="仿宋_GB2312" w:cs="Times New Roman"/>
          <w:color w:val="000000" w:themeColor="text1"/>
          <w:sz w:val="32"/>
          <w:szCs w:val="32"/>
          <w:lang w:val="en" w:eastAsia="zh-CN"/>
          <w14:textFill>
            <w14:solidFill>
              <w14:schemeClr w14:val="tx1"/>
            </w14:solidFill>
          </w14:textFill>
        </w:rPr>
        <w:t>61</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项，中标金额</w:t>
      </w:r>
      <w:r>
        <w:rPr>
          <w:rFonts w:hint="default" w:eastAsia="仿宋_GB2312" w:cs="Times New Roman"/>
          <w:color w:val="000000" w:themeColor="text1"/>
          <w:sz w:val="32"/>
          <w:szCs w:val="32"/>
          <w:lang w:val="en" w:eastAsia="zh-CN"/>
          <w14:textFill>
            <w14:solidFill>
              <w14:schemeClr w14:val="tx1"/>
            </w14:solidFill>
          </w14:textFill>
        </w:rPr>
        <w:t>89</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亿</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元</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完成建设工程合同随机抽检</w:t>
      </w:r>
      <w:r>
        <w:rPr>
          <w:rFonts w:hint="default" w:eastAsia="仿宋_GB2312" w:cs="Times New Roman"/>
          <w:color w:val="000000" w:themeColor="text1"/>
          <w:sz w:val="32"/>
          <w:szCs w:val="32"/>
          <w:lang w:val="en" w:eastAsia="zh-CN"/>
          <w14:textFill>
            <w14:solidFill>
              <w14:schemeClr w14:val="tx1"/>
            </w14:solidFill>
          </w14:textFill>
        </w:rPr>
        <w:t>16</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项，下达责令整改通知书</w:t>
      </w:r>
      <w:r>
        <w:rPr>
          <w:rFonts w:hint="default" w:eastAsia="仿宋_GB2312" w:cs="Times New Roman"/>
          <w:color w:val="000000" w:themeColor="text1"/>
          <w:sz w:val="32"/>
          <w:szCs w:val="32"/>
          <w:lang w:val="en" w:eastAsia="zh-CN"/>
          <w14:textFill>
            <w14:solidFill>
              <w14:schemeClr w14:val="tx1"/>
            </w14:solidFill>
          </w14:textFill>
        </w:rPr>
        <w:t>0</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份</w:t>
      </w:r>
      <w:r>
        <w:rPr>
          <w:rFonts w:hint="default" w:ascii="Times New Roman" w:hAnsi="Times New Roman" w:eastAsia="仿宋_GB2312" w:cs="Times New Roman"/>
          <w:color w:val="000000" w:themeColor="text1"/>
          <w:sz w:val="32"/>
          <w:szCs w:val="32"/>
          <w:lang w:val="en" w:eastAsia="zh-CN"/>
          <w14:textFill>
            <w14:solidFill>
              <w14:schemeClr w14:val="tx1"/>
            </w14:solidFill>
          </w14:textFill>
        </w:rPr>
        <w:t>。</w:t>
      </w:r>
      <w:r>
        <w:rPr>
          <w:rFonts w:hint="eastAsia" w:ascii="Times New Roman" w:hAnsi="Times New Roman" w:eastAsia="仿宋_GB2312" w:cs="Times New Roman"/>
          <w:color w:val="auto"/>
          <w:sz w:val="32"/>
          <w:szCs w:val="32"/>
          <w:lang w:val="en-US" w:eastAsia="zh-CN"/>
        </w:rPr>
        <w:t>三是</w:t>
      </w:r>
      <w:r>
        <w:rPr>
          <w:rFonts w:hint="eastAsia" w:ascii="Times New Roman" w:hAnsi="Times New Roman" w:eastAsia="仿宋_GB2312" w:cs="Times New Roman"/>
          <w:color w:val="auto"/>
          <w:sz w:val="32"/>
          <w:szCs w:val="32"/>
          <w:lang w:eastAsia="zh-CN"/>
        </w:rPr>
        <w:t>扎实推进三年行动。</w:t>
      </w:r>
      <w:r>
        <w:rPr>
          <w:rFonts w:hint="eastAsia"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lang w:val="en-US" w:eastAsia="zh-CN"/>
        </w:rPr>
        <w:t>6项“硬措施”出台以来，完成重大事故隐患判定标准宣贯解读培训全覆盖，累计宣贯</w:t>
      </w:r>
      <w:r>
        <w:rPr>
          <w:rFonts w:hint="eastAsia" w:ascii="Times New Roman" w:hAnsi="Times New Roman" w:eastAsia="仿宋_GB2312" w:cs="Times New Roman"/>
          <w:color w:val="auto"/>
          <w:sz w:val="32"/>
          <w:szCs w:val="32"/>
          <w:lang w:val="en-US" w:eastAsia="zh-CN"/>
        </w:rPr>
        <w:t>66余</w:t>
      </w:r>
      <w:r>
        <w:rPr>
          <w:rFonts w:hint="default" w:ascii="Times New Roman" w:hAnsi="Times New Roman" w:eastAsia="仿宋_GB2312" w:cs="Times New Roman"/>
          <w:color w:val="auto"/>
          <w:sz w:val="32"/>
          <w:szCs w:val="32"/>
          <w:lang w:val="en-US" w:eastAsia="zh-CN"/>
        </w:rPr>
        <w:t>次，</w:t>
      </w:r>
      <w:r>
        <w:rPr>
          <w:rFonts w:hint="eastAsia" w:ascii="Times New Roman" w:hAnsi="Times New Roman" w:eastAsia="仿宋_GB2312" w:cs="Times New Roman"/>
          <w:color w:val="auto"/>
          <w:sz w:val="32"/>
          <w:szCs w:val="32"/>
          <w:lang w:val="en-US" w:eastAsia="zh-CN"/>
        </w:rPr>
        <w:t>2000余</w:t>
      </w:r>
      <w:r>
        <w:rPr>
          <w:rFonts w:hint="default" w:ascii="Times New Roman" w:hAnsi="Times New Roman" w:eastAsia="仿宋_GB2312" w:cs="Times New Roman"/>
          <w:color w:val="auto"/>
          <w:sz w:val="32"/>
          <w:szCs w:val="32"/>
          <w:lang w:val="en-US" w:eastAsia="zh-CN"/>
        </w:rPr>
        <w:t>人参加；指导</w:t>
      </w:r>
      <w:r>
        <w:rPr>
          <w:rFonts w:hint="eastAsia" w:ascii="Times New Roman" w:hAnsi="Times New Roman" w:eastAsia="仿宋_GB2312" w:cs="Times New Roman"/>
          <w:color w:val="auto"/>
          <w:sz w:val="32"/>
          <w:szCs w:val="32"/>
          <w:lang w:val="en-US" w:eastAsia="zh-CN"/>
        </w:rPr>
        <w:t>72</w:t>
      </w:r>
      <w:r>
        <w:rPr>
          <w:rFonts w:hint="default" w:ascii="Times New Roman" w:hAnsi="Times New Roman" w:eastAsia="仿宋_GB2312" w:cs="Times New Roman"/>
          <w:color w:val="auto"/>
          <w:sz w:val="32"/>
          <w:szCs w:val="32"/>
          <w:lang w:val="en-US" w:eastAsia="zh-CN"/>
        </w:rPr>
        <w:t>家生产经营单位对照重大事故隐患判定标准完成一轮自查自改，完成企业自查发现重大隐患</w:t>
      </w:r>
      <w:r>
        <w:rPr>
          <w:rFonts w:hint="eastAsia" w:ascii="Times New Roman" w:hAnsi="Times New Roman" w:eastAsia="仿宋_GB2312" w:cs="Times New Roman"/>
          <w:color w:val="auto"/>
          <w:sz w:val="32"/>
          <w:szCs w:val="32"/>
          <w:lang w:val="en-US" w:eastAsia="zh-CN"/>
        </w:rPr>
        <w:t>40</w:t>
      </w:r>
      <w:r>
        <w:rPr>
          <w:rFonts w:hint="default" w:ascii="Times New Roman" w:hAnsi="Times New Roman" w:eastAsia="仿宋_GB2312" w:cs="Times New Roman"/>
          <w:color w:val="auto"/>
          <w:sz w:val="32"/>
          <w:szCs w:val="32"/>
          <w:lang w:val="en-US" w:eastAsia="zh-CN"/>
        </w:rPr>
        <w:t>项；推动生产经营单位建立健全事故隐患报告奖励机制</w:t>
      </w:r>
      <w:r>
        <w:rPr>
          <w:rFonts w:hint="eastAsia" w:ascii="Times New Roman" w:hAnsi="Times New Roman" w:eastAsia="仿宋_GB2312" w:cs="Times New Roman"/>
          <w:color w:val="auto"/>
          <w:sz w:val="32"/>
          <w:szCs w:val="32"/>
          <w:lang w:val="en-US" w:eastAsia="zh-CN"/>
        </w:rPr>
        <w:t>72</w:t>
      </w:r>
      <w:r>
        <w:rPr>
          <w:rFonts w:hint="default" w:ascii="Times New Roman" w:hAnsi="Times New Roman" w:eastAsia="仿宋_GB2312" w:cs="Times New Roman"/>
          <w:color w:val="auto"/>
          <w:sz w:val="32"/>
          <w:szCs w:val="32"/>
          <w:lang w:val="en-US" w:eastAsia="zh-CN"/>
        </w:rPr>
        <w:t>家，完成100%（达到要求），发放奖励金额1</w:t>
      </w:r>
      <w:r>
        <w:rPr>
          <w:rFonts w:hint="eastAsia" w:ascii="Times New Roman" w:hAnsi="Times New Roman" w:eastAsia="仿宋_GB2312" w:cs="Times New Roman"/>
          <w:color w:val="auto"/>
          <w:sz w:val="32"/>
          <w:szCs w:val="32"/>
          <w:lang w:val="en-US" w:eastAsia="zh-CN"/>
        </w:rPr>
        <w:t>.738</w:t>
      </w:r>
      <w:r>
        <w:rPr>
          <w:rFonts w:hint="default" w:ascii="Times New Roman" w:hAnsi="Times New Roman" w:eastAsia="仿宋_GB2312" w:cs="Times New Roman"/>
          <w:color w:val="auto"/>
          <w:sz w:val="32"/>
          <w:szCs w:val="32"/>
          <w:lang w:val="en-US" w:eastAsia="zh-CN"/>
        </w:rPr>
        <w:t>万</w:t>
      </w:r>
      <w:r>
        <w:rPr>
          <w:rFonts w:hint="eastAsia" w:ascii="Times New Roman" w:hAnsi="Times New Roman" w:eastAsia="仿宋_GB2312" w:cs="Times New Roman"/>
          <w:color w:val="auto"/>
          <w:sz w:val="32"/>
          <w:szCs w:val="32"/>
          <w:lang w:val="en-US" w:eastAsia="zh-CN"/>
        </w:rPr>
        <w:t>余</w:t>
      </w:r>
      <w:r>
        <w:rPr>
          <w:rFonts w:hint="default" w:ascii="Times New Roman" w:hAnsi="Times New Roman" w:eastAsia="仿宋_GB2312" w:cs="Times New Roman"/>
          <w:color w:val="auto"/>
          <w:sz w:val="32"/>
          <w:szCs w:val="32"/>
          <w:lang w:val="en-US" w:eastAsia="zh-CN"/>
        </w:rPr>
        <w:t>元；运用“四不两直”明查暗访、交叉执法等方式开展检查</w:t>
      </w:r>
      <w:r>
        <w:rPr>
          <w:rFonts w:hint="eastAsia" w:ascii="Times New Roman" w:hAnsi="Times New Roman" w:eastAsia="仿宋_GB2312" w:cs="Times New Roman"/>
          <w:color w:val="auto"/>
          <w:sz w:val="32"/>
          <w:szCs w:val="32"/>
          <w:lang w:val="en-US" w:eastAsia="zh-CN"/>
        </w:rPr>
        <w:t>100余</w:t>
      </w:r>
      <w:r>
        <w:rPr>
          <w:rFonts w:hint="default" w:ascii="Times New Roman" w:hAnsi="Times New Roman" w:eastAsia="仿宋_GB2312" w:cs="Times New Roman"/>
          <w:color w:val="auto"/>
          <w:sz w:val="32"/>
          <w:szCs w:val="32"/>
          <w:lang w:val="en-US" w:eastAsia="zh-CN"/>
        </w:rPr>
        <w:t>次；典型违法案例和重大事故隐患曝光</w:t>
      </w: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lang w:val="en-US" w:eastAsia="zh-CN"/>
        </w:rPr>
        <w:t>家</w:t>
      </w:r>
      <w:r>
        <w:rPr>
          <w:rFonts w:hint="eastAsia" w:ascii="Times New Roman" w:hAnsi="Times New Roman" w:eastAsia="仿宋_GB2312"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560" w:lineRule="exact"/>
        <w:ind w:firstLine="58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（三）</w:t>
      </w:r>
      <w:r>
        <w:rPr>
          <w:rFonts w:hint="eastAsia" w:ascii="Times New Roman" w:hAnsi="Times New Roman" w:eastAsia="楷体_GB2312" w:cs="Times New Roman"/>
          <w:color w:val="auto"/>
          <w:sz w:val="32"/>
          <w:szCs w:val="32"/>
          <w:lang w:val="en-US" w:eastAsia="zh-CN"/>
        </w:rPr>
        <w:t>坚持法治思维，做好群众工作。</w:t>
      </w:r>
      <w:r>
        <w:rPr>
          <w:rFonts w:hint="eastAsia" w:ascii="Times New Roman" w:hAnsi="Times New Roman" w:eastAsia="仿宋_GB2312" w:cs="Times New Roman"/>
          <w:bCs/>
          <w:color w:val="auto"/>
          <w:sz w:val="32"/>
          <w:szCs w:val="32"/>
          <w:lang w:val="en-US" w:eastAsia="zh-CN"/>
        </w:rPr>
        <w:t>针对住建领域</w:t>
      </w:r>
      <w:r>
        <w:rPr>
          <w:rFonts w:hint="default" w:ascii="Times New Roman" w:hAnsi="Times New Roman" w:eastAsia="仿宋_GB2312" w:cs="Times New Roman"/>
          <w:color w:val="auto"/>
          <w:sz w:val="32"/>
          <w:szCs w:val="32"/>
          <w:lang w:eastAsia="zh-CN"/>
        </w:rPr>
        <w:t>延期交房</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拆</w:t>
      </w:r>
      <w:r>
        <w:rPr>
          <w:rFonts w:hint="default" w:ascii="Times New Roman" w:hAnsi="Times New Roman" w:eastAsia="仿宋_GB2312" w:cs="Times New Roman"/>
          <w:color w:val="auto"/>
          <w:sz w:val="32"/>
          <w:szCs w:val="32"/>
          <w:lang w:val="en" w:eastAsia="zh-CN"/>
        </w:rPr>
        <w:t>还</w:t>
      </w:r>
      <w:r>
        <w:rPr>
          <w:rFonts w:hint="default" w:ascii="Times New Roman" w:hAnsi="Times New Roman" w:eastAsia="仿宋_GB2312" w:cs="Times New Roman"/>
          <w:color w:val="auto"/>
          <w:sz w:val="32"/>
          <w:szCs w:val="32"/>
          <w:lang w:eastAsia="zh-CN"/>
        </w:rPr>
        <w:t>迁遗留</w:t>
      </w:r>
      <w:r>
        <w:rPr>
          <w:rFonts w:hint="default" w:ascii="Times New Roman" w:hAnsi="Times New Roman" w:eastAsia="仿宋_GB2312" w:cs="Times New Roman"/>
          <w:color w:val="auto"/>
          <w:sz w:val="32"/>
          <w:szCs w:val="32"/>
        </w:rPr>
        <w:t>等突出</w:t>
      </w:r>
      <w:r>
        <w:rPr>
          <w:rFonts w:hint="default" w:ascii="Times New Roman" w:hAnsi="Times New Roman" w:eastAsia="仿宋_GB2312" w:cs="Times New Roman"/>
          <w:color w:val="auto"/>
          <w:sz w:val="32"/>
          <w:szCs w:val="32"/>
          <w:lang w:eastAsia="zh-CN"/>
        </w:rPr>
        <w:t>矛盾</w:t>
      </w:r>
      <w:r>
        <w:rPr>
          <w:rFonts w:hint="default" w:ascii="Times New Roman" w:hAnsi="Times New Roman" w:eastAsia="仿宋_GB2312" w:cs="Times New Roman"/>
          <w:color w:val="auto"/>
          <w:sz w:val="32"/>
          <w:szCs w:val="32"/>
        </w:rPr>
        <w:t>问题</w:t>
      </w:r>
      <w:r>
        <w:rPr>
          <w:rFonts w:hint="default" w:ascii="Times New Roman" w:hAnsi="Times New Roman" w:eastAsia="仿宋_GB2312" w:cs="Times New Roman"/>
          <w:color w:val="auto"/>
          <w:sz w:val="32"/>
          <w:szCs w:val="32"/>
          <w:lang w:eastAsia="zh-CN"/>
        </w:rPr>
        <w:t>，组织</w:t>
      </w:r>
      <w:r>
        <w:rPr>
          <w:rFonts w:hint="eastAsia" w:ascii="Times New Roman" w:hAnsi="Times New Roman" w:eastAsia="仿宋_GB2312" w:cs="Times New Roman"/>
          <w:color w:val="auto"/>
          <w:sz w:val="32"/>
          <w:szCs w:val="32"/>
          <w:lang w:eastAsia="zh-CN"/>
        </w:rPr>
        <w:t>开展</w:t>
      </w:r>
      <w:r>
        <w:rPr>
          <w:rFonts w:hint="default" w:ascii="Times New Roman" w:hAnsi="Times New Roman" w:eastAsia="仿宋_GB2312" w:cs="Times New Roman"/>
          <w:color w:val="auto"/>
          <w:sz w:val="32"/>
          <w:szCs w:val="32"/>
        </w:rPr>
        <w:t>大排查、大起底，</w:t>
      </w:r>
      <w:r>
        <w:rPr>
          <w:rFonts w:hint="eastAsia" w:ascii="Times New Roman" w:hAnsi="Times New Roman" w:eastAsia="仿宋_GB2312" w:cs="Times New Roman"/>
          <w:color w:val="auto"/>
          <w:sz w:val="32"/>
          <w:szCs w:val="32"/>
          <w:lang w:eastAsia="zh-CN"/>
        </w:rPr>
        <w:t>做到台账清、底数明。</w:t>
      </w:r>
      <w:r>
        <w:rPr>
          <w:rFonts w:hint="eastAsia" w:ascii="Times New Roman" w:hAnsi="Times New Roman" w:eastAsia="仿宋_GB2312" w:cs="Times New Roman"/>
          <w:bCs/>
          <w:color w:val="auto"/>
          <w:sz w:val="32"/>
          <w:szCs w:val="32"/>
          <w:lang w:val="en-US" w:eastAsia="zh-CN"/>
        </w:rPr>
        <w:t>全</w:t>
      </w:r>
      <w:r>
        <w:rPr>
          <w:rFonts w:hint="default" w:ascii="Times New Roman" w:hAnsi="Times New Roman" w:eastAsia="仿宋_GB2312" w:cs="Times New Roman"/>
          <w:color w:val="auto"/>
          <w:sz w:val="32"/>
          <w:szCs w:val="32"/>
          <w:lang w:eastAsia="zh-CN"/>
        </w:rPr>
        <w:t>年亲自接待来访群众</w:t>
      </w:r>
      <w:r>
        <w:rPr>
          <w:rFonts w:hint="eastAsia" w:eastAsia="仿宋_GB2312" w:cs="Times New Roman"/>
          <w:color w:val="auto"/>
          <w:sz w:val="32"/>
          <w:szCs w:val="32"/>
          <w:lang w:val="en-US" w:eastAsia="zh-CN"/>
        </w:rPr>
        <w:t>12</w:t>
      </w:r>
      <w:r>
        <w:rPr>
          <w:rFonts w:hint="default" w:ascii="Times New Roman" w:hAnsi="Times New Roman" w:eastAsia="仿宋_GB2312" w:cs="Times New Roman"/>
          <w:color w:val="auto"/>
          <w:sz w:val="32"/>
          <w:szCs w:val="32"/>
          <w:lang w:val="en-US" w:eastAsia="zh-CN"/>
        </w:rPr>
        <w:t>批次，</w:t>
      </w:r>
      <w:r>
        <w:rPr>
          <w:rFonts w:hint="eastAsia" w:eastAsia="仿宋_GB2312" w:cs="Times New Roman"/>
          <w:color w:val="auto"/>
          <w:sz w:val="32"/>
          <w:szCs w:val="32"/>
          <w:lang w:val="en-US" w:eastAsia="zh-CN"/>
        </w:rPr>
        <w:t>40</w:t>
      </w:r>
      <w:r>
        <w:rPr>
          <w:rFonts w:hint="default" w:ascii="Times New Roman" w:hAnsi="Times New Roman" w:eastAsia="仿宋_GB2312" w:cs="Times New Roman"/>
          <w:color w:val="auto"/>
          <w:sz w:val="32"/>
          <w:szCs w:val="32"/>
          <w:lang w:val="en-US" w:eastAsia="zh-CN"/>
        </w:rPr>
        <w:t>人次</w:t>
      </w:r>
      <w:r>
        <w:rPr>
          <w:rFonts w:hint="eastAsia" w:ascii="Times New Roman" w:hAnsi="Times New Roman" w:eastAsia="仿宋_GB2312" w:cs="Times New Roman"/>
          <w:color w:val="auto"/>
          <w:sz w:val="32"/>
          <w:szCs w:val="32"/>
          <w:lang w:val="en-US" w:eastAsia="zh-CN"/>
        </w:rPr>
        <w:t>，依法</w:t>
      </w:r>
      <w:r>
        <w:rPr>
          <w:rFonts w:hint="default" w:ascii="Times New Roman" w:hAnsi="Times New Roman" w:eastAsia="仿宋_GB2312" w:cs="Times New Roman"/>
          <w:color w:val="auto"/>
          <w:sz w:val="32"/>
          <w:szCs w:val="32"/>
        </w:rPr>
        <w:t>做好政策解释工作，</w:t>
      </w:r>
      <w:r>
        <w:rPr>
          <w:rFonts w:hint="eastAsia" w:eastAsia="仿宋_GB2312"/>
          <w:w w:val="95"/>
          <w:sz w:val="32"/>
          <w:lang w:eastAsia="zh-CN"/>
        </w:rPr>
        <w:t>确保敏感时期我区住建领域安全稳定</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sz w:val="32"/>
          <w:szCs w:val="32"/>
          <w:lang w:eastAsia="zh-CN"/>
        </w:rPr>
      </w:pPr>
      <w:r>
        <w:rPr>
          <w:rFonts w:hint="eastAsia" w:ascii="黑体" w:hAnsi="黑体" w:eastAsia="黑体"/>
          <w:sz w:val="32"/>
          <w:szCs w:val="32"/>
          <w:lang w:eastAsia="zh-CN"/>
        </w:rPr>
        <w:t>三、加强法律法规宣传，提高法治意识</w:t>
      </w:r>
    </w:p>
    <w:p>
      <w:pPr>
        <w:keepNext w:val="0"/>
        <w:keepLines w:val="0"/>
        <w:pageBreakBefore w:val="0"/>
        <w:widowControl w:val="0"/>
        <w:kinsoku/>
        <w:wordWrap/>
        <w:overflowPunct/>
        <w:topLinePunct w:val="0"/>
        <w:autoSpaceDE/>
        <w:autoSpaceDN/>
        <w:bidi w:val="0"/>
        <w:adjustRightInd/>
        <w:snapToGrid w:val="0"/>
        <w:spacing w:line="560" w:lineRule="exact"/>
        <w:ind w:firstLine="580"/>
        <w:jc w:val="both"/>
        <w:textAlignment w:val="auto"/>
        <w:rPr>
          <w:rFonts w:ascii="仿宋_GB2312" w:eastAsia="仿宋_GB2312"/>
          <w:b w:val="0"/>
          <w:bCs w:val="0"/>
          <w:color w:val="auto"/>
          <w:sz w:val="32"/>
          <w:szCs w:val="32"/>
        </w:rPr>
      </w:pPr>
      <w:r>
        <w:rPr>
          <w:rFonts w:hint="eastAsia" w:ascii="仿宋_GB2312" w:eastAsia="仿宋_GB2312"/>
          <w:b w:val="0"/>
          <w:bCs w:val="0"/>
          <w:color w:val="auto"/>
          <w:sz w:val="32"/>
          <w:szCs w:val="32"/>
          <w:lang w:eastAsia="zh-CN"/>
        </w:rPr>
        <w:t>一是我</w:t>
      </w:r>
      <w:r>
        <w:rPr>
          <w:rFonts w:hint="eastAsia" w:ascii="仿宋_GB2312" w:eastAsia="仿宋_GB2312"/>
          <w:b w:val="0"/>
          <w:bCs w:val="0"/>
          <w:color w:val="auto"/>
          <w:sz w:val="32"/>
          <w:szCs w:val="32"/>
        </w:rPr>
        <w:t>委对执法人员开展了《行政</w:t>
      </w:r>
      <w:r>
        <w:rPr>
          <w:rFonts w:hint="eastAsia" w:ascii="仿宋_GB2312" w:eastAsia="仿宋_GB2312"/>
          <w:b w:val="0"/>
          <w:bCs w:val="0"/>
          <w:color w:val="auto"/>
          <w:sz w:val="32"/>
          <w:szCs w:val="32"/>
          <w:lang w:eastAsia="zh-CN"/>
        </w:rPr>
        <w:t>复议法</w:t>
      </w:r>
      <w:r>
        <w:rPr>
          <w:rFonts w:hint="eastAsia" w:ascii="仿宋_GB2312" w:eastAsia="仿宋_GB2312"/>
          <w:b w:val="0"/>
          <w:bCs w:val="0"/>
          <w:color w:val="auto"/>
          <w:sz w:val="32"/>
          <w:szCs w:val="32"/>
        </w:rPr>
        <w:t>》《行政处罚法》等相关法律知识培训</w:t>
      </w:r>
      <w:r>
        <w:rPr>
          <w:rFonts w:hint="eastAsia" w:ascii="仿宋_GB2312" w:eastAsia="仿宋_GB2312"/>
          <w:b w:val="0"/>
          <w:bCs w:val="0"/>
          <w:color w:val="auto"/>
          <w:sz w:val="32"/>
          <w:szCs w:val="32"/>
          <w:lang w:val="en-US" w:eastAsia="zh-CN"/>
        </w:rPr>
        <w:t>2次</w:t>
      </w:r>
      <w:r>
        <w:rPr>
          <w:rFonts w:hint="eastAsia" w:ascii="仿宋_GB2312" w:eastAsia="仿宋_GB2312"/>
          <w:b w:val="0"/>
          <w:bCs w:val="0"/>
          <w:color w:val="auto"/>
          <w:sz w:val="32"/>
          <w:szCs w:val="32"/>
        </w:rPr>
        <w:t>，</w:t>
      </w:r>
      <w:r>
        <w:rPr>
          <w:rFonts w:hint="eastAsia" w:ascii="Times New Roman" w:hAnsi="Times New Roman" w:eastAsia="仿宋_GB2312" w:cs="Times New Roman"/>
          <w:color w:val="auto"/>
          <w:sz w:val="32"/>
          <w:szCs w:val="32"/>
          <w:lang w:val="en-US" w:eastAsia="zh-CN"/>
        </w:rPr>
        <w:t>进一步</w:t>
      </w:r>
      <w:r>
        <w:rPr>
          <w:rFonts w:hint="default" w:ascii="Times New Roman" w:hAnsi="Times New Roman" w:eastAsia="仿宋_GB2312" w:cs="Times New Roman"/>
          <w:color w:val="auto"/>
          <w:sz w:val="32"/>
          <w:szCs w:val="32"/>
        </w:rPr>
        <w:t>规范行政执法行为</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提升依法履职能力</w:t>
      </w:r>
      <w:r>
        <w:rPr>
          <w:rFonts w:hint="eastAsia" w:ascii="Times New Roman" w:hAnsi="Times New Roman" w:eastAsia="仿宋_GB2312" w:cs="Times New Roman"/>
          <w:color w:val="auto"/>
          <w:sz w:val="32"/>
          <w:szCs w:val="32"/>
          <w:lang w:eastAsia="zh-CN"/>
        </w:rPr>
        <w:t>。</w:t>
      </w:r>
      <w:r>
        <w:rPr>
          <w:rFonts w:hint="eastAsia" w:ascii="仿宋_GB2312" w:eastAsia="仿宋_GB2312"/>
          <w:b w:val="0"/>
          <w:bCs w:val="0"/>
          <w:color w:val="auto"/>
          <w:sz w:val="32"/>
          <w:szCs w:val="32"/>
        </w:rPr>
        <w:t>同时，按照</w:t>
      </w:r>
      <w:r>
        <w:rPr>
          <w:rFonts w:hint="eastAsia" w:ascii="仿宋_GB2312" w:eastAsia="仿宋_GB2312"/>
          <w:b w:val="0"/>
          <w:bCs w:val="0"/>
          <w:color w:val="auto"/>
          <w:sz w:val="32"/>
          <w:szCs w:val="32"/>
          <w:lang w:eastAsia="zh-CN"/>
        </w:rPr>
        <w:t>党委</w:t>
      </w:r>
      <w:r>
        <w:rPr>
          <w:rFonts w:hint="eastAsia" w:ascii="仿宋_GB2312" w:eastAsia="仿宋_GB2312"/>
          <w:b w:val="0"/>
          <w:bCs w:val="0"/>
          <w:color w:val="auto"/>
          <w:sz w:val="32"/>
          <w:szCs w:val="32"/>
        </w:rPr>
        <w:t>安排，组织全委范围内的普法讲座</w:t>
      </w:r>
      <w:r>
        <w:rPr>
          <w:rFonts w:hint="eastAsia" w:ascii="仿宋_GB2312" w:eastAsia="仿宋_GB2312"/>
          <w:b w:val="0"/>
          <w:bCs w:val="0"/>
          <w:color w:val="auto"/>
          <w:sz w:val="32"/>
          <w:szCs w:val="32"/>
          <w:lang w:val="en-US" w:eastAsia="zh-CN"/>
        </w:rPr>
        <w:t>1次</w:t>
      </w:r>
      <w:r>
        <w:rPr>
          <w:rFonts w:hint="eastAsia" w:ascii="仿宋_GB2312" w:eastAsia="仿宋_GB2312"/>
          <w:b w:val="0"/>
          <w:bCs w:val="0"/>
          <w:color w:val="auto"/>
          <w:sz w:val="32"/>
          <w:szCs w:val="32"/>
        </w:rPr>
        <w:t>，使法治观念更加深入人心。</w:t>
      </w:r>
    </w:p>
    <w:p>
      <w:pPr>
        <w:keepNext w:val="0"/>
        <w:keepLines w:val="0"/>
        <w:pageBreakBefore w:val="0"/>
        <w:widowControl w:val="0"/>
        <w:kinsoku/>
        <w:wordWrap/>
        <w:overflowPunct/>
        <w:topLinePunct w:val="0"/>
        <w:autoSpaceDE/>
        <w:autoSpaceDN/>
        <w:bidi w:val="0"/>
        <w:adjustRightInd/>
        <w:spacing w:line="560" w:lineRule="exact"/>
        <w:ind w:firstLine="672" w:firstLineChars="210"/>
        <w:textAlignment w:val="auto"/>
        <w:rPr>
          <w:rFonts w:hint="default" w:ascii="仿宋_GB2312" w:eastAsia="仿宋_GB2312"/>
          <w:b w:val="0"/>
          <w:bCs w:val="0"/>
          <w:color w:val="auto"/>
          <w:sz w:val="32"/>
          <w:szCs w:val="32"/>
          <w:lang w:val="en" w:eastAsia="zh-CN"/>
        </w:rPr>
      </w:pPr>
      <w:r>
        <w:rPr>
          <w:rFonts w:hint="eastAsia" w:ascii="仿宋_GB2312" w:eastAsia="仿宋_GB2312"/>
          <w:b w:val="0"/>
          <w:bCs w:val="0"/>
          <w:color w:val="auto"/>
          <w:sz w:val="32"/>
          <w:szCs w:val="32"/>
          <w:lang w:eastAsia="zh-CN"/>
        </w:rPr>
        <w:t>二是</w:t>
      </w:r>
      <w:r>
        <w:rPr>
          <w:rFonts w:hint="default" w:ascii="仿宋_GB2312" w:eastAsia="仿宋_GB2312"/>
          <w:b w:val="0"/>
          <w:bCs w:val="0"/>
          <w:color w:val="auto"/>
          <w:sz w:val="32"/>
          <w:szCs w:val="32"/>
          <w:lang w:val="en-US" w:eastAsia="zh-CN"/>
        </w:rPr>
        <w:t>落</w:t>
      </w:r>
      <w:r>
        <w:rPr>
          <w:rFonts w:hint="eastAsia" w:ascii="仿宋_GB2312" w:eastAsia="仿宋_GB2312"/>
          <w:b w:val="0"/>
          <w:bCs w:val="0"/>
          <w:color w:val="auto"/>
          <w:sz w:val="32"/>
          <w:szCs w:val="32"/>
          <w:lang w:val="en-US" w:eastAsia="zh-CN"/>
        </w:rPr>
        <w:t>实“谁执法谁普法”责任</w:t>
      </w:r>
      <w:r>
        <w:rPr>
          <w:rFonts w:hint="default" w:ascii="仿宋_GB2312" w:eastAsia="仿宋_GB2312"/>
          <w:b w:val="0"/>
          <w:bCs w:val="0"/>
          <w:color w:val="auto"/>
          <w:sz w:val="32"/>
          <w:szCs w:val="32"/>
          <w:lang w:val="en-US" w:eastAsia="zh-CN"/>
        </w:rPr>
        <w:t>制，</w:t>
      </w:r>
      <w:r>
        <w:rPr>
          <w:rFonts w:hint="eastAsia" w:ascii="仿宋_GB2312" w:eastAsia="仿宋_GB2312"/>
          <w:b w:val="0"/>
          <w:bCs w:val="0"/>
          <w:color w:val="auto"/>
          <w:sz w:val="32"/>
          <w:szCs w:val="32"/>
          <w:lang w:val="en-US" w:eastAsia="zh-CN"/>
        </w:rPr>
        <w:t>全年组织</w:t>
      </w:r>
      <w:r>
        <w:rPr>
          <w:rFonts w:hint="default" w:ascii="仿宋_GB2312" w:eastAsia="仿宋_GB2312"/>
          <w:b w:val="0"/>
          <w:bCs w:val="0"/>
          <w:color w:val="auto"/>
          <w:sz w:val="32"/>
          <w:szCs w:val="32"/>
          <w:lang w:val="en-US" w:eastAsia="zh-CN"/>
        </w:rPr>
        <w:t>对建筑企业、房地产企业、中介机构、物业企业开展法律法规及业务培训</w:t>
      </w:r>
      <w:r>
        <w:rPr>
          <w:rFonts w:hint="eastAsia" w:ascii="仿宋_GB2312" w:eastAsia="仿宋_GB2312"/>
          <w:b w:val="0"/>
          <w:bCs w:val="0"/>
          <w:color w:val="auto"/>
          <w:sz w:val="32"/>
          <w:szCs w:val="32"/>
          <w:lang w:val="en-US" w:eastAsia="zh-CN"/>
        </w:rPr>
        <w:t>4</w:t>
      </w:r>
      <w:r>
        <w:rPr>
          <w:rFonts w:hint="default" w:ascii="仿宋_GB2312" w:eastAsia="仿宋_GB2312"/>
          <w:b w:val="0"/>
          <w:bCs w:val="0"/>
          <w:color w:val="auto"/>
          <w:sz w:val="32"/>
          <w:szCs w:val="32"/>
          <w:lang w:val="en-US" w:eastAsia="zh-CN"/>
        </w:rPr>
        <w:t>次</w:t>
      </w:r>
      <w:r>
        <w:rPr>
          <w:rFonts w:hint="eastAsia" w:ascii="仿宋_GB2312" w:eastAsia="仿宋_GB2312"/>
          <w:b w:val="0"/>
          <w:bCs w:val="0"/>
          <w:color w:val="auto"/>
          <w:sz w:val="32"/>
          <w:szCs w:val="32"/>
          <w:lang w:val="en-US" w:eastAsia="zh-CN"/>
        </w:rPr>
        <w:t>，</w:t>
      </w:r>
      <w:r>
        <w:rPr>
          <w:rFonts w:hint="eastAsia" w:ascii="仿宋_GB2312" w:eastAsia="仿宋_GB2312"/>
          <w:b w:val="0"/>
          <w:bCs w:val="0"/>
          <w:color w:val="auto"/>
          <w:sz w:val="32"/>
          <w:szCs w:val="32"/>
          <w:lang w:eastAsia="zh-CN"/>
        </w:rPr>
        <w:t>参与人数达到</w:t>
      </w:r>
      <w:r>
        <w:rPr>
          <w:rFonts w:hint="eastAsia" w:ascii="仿宋_GB2312" w:eastAsia="仿宋_GB2312"/>
          <w:b w:val="0"/>
          <w:bCs w:val="0"/>
          <w:color w:val="auto"/>
          <w:sz w:val="32"/>
          <w:szCs w:val="32"/>
          <w:lang w:val="en-US" w:eastAsia="zh-CN"/>
        </w:rPr>
        <w:t>500</w:t>
      </w:r>
      <w:r>
        <w:rPr>
          <w:rFonts w:hint="eastAsia" w:ascii="仿宋_GB2312" w:eastAsia="仿宋_GB2312"/>
          <w:b w:val="0"/>
          <w:bCs w:val="0"/>
          <w:color w:val="auto"/>
          <w:sz w:val="32"/>
          <w:szCs w:val="32"/>
          <w:lang w:eastAsia="zh-CN"/>
        </w:rPr>
        <w:t>人，</w:t>
      </w:r>
      <w:r>
        <w:rPr>
          <w:rFonts w:hint="eastAsia" w:ascii="仿宋_GB2312" w:eastAsia="仿宋_GB2312"/>
          <w:b w:val="0"/>
          <w:bCs w:val="0"/>
          <w:color w:val="auto"/>
          <w:sz w:val="32"/>
          <w:szCs w:val="32"/>
          <w:lang w:val="en-US" w:eastAsia="zh-CN"/>
        </w:rPr>
        <w:t>企业法治意识不断增强</w:t>
      </w:r>
      <w:r>
        <w:rPr>
          <w:rFonts w:hint="default" w:ascii="仿宋_GB2312" w:eastAsia="仿宋_GB2312"/>
          <w:b w:val="0"/>
          <w:bCs w:val="0"/>
          <w:color w:val="auto"/>
          <w:sz w:val="32"/>
          <w:szCs w:val="32"/>
          <w:lang w:val="en" w:eastAsia="zh-CN"/>
        </w:rPr>
        <w:t>。</w:t>
      </w:r>
    </w:p>
    <w:p>
      <w:pPr>
        <w:keepNext w:val="0"/>
        <w:keepLines w:val="0"/>
        <w:pageBreakBefore w:val="0"/>
        <w:widowControl w:val="0"/>
        <w:kinsoku/>
        <w:wordWrap/>
        <w:overflowPunct/>
        <w:topLinePunct w:val="0"/>
        <w:autoSpaceDE/>
        <w:autoSpaceDN/>
        <w:bidi w:val="0"/>
        <w:adjustRightInd/>
        <w:spacing w:line="560" w:lineRule="exact"/>
        <w:ind w:firstLine="672" w:firstLineChars="210"/>
        <w:textAlignment w:val="auto"/>
        <w:rPr>
          <w:rFonts w:ascii="仿宋_GB2312" w:eastAsia="仿宋_GB2312"/>
          <w:sz w:val="32"/>
          <w:szCs w:val="32"/>
        </w:rPr>
      </w:pPr>
      <w:r>
        <w:rPr>
          <w:rFonts w:hint="eastAsia" w:ascii="仿宋_GB2312" w:eastAsia="仿宋_GB2312"/>
          <w:sz w:val="32"/>
          <w:szCs w:val="32"/>
          <w:lang w:eastAsia="zh-CN"/>
        </w:rPr>
        <w:t>三是</w:t>
      </w:r>
      <w:r>
        <w:rPr>
          <w:rFonts w:hint="eastAsia" w:ascii="仿宋_GB2312" w:eastAsia="仿宋_GB2312"/>
          <w:sz w:val="32"/>
          <w:szCs w:val="32"/>
        </w:rPr>
        <w:t>不断加强行政执法监督工作，</w:t>
      </w:r>
      <w:r>
        <w:rPr>
          <w:rFonts w:hint="eastAsia" w:ascii="仿宋_GB2312" w:eastAsia="仿宋_GB2312"/>
          <w:sz w:val="32"/>
          <w:szCs w:val="32"/>
          <w:lang w:eastAsia="zh-CN"/>
        </w:rPr>
        <w:t>我委</w:t>
      </w:r>
      <w:r>
        <w:rPr>
          <w:rFonts w:hint="eastAsia" w:ascii="仿宋_GB2312" w:eastAsia="仿宋_GB2312"/>
          <w:sz w:val="32"/>
          <w:szCs w:val="32"/>
        </w:rPr>
        <w:t>组织法治及行政执法部门全体</w:t>
      </w:r>
      <w:r>
        <w:rPr>
          <w:rFonts w:hint="eastAsia" w:ascii="仿宋_GB2312" w:eastAsia="仿宋_GB2312"/>
          <w:sz w:val="32"/>
          <w:szCs w:val="32"/>
          <w:lang w:eastAsia="zh-CN"/>
        </w:rPr>
        <w:t>干部职工</w:t>
      </w:r>
      <w:r>
        <w:rPr>
          <w:rFonts w:hint="eastAsia" w:ascii="仿宋_GB2312" w:eastAsia="仿宋_GB2312"/>
          <w:sz w:val="32"/>
          <w:szCs w:val="32"/>
        </w:rPr>
        <w:t>认真学习了《天津市行政执法监督规定》（津政令第9号）。同时，结合</w:t>
      </w:r>
      <w:r>
        <w:rPr>
          <w:rFonts w:hint="eastAsia" w:ascii="仿宋_GB2312" w:eastAsia="仿宋_GB2312"/>
          <w:sz w:val="32"/>
          <w:szCs w:val="32"/>
          <w:lang w:eastAsia="zh-CN"/>
        </w:rPr>
        <w:t>天津市</w:t>
      </w:r>
      <w:r>
        <w:rPr>
          <w:rFonts w:hint="eastAsia" w:ascii="仿宋_GB2312" w:eastAsia="仿宋_GB2312"/>
          <w:sz w:val="32"/>
          <w:szCs w:val="32"/>
        </w:rPr>
        <w:t>行政执法监督平台</w:t>
      </w:r>
      <w:r>
        <w:rPr>
          <w:rFonts w:hint="eastAsia" w:ascii="仿宋_GB2312" w:eastAsia="仿宋_GB2312"/>
          <w:sz w:val="32"/>
          <w:szCs w:val="32"/>
          <w:lang w:eastAsia="zh-CN"/>
        </w:rPr>
        <w:t>新开通的“预警监督”功能</w:t>
      </w:r>
      <w:r>
        <w:rPr>
          <w:rFonts w:hint="eastAsia" w:ascii="仿宋_GB2312" w:eastAsia="仿宋_GB2312"/>
          <w:sz w:val="32"/>
          <w:szCs w:val="32"/>
        </w:rPr>
        <w:t>，将行政执法监督工作落到实处。</w:t>
      </w:r>
    </w:p>
    <w:p>
      <w:pPr>
        <w:keepNext w:val="0"/>
        <w:keepLines w:val="0"/>
        <w:pageBreakBefore w:val="0"/>
        <w:widowControl w:val="0"/>
        <w:kinsoku/>
        <w:wordWrap/>
        <w:overflowPunct/>
        <w:topLinePunct w:val="0"/>
        <w:autoSpaceDE/>
        <w:autoSpaceDN/>
        <w:bidi w:val="0"/>
        <w:adjustRightInd/>
        <w:snapToGrid w:val="0"/>
        <w:spacing w:line="560" w:lineRule="exact"/>
        <w:ind w:firstLine="580"/>
        <w:textAlignment w:val="auto"/>
        <w:rPr>
          <w:rFonts w:hint="default" w:ascii="Times New Roman" w:hAnsi="Times New Roman" w:eastAsia="黑体" w:cs="Times New Roman"/>
          <w:color w:val="000000" w:themeColor="text1"/>
          <w:sz w:val="32"/>
          <w:szCs w:val="32"/>
          <w:lang w:eastAsia="zh-CN"/>
          <w14:textFill>
            <w14:solidFill>
              <w14:schemeClr w14:val="tx1"/>
            </w14:solidFill>
          </w14:textFill>
        </w:rPr>
      </w:pPr>
      <w:r>
        <w:rPr>
          <w:rFonts w:hint="eastAsia" w:eastAsia="黑体" w:cs="Times New Roman"/>
          <w:color w:val="000000" w:themeColor="text1"/>
          <w:sz w:val="32"/>
          <w:szCs w:val="32"/>
          <w:lang w:eastAsia="zh-CN"/>
          <w14:textFill>
            <w14:solidFill>
              <w14:schemeClr w14:val="tx1"/>
            </w14:solidFill>
          </w14:textFill>
        </w:rPr>
        <w:t>四</w:t>
      </w:r>
      <w:r>
        <w:rPr>
          <w:rFonts w:hint="default" w:ascii="Times New Roman" w:hAnsi="Times New Roman" w:eastAsia="黑体" w:cs="Times New Roman"/>
          <w:color w:val="000000" w:themeColor="text1"/>
          <w:sz w:val="32"/>
          <w:szCs w:val="32"/>
          <w14:textFill>
            <w14:solidFill>
              <w14:schemeClr w14:val="tx1"/>
            </w14:solidFill>
          </w14:textFill>
        </w:rPr>
        <w:t>、存在</w:t>
      </w:r>
      <w:r>
        <w:rPr>
          <w:rFonts w:hint="default" w:ascii="Times New Roman" w:hAnsi="Times New Roman" w:eastAsia="黑体" w:cs="Times New Roman"/>
          <w:color w:val="000000" w:themeColor="text1"/>
          <w:sz w:val="32"/>
          <w:szCs w:val="32"/>
          <w:lang w:eastAsia="zh-CN"/>
          <w14:textFill>
            <w14:solidFill>
              <w14:schemeClr w14:val="tx1"/>
            </w14:solidFill>
          </w14:textFill>
        </w:rPr>
        <w:t>的</w:t>
      </w:r>
      <w:r>
        <w:rPr>
          <w:rFonts w:hint="default" w:ascii="Times New Roman" w:hAnsi="Times New Roman" w:eastAsia="黑体" w:cs="Times New Roman"/>
          <w:color w:val="000000" w:themeColor="text1"/>
          <w:sz w:val="32"/>
          <w:szCs w:val="32"/>
          <w14:textFill>
            <w14:solidFill>
              <w14:schemeClr w14:val="tx1"/>
            </w14:solidFill>
          </w14:textFill>
        </w:rPr>
        <w:t>问题</w:t>
      </w:r>
      <w:r>
        <w:rPr>
          <w:rFonts w:hint="default" w:ascii="Times New Roman" w:hAnsi="Times New Roman" w:eastAsia="黑体" w:cs="Times New Roman"/>
          <w:color w:val="000000" w:themeColor="text1"/>
          <w:sz w:val="32"/>
          <w:szCs w:val="32"/>
          <w:lang w:eastAsia="zh-CN"/>
          <w14:textFill>
            <w14:solidFill>
              <w14:schemeClr w14:val="tx1"/>
            </w14:solidFill>
          </w14:textFill>
        </w:rPr>
        <w:t>和不足</w:t>
      </w:r>
    </w:p>
    <w:p>
      <w:pPr>
        <w:keepNext w:val="0"/>
        <w:keepLines w:val="0"/>
        <w:pageBreakBefore w:val="0"/>
        <w:widowControl w:val="0"/>
        <w:kinsoku/>
        <w:wordWrap/>
        <w:overflowPunct/>
        <w:topLinePunct w:val="0"/>
        <w:autoSpaceDE/>
        <w:autoSpaceDN/>
        <w:bidi w:val="0"/>
        <w:adjustRightInd/>
        <w:spacing w:line="560" w:lineRule="exact"/>
        <w:ind w:firstLine="600"/>
        <w:textAlignment w:val="auto"/>
        <w:rPr>
          <w:rFonts w:hint="default" w:ascii="Times New Roman" w:hAnsi="Times New Roman" w:eastAsia="仿宋_GB2312" w:cs="Times New Roman"/>
          <w:color w:val="auto"/>
          <w:sz w:val="32"/>
          <w:szCs w:val="32"/>
          <w:lang w:eastAsia="zh-CN"/>
        </w:rPr>
      </w:pPr>
      <w:r>
        <w:rPr>
          <w:rFonts w:hint="default"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lang w:eastAsia="zh-CN"/>
        </w:rPr>
        <w:t>部分工作人员法治意识不足，存在凭经验办事现象，运用法治思维解决复杂问题的能力有待提升</w:t>
      </w:r>
      <w:r>
        <w:rPr>
          <w:rFonts w:hint="eastAsia" w:ascii="仿宋_GB2312" w:hAnsi="仿宋_GB2312" w:eastAsia="仿宋_GB2312" w:cs="仿宋_GB2312"/>
          <w:b w:val="0"/>
          <w:bCs w:val="0"/>
          <w:color w:val="auto"/>
          <w:kern w:val="0"/>
          <w:sz w:val="32"/>
          <w:szCs w:val="32"/>
          <w:lang w:eastAsia="zh-CN"/>
        </w:rPr>
        <w:t>。</w:t>
      </w:r>
    </w:p>
    <w:p>
      <w:pPr>
        <w:keepNext w:val="0"/>
        <w:keepLines w:val="0"/>
        <w:pageBreakBefore w:val="0"/>
        <w:widowControl w:val="0"/>
        <w:kinsoku/>
        <w:wordWrap/>
        <w:overflowPunct/>
        <w:topLinePunct w:val="0"/>
        <w:autoSpaceDE/>
        <w:autoSpaceDN/>
        <w:bidi w:val="0"/>
        <w:adjustRightIn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仿宋_GB2312" w:hAnsi="仿宋_GB2312" w:eastAsia="仿宋_GB2312" w:cs="仿宋_GB2312"/>
          <w:color w:val="auto"/>
          <w:sz w:val="32"/>
          <w:szCs w:val="32"/>
          <w:lang w:val="en-US" w:eastAsia="zh-CN"/>
        </w:rPr>
        <w:t>（二）</w:t>
      </w:r>
      <w:r>
        <w:rPr>
          <w:rFonts w:hint="eastAsia" w:eastAsia="仿宋_GB2312" w:cs="Times New Roman"/>
          <w:color w:val="auto"/>
          <w:sz w:val="32"/>
          <w:szCs w:val="32"/>
          <w:lang w:val="en-US" w:eastAsia="zh-CN"/>
        </w:rPr>
        <w:t>行政执法队伍专业能力不均衡，对新规政策理解不够精准，执法程序严谨性需加强</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rPr>
      </w:pPr>
      <w:r>
        <w:rPr>
          <w:rFonts w:hint="default" w:ascii="仿宋_GB2312" w:hAnsi="仿宋_GB2312" w:eastAsia="仿宋_GB2312" w:cs="仿宋_GB2312"/>
          <w:color w:val="auto"/>
          <w:sz w:val="32"/>
          <w:szCs w:val="32"/>
          <w:lang w:val="en-US" w:eastAsia="zh-CN"/>
        </w:rPr>
        <w:t>（三）</w:t>
      </w:r>
      <w:r>
        <w:rPr>
          <w:rFonts w:hint="eastAsia" w:eastAsia="仿宋_GB2312" w:cs="Times New Roman"/>
          <w:color w:val="auto"/>
          <w:sz w:val="32"/>
          <w:szCs w:val="32"/>
          <w:lang w:val="en-US" w:eastAsia="zh-CN"/>
        </w:rPr>
        <w:t>法治宣传形式偏传统，针对性、创新性不足，对特殊群体和新兴领域的普法覆盖不够。</w:t>
      </w:r>
      <w:r>
        <w:rPr>
          <w:rFonts w:hint="default" w:eastAsia="仿宋_GB2312" w:cs="Times New Roman"/>
          <w:color w:val="auto"/>
          <w:sz w:val="32"/>
          <w:szCs w:val="32"/>
          <w:lang w:val="en-US" w:eastAsia="zh-CN"/>
        </w:rPr>
        <w:t xml:space="preserve">  </w:t>
      </w:r>
      <w:r>
        <w:rPr>
          <w:rFonts w:hint="default" w:ascii="Times New Roman" w:hAnsi="Times New Roman" w:eastAsia="黑体" w:cs="Times New Roman"/>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val="0"/>
        <w:spacing w:line="560" w:lineRule="exact"/>
        <w:ind w:firstLine="580"/>
        <w:textAlignment w:val="auto"/>
        <w:rPr>
          <w:rFonts w:hint="default" w:ascii="Times New Roman" w:hAnsi="Times New Roman" w:eastAsia="黑体" w:cs="Times New Roman"/>
          <w:color w:val="auto"/>
          <w:sz w:val="32"/>
          <w:szCs w:val="32"/>
          <w:lang w:eastAsia="zh-CN"/>
        </w:rPr>
      </w:pPr>
      <w:r>
        <w:rPr>
          <w:rFonts w:hint="default" w:ascii="Times New Roman" w:hAnsi="Times New Roman" w:eastAsia="黑体" w:cs="Times New Roman"/>
          <w:color w:val="FF0000"/>
          <w:sz w:val="32"/>
          <w:szCs w:val="32"/>
        </w:rPr>
        <w:t xml:space="preserve"> </w:t>
      </w:r>
      <w:r>
        <w:rPr>
          <w:rFonts w:hint="eastAsia" w:eastAsia="黑体" w:cs="Times New Roman"/>
          <w:color w:val="auto"/>
          <w:sz w:val="32"/>
          <w:szCs w:val="32"/>
          <w:lang w:eastAsia="zh-CN"/>
        </w:rPr>
        <w:t>五</w:t>
      </w:r>
      <w:r>
        <w:rPr>
          <w:rFonts w:hint="default" w:ascii="Times New Roman" w:hAnsi="Times New Roman" w:eastAsia="黑体" w:cs="Times New Roman"/>
          <w:color w:val="auto"/>
          <w:sz w:val="32"/>
          <w:szCs w:val="32"/>
        </w:rPr>
        <w:t>、</w:t>
      </w:r>
      <w:r>
        <w:rPr>
          <w:rFonts w:hint="default" w:ascii="Times New Roman" w:hAnsi="Times New Roman" w:eastAsia="黑体" w:cs="Times New Roman"/>
          <w:color w:val="auto"/>
          <w:sz w:val="32"/>
          <w:szCs w:val="32"/>
          <w:lang w:eastAsia="zh-CN"/>
        </w:rPr>
        <w:t>下一步工作措施</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eastAsia" w:ascii="仿宋_GB2312" w:hAnsi="仿宋_GB2312" w:eastAsia="仿宋_GB2312" w:cs="仿宋_GB2312"/>
          <w:color w:val="auto"/>
          <w:sz w:val="32"/>
          <w:szCs w:val="32"/>
          <w:lang w:eastAsia="zh-CN"/>
        </w:rPr>
        <w:t>（一）</w:t>
      </w:r>
      <w:r>
        <w:rPr>
          <w:rFonts w:hint="eastAsia" w:eastAsia="仿宋_GB2312" w:cs="Times New Roman"/>
          <w:color w:val="auto"/>
          <w:sz w:val="32"/>
          <w:szCs w:val="32"/>
          <w:lang w:eastAsia="zh-CN"/>
        </w:rPr>
        <w:t>深化系统化法治培训，通过专题讲座、知识竞赛等形式强化法治素养和执法能力</w:t>
      </w:r>
      <w:r>
        <w:rPr>
          <w:rFonts w:hint="default" w:ascii="Times New Roman" w:hAnsi="Times New Roman" w:eastAsia="仿宋_GB2312" w:cs="Times New Roman"/>
          <w:b w:val="0"/>
          <w:bCs w:val="0"/>
          <w:color w:val="auto"/>
          <w:sz w:val="32"/>
          <w:szCs w:val="32"/>
          <w:lang w:eastAsia="zh-CN"/>
        </w:rPr>
        <w:t>。</w:t>
      </w:r>
    </w:p>
    <w:p>
      <w:pPr>
        <w:keepNext w:val="0"/>
        <w:keepLines w:val="0"/>
        <w:pageBreakBefore w:val="0"/>
        <w:widowControl w:val="0"/>
        <w:kinsoku/>
        <w:wordWrap/>
        <w:overflowPunct/>
        <w:topLinePunct w:val="0"/>
        <w:autoSpaceDE/>
        <w:autoSpaceDN/>
        <w:bidi w:val="0"/>
        <w:adjustRightInd/>
        <w:spacing w:line="560" w:lineRule="exact"/>
        <w:ind w:firstLine="643"/>
        <w:textAlignment w:val="auto"/>
        <w:rPr>
          <w:rFonts w:hint="default" w:ascii="Times New Roman" w:hAnsi="Times New Roman" w:eastAsia="仿宋_GB2312" w:cs="Times New Roman"/>
          <w:color w:val="auto"/>
          <w:sz w:val="32"/>
          <w:szCs w:val="32"/>
          <w:lang w:eastAsia="zh-CN"/>
        </w:rPr>
      </w:pPr>
      <w:r>
        <w:rPr>
          <w:rFonts w:hint="default" w:ascii="仿宋_GB2312" w:hAnsi="仿宋_GB2312" w:eastAsia="仿宋_GB2312" w:cs="仿宋_GB2312"/>
          <w:color w:val="auto"/>
          <w:sz w:val="32"/>
          <w:szCs w:val="32"/>
          <w:lang w:eastAsia="zh-CN"/>
        </w:rPr>
        <w:t>（二）</w:t>
      </w:r>
      <w:r>
        <w:rPr>
          <w:rFonts w:hint="eastAsia" w:eastAsia="仿宋_GB2312" w:cs="Times New Roman"/>
          <w:color w:val="auto"/>
          <w:sz w:val="32"/>
          <w:szCs w:val="32"/>
          <w:lang w:eastAsia="zh-CN"/>
        </w:rPr>
        <w:t>完善行政执法监督与考核机制，推进监管事项全覆盖，规范执法全流程</w:t>
      </w:r>
      <w:r>
        <w:rPr>
          <w:rFonts w:hint="default" w:ascii="Times New Roman" w:hAnsi="Times New Roman" w:eastAsia="仿宋_GB2312"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pacing w:line="560" w:lineRule="exact"/>
        <w:ind w:firstLine="643"/>
        <w:textAlignment w:val="auto"/>
        <w:rPr>
          <w:rFonts w:hint="eastAsia" w:eastAsia="仿宋_GB2312" w:cs="Times New Roman"/>
          <w:color w:val="auto"/>
          <w:sz w:val="32"/>
          <w:szCs w:val="32"/>
          <w:lang w:val="en-US" w:eastAsia="zh-CN"/>
        </w:rPr>
      </w:pPr>
      <w:r>
        <w:rPr>
          <w:rFonts w:hint="default" w:ascii="仿宋_GB2312" w:hAnsi="仿宋_GB2312" w:eastAsia="仿宋_GB2312" w:cs="仿宋_GB2312"/>
          <w:color w:val="auto"/>
          <w:sz w:val="32"/>
          <w:szCs w:val="32"/>
          <w:lang w:val="en-US" w:eastAsia="zh-CN"/>
        </w:rPr>
        <w:t>（三）</w:t>
      </w:r>
      <w:r>
        <w:rPr>
          <w:rFonts w:hint="eastAsia" w:eastAsia="仿宋_GB2312" w:cs="Times New Roman"/>
          <w:color w:val="auto"/>
          <w:sz w:val="32"/>
          <w:szCs w:val="32"/>
          <w:lang w:val="en-US" w:eastAsia="zh-CN"/>
        </w:rPr>
        <w:t>创新普法模式，借助新媒体拓宽宣传渠道，提升普法实效；持续优化政务服务与营商环境，强化权力运行监督制约</w:t>
      </w:r>
      <w:r>
        <w:rPr>
          <w:rFonts w:hint="default" w:eastAsia="仿宋_GB2312" w:cs="Times New Roman"/>
          <w:color w:val="auto"/>
          <w:sz w:val="32"/>
          <w:szCs w:val="32"/>
          <w:lang w:eastAsia="zh-CN"/>
        </w:rPr>
        <w:t>。</w:t>
      </w:r>
      <w:r>
        <w:rPr>
          <w:rFonts w:hint="default" w:eastAsia="仿宋_GB2312" w:cs="Times New Roman"/>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pacing w:line="560" w:lineRule="exact"/>
        <w:ind w:firstLine="640" w:firstLineChars="200"/>
        <w:jc w:val="right"/>
        <w:textAlignment w:val="auto"/>
        <w:rPr>
          <w:rFonts w:hint="eastAsia" w:ascii="仿宋_GB2312" w:hAnsi="Calibri" w:eastAsia="仿宋_GB2312"/>
          <w:sz w:val="32"/>
          <w:szCs w:val="32"/>
        </w:rPr>
      </w:pPr>
    </w:p>
    <w:p>
      <w:pPr>
        <w:keepNext w:val="0"/>
        <w:keepLines w:val="0"/>
        <w:pageBreakBefore w:val="0"/>
        <w:widowControl w:val="0"/>
        <w:kinsoku/>
        <w:wordWrap/>
        <w:overflowPunct/>
        <w:topLinePunct w:val="0"/>
        <w:autoSpaceDE/>
        <w:autoSpaceDN/>
        <w:bidi w:val="0"/>
        <w:adjustRightInd/>
        <w:spacing w:line="560" w:lineRule="exact"/>
        <w:ind w:firstLine="640" w:firstLineChars="200"/>
        <w:jc w:val="right"/>
        <w:textAlignment w:val="auto"/>
        <w:rPr>
          <w:rFonts w:hint="eastAsia" w:ascii="仿宋_GB2312" w:hAnsi="Calibri" w:eastAsia="仿宋_GB2312"/>
          <w:sz w:val="32"/>
          <w:szCs w:val="32"/>
        </w:rPr>
      </w:pPr>
    </w:p>
    <w:p>
      <w:pPr>
        <w:keepNext w:val="0"/>
        <w:keepLines w:val="0"/>
        <w:pageBreakBefore w:val="0"/>
        <w:widowControl w:val="0"/>
        <w:kinsoku/>
        <w:wordWrap/>
        <w:overflowPunct/>
        <w:topLinePunct w:val="0"/>
        <w:autoSpaceDE/>
        <w:autoSpaceDN/>
        <w:bidi w:val="0"/>
        <w:adjustRightInd/>
        <w:spacing w:line="560" w:lineRule="exact"/>
        <w:ind w:firstLine="640" w:firstLineChars="200"/>
        <w:jc w:val="right"/>
        <w:textAlignment w:val="auto"/>
        <w:rPr>
          <w:rFonts w:hint="eastAsia" w:ascii="仿宋_GB2312" w:hAnsi="Calibri" w:eastAsia="仿宋_GB2312"/>
          <w:sz w:val="32"/>
          <w:szCs w:val="32"/>
        </w:rPr>
      </w:pPr>
    </w:p>
    <w:p>
      <w:pPr>
        <w:pStyle w:val="2"/>
        <w:rPr>
          <w:rFonts w:hint="eastAsia" w:ascii="仿宋_GB2312" w:hAnsi="Calibri" w:eastAsia="仿宋_GB2312"/>
          <w:sz w:val="32"/>
          <w:szCs w:val="32"/>
        </w:rPr>
      </w:pPr>
    </w:p>
    <w:p>
      <w:pPr>
        <w:pStyle w:val="3"/>
        <w:rPr>
          <w:rFonts w:hint="eastAsia" w:ascii="仿宋_GB2312" w:hAnsi="Calibri" w:eastAsia="仿宋_GB2312"/>
          <w:sz w:val="32"/>
          <w:szCs w:val="32"/>
        </w:rPr>
      </w:pPr>
    </w:p>
    <w:p>
      <w:pPr>
        <w:rPr>
          <w:rFonts w:hint="eastAsia"/>
        </w:rPr>
      </w:pPr>
    </w:p>
    <w:p>
      <w:pPr>
        <w:keepNext w:val="0"/>
        <w:keepLines w:val="0"/>
        <w:pageBreakBefore w:val="0"/>
        <w:widowControl w:val="0"/>
        <w:kinsoku/>
        <w:wordWrap/>
        <w:overflowPunct/>
        <w:topLinePunct w:val="0"/>
        <w:autoSpaceDE/>
        <w:autoSpaceDN/>
        <w:bidi w:val="0"/>
        <w:adjustRightInd/>
        <w:spacing w:line="560" w:lineRule="exact"/>
        <w:ind w:firstLine="640" w:firstLineChars="200"/>
        <w:jc w:val="right"/>
        <w:textAlignment w:val="auto"/>
        <w:rPr>
          <w:rFonts w:ascii="仿宋_GB2312" w:hAnsi="Calibri" w:eastAsia="仿宋_GB2312"/>
          <w:sz w:val="32"/>
          <w:szCs w:val="32"/>
        </w:rPr>
      </w:pPr>
      <w:r>
        <w:rPr>
          <w:rFonts w:hint="eastAsia" w:ascii="仿宋_GB2312" w:hAnsi="Calibri" w:eastAsia="仿宋_GB2312"/>
          <w:sz w:val="32"/>
          <w:szCs w:val="32"/>
        </w:rPr>
        <w:t>天津市东丽区住房和建设委员会</w:t>
      </w:r>
    </w:p>
    <w:p>
      <w:pPr>
        <w:keepNext w:val="0"/>
        <w:keepLines w:val="0"/>
        <w:pageBreakBefore w:val="0"/>
        <w:widowControl w:val="0"/>
        <w:kinsoku/>
        <w:wordWrap/>
        <w:overflowPunct/>
        <w:topLinePunct w:val="0"/>
        <w:autoSpaceDE/>
        <w:autoSpaceDN/>
        <w:bidi w:val="0"/>
        <w:adjustRightInd/>
        <w:spacing w:line="560" w:lineRule="exact"/>
        <w:ind w:right="640" w:firstLine="640" w:firstLineChars="200"/>
        <w:jc w:val="right"/>
        <w:textAlignment w:val="auto"/>
        <w:rPr>
          <w:rFonts w:hint="default" w:ascii="仿宋_GB2312" w:hAnsi="Calibri" w:eastAsia="仿宋_GB2312"/>
          <w:sz w:val="32"/>
          <w:szCs w:val="32"/>
          <w:lang w:val="en-US" w:eastAsia="zh-CN"/>
        </w:rPr>
      </w:pPr>
      <w:r>
        <w:rPr>
          <w:rFonts w:hint="eastAsia" w:ascii="仿宋_GB2312" w:hAnsi="Calibri" w:eastAsia="仿宋_GB2312"/>
          <w:sz w:val="32"/>
          <w:szCs w:val="32"/>
        </w:rPr>
        <w:t xml:space="preserve">                       </w:t>
      </w:r>
      <w:r>
        <w:rPr>
          <w:rFonts w:hint="default" w:ascii="Times New Roman" w:hAnsi="Times New Roman" w:eastAsia="仿宋_GB2312" w:cs="Times New Roman"/>
          <w:sz w:val="32"/>
          <w:szCs w:val="32"/>
          <w:lang w:val="en-US" w:eastAsia="zh-CN"/>
        </w:rPr>
        <w:t xml:space="preserve"> </w:t>
      </w:r>
      <w:r>
        <w:rPr>
          <w:rFonts w:hint="eastAsia" w:eastAsia="仿宋_GB2312" w:cs="Times New Roman"/>
          <w:sz w:val="32"/>
          <w:szCs w:val="32"/>
          <w:lang w:val="en-US" w:eastAsia="zh-CN"/>
        </w:rPr>
        <w:t xml:space="preserve">       </w:t>
      </w:r>
      <w:r>
        <w:rPr>
          <w:rFonts w:hint="default" w:ascii="Times New Roman" w:hAnsi="Times New Roman" w:eastAsia="仿宋_GB2312" w:cs="Times New Roman"/>
          <w:sz w:val="32"/>
          <w:szCs w:val="32"/>
        </w:rPr>
        <w:t>202</w:t>
      </w:r>
      <w:r>
        <w:rPr>
          <w:rFonts w:hint="eastAsia" w:eastAsia="仿宋_GB2312" w:cs="Times New Roman"/>
          <w:sz w:val="32"/>
          <w:szCs w:val="32"/>
          <w:lang w:val="en-US" w:eastAsia="zh-CN"/>
        </w:rPr>
        <w:t>5</w:t>
      </w:r>
      <w:r>
        <w:rPr>
          <w:rFonts w:hint="eastAsia" w:ascii="仿宋_GB2312" w:hAnsi="Calibri" w:eastAsia="仿宋_GB2312"/>
          <w:sz w:val="32"/>
          <w:szCs w:val="32"/>
        </w:rPr>
        <w:t>年</w:t>
      </w:r>
      <w:r>
        <w:rPr>
          <w:rFonts w:hint="eastAsia" w:ascii="Times New Roman" w:hAnsi="Times New Roman" w:eastAsia="仿宋_GB2312" w:cs="Times New Roman"/>
          <w:sz w:val="32"/>
          <w:szCs w:val="32"/>
          <w:lang w:val="en-US" w:eastAsia="zh-CN"/>
        </w:rPr>
        <w:t>12</w:t>
      </w:r>
      <w:r>
        <w:rPr>
          <w:rFonts w:hint="eastAsia" w:ascii="仿宋_GB2312" w:hAnsi="Calibri" w:eastAsia="仿宋_GB2312"/>
          <w:sz w:val="32"/>
          <w:szCs w:val="32"/>
        </w:rPr>
        <w:t>月</w:t>
      </w:r>
      <w:r>
        <w:rPr>
          <w:rFonts w:hint="default" w:ascii="Times New Roman" w:hAnsi="Times New Roman" w:eastAsia="仿宋_GB2312" w:cs="Times New Roman"/>
          <w:sz w:val="32"/>
          <w:szCs w:val="32"/>
          <w:lang w:val="en" w:eastAsia="zh-CN"/>
        </w:rPr>
        <w:t>31</w:t>
      </w:r>
      <w:r>
        <w:rPr>
          <w:rFonts w:hint="eastAsia" w:ascii="仿宋_GB2312" w:hAnsi="Calibri" w:eastAsia="仿宋_GB2312"/>
          <w:sz w:val="32"/>
          <w:szCs w:val="32"/>
          <w:lang w:val="en-US" w:eastAsia="zh-CN"/>
        </w:rPr>
        <w:t>日</w:t>
      </w:r>
    </w:p>
    <w:sectPr>
      <w:footerReference r:id="rId3" w:type="default"/>
      <w:pgSz w:w="11906" w:h="16838"/>
      <w:pgMar w:top="2098" w:right="1474" w:bottom="1984" w:left="1587" w:header="851" w:footer="158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60D"/>
    <w:rsid w:val="00000EC5"/>
    <w:rsid w:val="0002340B"/>
    <w:rsid w:val="00034F5B"/>
    <w:rsid w:val="000A0B0D"/>
    <w:rsid w:val="000C3E21"/>
    <w:rsid w:val="00113FDF"/>
    <w:rsid w:val="00114587"/>
    <w:rsid w:val="00130C1E"/>
    <w:rsid w:val="001954E7"/>
    <w:rsid w:val="001E1B96"/>
    <w:rsid w:val="00233C31"/>
    <w:rsid w:val="0024005C"/>
    <w:rsid w:val="00271504"/>
    <w:rsid w:val="0027560D"/>
    <w:rsid w:val="00294865"/>
    <w:rsid w:val="002A1CA7"/>
    <w:rsid w:val="002A3912"/>
    <w:rsid w:val="002B311A"/>
    <w:rsid w:val="002D3FAD"/>
    <w:rsid w:val="002E3B42"/>
    <w:rsid w:val="002F7C7E"/>
    <w:rsid w:val="003026D2"/>
    <w:rsid w:val="00304E58"/>
    <w:rsid w:val="00326033"/>
    <w:rsid w:val="00326DAB"/>
    <w:rsid w:val="00391A74"/>
    <w:rsid w:val="003923C5"/>
    <w:rsid w:val="003D38A0"/>
    <w:rsid w:val="00411B21"/>
    <w:rsid w:val="00424EEC"/>
    <w:rsid w:val="00425D94"/>
    <w:rsid w:val="004340E5"/>
    <w:rsid w:val="00435FFF"/>
    <w:rsid w:val="00452D1D"/>
    <w:rsid w:val="0046097F"/>
    <w:rsid w:val="00476236"/>
    <w:rsid w:val="00483855"/>
    <w:rsid w:val="0048648B"/>
    <w:rsid w:val="00487F15"/>
    <w:rsid w:val="004A58F7"/>
    <w:rsid w:val="004E00B0"/>
    <w:rsid w:val="004F604F"/>
    <w:rsid w:val="00564A60"/>
    <w:rsid w:val="0057111F"/>
    <w:rsid w:val="005834D7"/>
    <w:rsid w:val="00584786"/>
    <w:rsid w:val="00584AEC"/>
    <w:rsid w:val="00584CE0"/>
    <w:rsid w:val="00595930"/>
    <w:rsid w:val="00597E7E"/>
    <w:rsid w:val="005B2EC0"/>
    <w:rsid w:val="00606D8F"/>
    <w:rsid w:val="00631CDB"/>
    <w:rsid w:val="00654869"/>
    <w:rsid w:val="006632F7"/>
    <w:rsid w:val="00674997"/>
    <w:rsid w:val="00732F4F"/>
    <w:rsid w:val="007353F9"/>
    <w:rsid w:val="00752EAA"/>
    <w:rsid w:val="00775D1C"/>
    <w:rsid w:val="007D1120"/>
    <w:rsid w:val="007E5CE4"/>
    <w:rsid w:val="00810932"/>
    <w:rsid w:val="0084262D"/>
    <w:rsid w:val="008B4796"/>
    <w:rsid w:val="008C70A8"/>
    <w:rsid w:val="008C70B4"/>
    <w:rsid w:val="008D4EBC"/>
    <w:rsid w:val="008E774D"/>
    <w:rsid w:val="008F5775"/>
    <w:rsid w:val="009169DC"/>
    <w:rsid w:val="0092362B"/>
    <w:rsid w:val="00926DAE"/>
    <w:rsid w:val="009E4755"/>
    <w:rsid w:val="009F07DB"/>
    <w:rsid w:val="00A13D1A"/>
    <w:rsid w:val="00A143BE"/>
    <w:rsid w:val="00A4101C"/>
    <w:rsid w:val="00A438F0"/>
    <w:rsid w:val="00A76727"/>
    <w:rsid w:val="00A7684B"/>
    <w:rsid w:val="00AA3FCB"/>
    <w:rsid w:val="00AE1225"/>
    <w:rsid w:val="00AE76E2"/>
    <w:rsid w:val="00B10B16"/>
    <w:rsid w:val="00B10E38"/>
    <w:rsid w:val="00B16EE5"/>
    <w:rsid w:val="00B60F55"/>
    <w:rsid w:val="00B6145A"/>
    <w:rsid w:val="00B75CB9"/>
    <w:rsid w:val="00B8713B"/>
    <w:rsid w:val="00B91CB1"/>
    <w:rsid w:val="00BB05F3"/>
    <w:rsid w:val="00C012AF"/>
    <w:rsid w:val="00C03C42"/>
    <w:rsid w:val="00C04F29"/>
    <w:rsid w:val="00C26EA6"/>
    <w:rsid w:val="00C37902"/>
    <w:rsid w:val="00C4080A"/>
    <w:rsid w:val="00C60903"/>
    <w:rsid w:val="00C7425C"/>
    <w:rsid w:val="00C8513D"/>
    <w:rsid w:val="00C95A35"/>
    <w:rsid w:val="00CA43CB"/>
    <w:rsid w:val="00CA5B92"/>
    <w:rsid w:val="00CA5F8D"/>
    <w:rsid w:val="00CB379B"/>
    <w:rsid w:val="00CC337E"/>
    <w:rsid w:val="00D32DBC"/>
    <w:rsid w:val="00D70C99"/>
    <w:rsid w:val="00DA382A"/>
    <w:rsid w:val="00DC2568"/>
    <w:rsid w:val="00DF1C48"/>
    <w:rsid w:val="00E54B0A"/>
    <w:rsid w:val="00E56F21"/>
    <w:rsid w:val="00E63A49"/>
    <w:rsid w:val="00EE26EA"/>
    <w:rsid w:val="00F029F5"/>
    <w:rsid w:val="00F35BA0"/>
    <w:rsid w:val="00F53902"/>
    <w:rsid w:val="00F63D63"/>
    <w:rsid w:val="00F819EC"/>
    <w:rsid w:val="00F97C10"/>
    <w:rsid w:val="00FC0395"/>
    <w:rsid w:val="00FC1EB6"/>
    <w:rsid w:val="0F6F1EE4"/>
    <w:rsid w:val="149E1C55"/>
    <w:rsid w:val="1FEFFA49"/>
    <w:rsid w:val="33DA8836"/>
    <w:rsid w:val="33FD8E87"/>
    <w:rsid w:val="361677E6"/>
    <w:rsid w:val="39C13005"/>
    <w:rsid w:val="3EFB960F"/>
    <w:rsid w:val="3FF537CE"/>
    <w:rsid w:val="3FFD8B87"/>
    <w:rsid w:val="57FF2490"/>
    <w:rsid w:val="5BEFC7C0"/>
    <w:rsid w:val="5EFA7CCD"/>
    <w:rsid w:val="6236F29A"/>
    <w:rsid w:val="645E88BB"/>
    <w:rsid w:val="685B80E2"/>
    <w:rsid w:val="6FBFFBD7"/>
    <w:rsid w:val="6FFD879F"/>
    <w:rsid w:val="75B50103"/>
    <w:rsid w:val="77FD9AF6"/>
    <w:rsid w:val="7BDF2FB5"/>
    <w:rsid w:val="7BEEC99B"/>
    <w:rsid w:val="7CD6EF8E"/>
    <w:rsid w:val="7D2EE757"/>
    <w:rsid w:val="7D9F558E"/>
    <w:rsid w:val="7E33B346"/>
    <w:rsid w:val="7F1DC9BC"/>
    <w:rsid w:val="7F7D58EC"/>
    <w:rsid w:val="7F7FCB26"/>
    <w:rsid w:val="7FCF3C6C"/>
    <w:rsid w:val="7FE9F2C0"/>
    <w:rsid w:val="9D4B5CFF"/>
    <w:rsid w:val="A5DFFB81"/>
    <w:rsid w:val="ACFD1D5E"/>
    <w:rsid w:val="ADFC6A42"/>
    <w:rsid w:val="AFFF2968"/>
    <w:rsid w:val="BA7B23C6"/>
    <w:rsid w:val="BDFDD311"/>
    <w:rsid w:val="C74784C4"/>
    <w:rsid w:val="CDE738BA"/>
    <w:rsid w:val="E68E3433"/>
    <w:rsid w:val="EDBFA4CB"/>
    <w:rsid w:val="EEB0BD4B"/>
    <w:rsid w:val="EFFFC160"/>
    <w:rsid w:val="F51D18E2"/>
    <w:rsid w:val="F9FFD46E"/>
    <w:rsid w:val="FAFEF325"/>
    <w:rsid w:val="FB765A7D"/>
    <w:rsid w:val="FBEF5824"/>
    <w:rsid w:val="FD1C22A6"/>
    <w:rsid w:val="FE734873"/>
    <w:rsid w:val="FEDFCAC8"/>
    <w:rsid w:val="FF7C5E24"/>
    <w:rsid w:val="FFD9ED4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列出段落1"/>
    <w:basedOn w:val="1"/>
    <w:next w:val="3"/>
    <w:qFormat/>
    <w:uiPriority w:val="0"/>
    <w:pPr>
      <w:ind w:firstLine="200" w:firstLineChars="200"/>
    </w:pPr>
  </w:style>
  <w:style w:type="paragraph" w:customStyle="1" w:styleId="3">
    <w:name w:val="索引 51"/>
    <w:basedOn w:val="1"/>
    <w:next w:val="1"/>
    <w:qFormat/>
    <w:uiPriority w:val="0"/>
    <w:pPr>
      <w:ind w:left="1680"/>
    </w:pPr>
    <w:rPr>
      <w:rFonts w:hAnsi="Times New Roman"/>
    </w:rPr>
  </w:style>
  <w:style w:type="paragraph" w:styleId="4">
    <w:name w:val="Body Text"/>
    <w:basedOn w:val="1"/>
    <w:next w:val="1"/>
    <w:qFormat/>
    <w:uiPriority w:val="0"/>
    <w:pPr>
      <w:widowControl/>
      <w:spacing w:after="120"/>
      <w:jc w:val="left"/>
    </w:pPr>
    <w:rPr>
      <w:rFonts w:ascii="Times New Roman" w:hAnsi="Times New Roman" w:eastAsia="宋体" w:cs="Times New Roman"/>
      <w:kern w:val="0"/>
      <w:sz w:val="24"/>
      <w:szCs w:val="24"/>
      <w:lang w:val="en-US" w:eastAsia="zh-CN" w:bidi="ar-SA"/>
    </w:rPr>
  </w:style>
  <w:style w:type="paragraph" w:styleId="5">
    <w:name w:val="Balloon Text"/>
    <w:basedOn w:val="1"/>
    <w:link w:val="12"/>
    <w:semiHidden/>
    <w:unhideWhenUsed/>
    <w:qFormat/>
    <w:uiPriority w:val="99"/>
    <w:rPr>
      <w:sz w:val="18"/>
      <w:szCs w:val="18"/>
    </w:rPr>
  </w:style>
  <w:style w:type="paragraph" w:styleId="6">
    <w:name w:val="footer"/>
    <w:basedOn w:val="1"/>
    <w:link w:val="11"/>
    <w:unhideWhenUsed/>
    <w:qFormat/>
    <w:uiPriority w:val="99"/>
    <w:pPr>
      <w:tabs>
        <w:tab w:val="center" w:pos="4153"/>
        <w:tab w:val="right" w:pos="8306"/>
      </w:tabs>
      <w:snapToGrid w:val="0"/>
      <w:jc w:val="left"/>
    </w:pPr>
    <w:rPr>
      <w:sz w:val="18"/>
      <w:szCs w:val="18"/>
    </w:rPr>
  </w:style>
  <w:style w:type="paragraph" w:styleId="7">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页眉 Char"/>
    <w:basedOn w:val="9"/>
    <w:link w:val="7"/>
    <w:qFormat/>
    <w:uiPriority w:val="99"/>
    <w:rPr>
      <w:sz w:val="18"/>
      <w:szCs w:val="18"/>
    </w:rPr>
  </w:style>
  <w:style w:type="character" w:customStyle="1" w:styleId="11">
    <w:name w:val="页脚 Char"/>
    <w:basedOn w:val="9"/>
    <w:link w:val="6"/>
    <w:qFormat/>
    <w:uiPriority w:val="99"/>
    <w:rPr>
      <w:sz w:val="18"/>
      <w:szCs w:val="18"/>
    </w:rPr>
  </w:style>
  <w:style w:type="character" w:customStyle="1" w:styleId="12">
    <w:name w:val="批注框文本 Char"/>
    <w:basedOn w:val="9"/>
    <w:link w:val="5"/>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632</Words>
  <Characters>3603</Characters>
  <Lines>30</Lines>
  <Paragraphs>8</Paragraphs>
  <TotalTime>12</TotalTime>
  <ScaleCrop>false</ScaleCrop>
  <LinksUpToDate>false</LinksUpToDate>
  <CharactersWithSpaces>4227</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2021-12-20T19:16:00Z</dcterms:created>
  <dc:creator>dell</dc:creator>
  <cp:lastModifiedBy>kylin</cp:lastModifiedBy>
  <cp:lastPrinted>2024-12-19T15:09:00Z</cp:lastPrinted>
  <dcterms:modified xsi:type="dcterms:W3CDTF">2026-01-20T15:01:18Z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