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60918">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东丽区生态环境局2025年</w:t>
      </w:r>
    </w:p>
    <w:p w14:paraId="27AB5DB4">
      <w:pPr>
        <w:spacing w:line="560" w:lineRule="exact"/>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44"/>
          <w:szCs w:val="44"/>
        </w:rPr>
        <w:t>法治政府建设年度报告</w:t>
      </w:r>
    </w:p>
    <w:p w14:paraId="2DB84EF8">
      <w:pPr>
        <w:spacing w:line="560" w:lineRule="exact"/>
        <w:jc w:val="center"/>
        <w:rPr>
          <w:rFonts w:ascii="方正小标宋简体" w:hAnsi="Times New Roman" w:eastAsia="方正小标宋简体" w:cs="Times New Roman"/>
          <w:sz w:val="32"/>
          <w:szCs w:val="32"/>
        </w:rPr>
      </w:pPr>
    </w:p>
    <w:p w14:paraId="08C65DF0">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2025年，东丽区生态环境局坚持以习近平新时代中国特色社会主义思想为指导，全面贯彻落实党的二十大和二十届二中、三中、四中全会精神，深入践行习近平法治思想，认真落实市、区关于法治政府建设工作部署要求，紧密结合生态环境保护工作实际，扎实推进生态环境保护领域法治政府建设各项任务，着力提升依法行政水平。现将有关情况报告如下：</w:t>
      </w:r>
    </w:p>
    <w:p w14:paraId="2E82BA7C">
      <w:pPr>
        <w:spacing w:line="560" w:lineRule="exact"/>
        <w:jc w:val="left"/>
        <w:rPr>
          <w:rFonts w:ascii="仿宋_GB2312" w:eastAsia="仿宋_GB2312"/>
          <w:sz w:val="32"/>
          <w:szCs w:val="32"/>
        </w:rPr>
      </w:pPr>
      <w:r>
        <w:rPr>
          <w:rFonts w:hint="eastAsia" w:ascii="仿宋_GB2312" w:hAnsi="Times New Roman" w:eastAsia="仿宋_GB2312" w:cs="Times New Roman"/>
          <w:sz w:val="32"/>
          <w:szCs w:val="32"/>
        </w:rPr>
        <w:t xml:space="preserve">    </w:t>
      </w:r>
      <w:r>
        <w:rPr>
          <w:rFonts w:hint="eastAsia" w:ascii="黑体" w:hAnsi="黑体" w:eastAsia="黑体"/>
          <w:sz w:val="32"/>
          <w:szCs w:val="32"/>
        </w:rPr>
        <w:t>一、履职情况和主要成效</w:t>
      </w:r>
    </w:p>
    <w:p w14:paraId="398FDDE2">
      <w:pPr>
        <w:spacing w:line="560" w:lineRule="exact"/>
        <w:jc w:val="left"/>
        <w:rPr>
          <w:rFonts w:ascii="楷体_GB2312" w:eastAsia="楷体_GB2312"/>
          <w:sz w:val="32"/>
          <w:szCs w:val="32"/>
        </w:rPr>
      </w:pPr>
      <w:r>
        <w:rPr>
          <w:rFonts w:hint="eastAsia" w:ascii="楷体_GB2312" w:eastAsia="楷体_GB2312"/>
          <w:sz w:val="32"/>
          <w:szCs w:val="32"/>
        </w:rPr>
        <w:t xml:space="preserve">    （一）深入学习贯彻习近平法治思想</w:t>
      </w:r>
    </w:p>
    <w:p w14:paraId="4DF405FB">
      <w:pPr>
        <w:spacing w:line="560" w:lineRule="exact"/>
        <w:jc w:val="left"/>
        <w:rPr>
          <w:rFonts w:ascii="仿宋_GB2312" w:eastAsia="仿宋_GB2312"/>
          <w:sz w:val="32"/>
          <w:szCs w:val="32"/>
        </w:rPr>
      </w:pPr>
      <w:r>
        <w:rPr>
          <w:rFonts w:hint="eastAsia" w:ascii="楷体_GB2312" w:eastAsia="楷体_GB2312"/>
          <w:sz w:val="32"/>
          <w:szCs w:val="32"/>
        </w:rPr>
        <w:t xml:space="preserve">    </w:t>
      </w:r>
      <w:r>
        <w:rPr>
          <w:rFonts w:hint="eastAsia" w:ascii="仿宋_GB2312" w:hAnsi="Times New Roman" w:eastAsia="仿宋_GB2312" w:cs="Times New Roman"/>
          <w:sz w:val="32"/>
          <w:szCs w:val="32"/>
        </w:rPr>
        <w:t>一是为推动学习贯彻习近平法治思想走深走实，我局将习近平法治思想纳入党组理论学习中心组必学内容。2025年，组织党组理论学习中心组开展集中学习习近平法治思想活动5次,不断强化领导干部依法行政的思想自觉、政治自觉和行动自觉,不断运用法治思维推动生态环境保护工作高效开展。二是组织我局行政执法人员、法制审核人员和监督人员参加了学习贯彻习近平法治思想强化行政执法能力建设网络培训班。三是依据“共性学法清单”“个性学法清单”组织国家工作人员开展了法律知识考试，提高了干部职工依法行政、依法办事的能力和水平，进一步增强了干部群众的法律意识，营造了尊法、学法、守法、用法氛围。</w:t>
      </w:r>
    </w:p>
    <w:p w14:paraId="195825E6">
      <w:pPr>
        <w:spacing w:line="560" w:lineRule="exact"/>
        <w:jc w:val="left"/>
        <w:rPr>
          <w:rFonts w:ascii="楷体_GB2312" w:hAnsi="Times New Roman" w:eastAsia="楷体_GB2312" w:cs="Times New Roman"/>
          <w:sz w:val="32"/>
          <w:szCs w:val="32"/>
        </w:rPr>
      </w:pPr>
      <w:r>
        <w:rPr>
          <w:rFonts w:hint="eastAsia" w:ascii="仿宋_GB2312" w:eastAsia="仿宋_GB2312"/>
          <w:sz w:val="32"/>
          <w:szCs w:val="32"/>
        </w:rPr>
        <w:t xml:space="preserve">    </w:t>
      </w:r>
      <w:r>
        <w:rPr>
          <w:rFonts w:hint="eastAsia" w:ascii="楷体_GB2312" w:hAnsi="Times New Roman" w:eastAsia="楷体_GB2312" w:cs="Times New Roman"/>
          <w:sz w:val="32"/>
          <w:szCs w:val="32"/>
        </w:rPr>
        <w:t>（二）加强党对法治政府建设的领导</w:t>
      </w:r>
    </w:p>
    <w:p w14:paraId="56C92352">
      <w:pPr>
        <w:spacing w:line="560" w:lineRule="exact"/>
        <w:jc w:val="left"/>
        <w:rPr>
          <w:rFonts w:ascii="仿宋_GB2312" w:eastAsia="仿宋_GB2312"/>
          <w:sz w:val="32"/>
          <w:szCs w:val="32"/>
        </w:rPr>
      </w:pPr>
      <w:r>
        <w:rPr>
          <w:rFonts w:hint="eastAsia" w:ascii="楷体_GB2312" w:hAnsi="Times New Roman" w:eastAsia="楷体_GB2312" w:cs="Times New Roman"/>
          <w:sz w:val="32"/>
          <w:szCs w:val="32"/>
        </w:rPr>
        <w:t xml:space="preserve">    </w:t>
      </w:r>
      <w:r>
        <w:rPr>
          <w:rFonts w:hint="eastAsia" w:ascii="仿宋_GB2312" w:hAnsi="Times New Roman" w:eastAsia="仿宋_GB2312" w:cs="Times New Roman"/>
          <w:sz w:val="32"/>
          <w:szCs w:val="32"/>
        </w:rPr>
        <w:t>一是党政主要负责人认真履行推进法治建设第一责任人职责，坚持把法治建设摆在全局工作的重要位置，年初召开党组会议对法治建设重点工作进行安排部署，加强统筹协调和工作推动。二是带头落实述法要求，将党政主要负责人履行推进法治建设第一责任人职责情况纳入述职内容，认真开展述法工作。三是于2025年3月14日在天津市东丽区人民政府网站按时公开了《东丽区生态环境局2024年法治政府建设年度报告》。</w:t>
      </w:r>
    </w:p>
    <w:p w14:paraId="62EB020B">
      <w:pPr>
        <w:spacing w:line="560" w:lineRule="exact"/>
        <w:jc w:val="left"/>
        <w:rPr>
          <w:rStyle w:val="6"/>
          <w:rFonts w:ascii="楷体_GB2312" w:hAnsi="黑体" w:eastAsia="楷体_GB2312"/>
          <w:snapToGrid w:val="0"/>
          <w:sz w:val="32"/>
          <w:szCs w:val="32"/>
        </w:rPr>
      </w:pPr>
      <w:r>
        <w:rPr>
          <w:rStyle w:val="6"/>
          <w:rFonts w:hint="eastAsia" w:ascii="楷体_GB2312" w:hAnsi="黑体" w:eastAsia="楷体_GB2312"/>
          <w:snapToGrid w:val="0"/>
          <w:sz w:val="32"/>
          <w:szCs w:val="32"/>
        </w:rPr>
        <w:t xml:space="preserve">    （三）严格依法依规决策</w:t>
      </w:r>
    </w:p>
    <w:p w14:paraId="46E102F8">
      <w:pPr>
        <w:spacing w:line="560" w:lineRule="exact"/>
        <w:jc w:val="left"/>
        <w:rPr>
          <w:rFonts w:ascii="仿宋_GB2312" w:hAnsi="仿宋_GB2312" w:eastAsia="仿宋_GB2312" w:cs="仿宋_GB2312"/>
          <w:sz w:val="32"/>
          <w:szCs w:val="32"/>
        </w:rPr>
      </w:pPr>
      <w:r>
        <w:rPr>
          <w:rFonts w:hint="eastAsia" w:ascii="仿宋_GB2312" w:hAnsi="黑体" w:eastAsia="仿宋_GB2312"/>
          <w:sz w:val="32"/>
          <w:szCs w:val="32"/>
        </w:rPr>
        <w:t xml:space="preserve">    </w:t>
      </w:r>
      <w:r>
        <w:rPr>
          <w:rFonts w:hint="eastAsia" w:ascii="仿宋_GB2312" w:hAnsi="Times New Roman" w:eastAsia="仿宋_GB2312" w:cs="Times New Roman"/>
          <w:sz w:val="32"/>
          <w:szCs w:val="32"/>
        </w:rPr>
        <w:t>一是健全规范决策机制。严格落实“三重一大”制度，执行集体议事决策规定和程序，坚持科学决策、民主决策、依法决策。二是加强规范性文件管理。严格履行制定程序，确保政策出台于法有据。本年度，我局未制发新规范性文件。三是严格落实政府法律顾问制度，聘请天津秦天律师事务所律师为局法律顾问，局法宣科相关同志为公职律师。2025年，局法律顾问为我单位提供法律服务类型共八类，36件次，合计77小时，充分发挥了法律顾问在依法行政中的重要作用，防范行政决策风险，规范行政执法行为，提高依法决策能力。</w:t>
      </w:r>
    </w:p>
    <w:p w14:paraId="15376DF4">
      <w:pPr>
        <w:spacing w:line="560" w:lineRule="exact"/>
        <w:jc w:val="left"/>
        <w:rPr>
          <w:rFonts w:ascii="楷体_GB2312" w:hAnsi="Times New Roman" w:eastAsia="楷体_GB2312" w:cs="楷体_GB2312"/>
          <w:color w:val="333333"/>
          <w:sz w:val="32"/>
          <w:szCs w:val="32"/>
        </w:rPr>
      </w:pPr>
      <w:r>
        <w:rPr>
          <w:rFonts w:hint="eastAsia" w:ascii="仿宋_GB2312" w:hAnsi="仿宋_GB2312" w:eastAsia="仿宋_GB2312" w:cs="仿宋_GB2312"/>
          <w:sz w:val="32"/>
          <w:szCs w:val="32"/>
        </w:rPr>
        <w:t xml:space="preserve">    </w:t>
      </w:r>
      <w:r>
        <w:rPr>
          <w:rFonts w:hint="eastAsia" w:ascii="楷体_GB2312" w:hAnsi="黑体" w:eastAsia="楷体_GB2312"/>
          <w:sz w:val="32"/>
          <w:szCs w:val="32"/>
        </w:rPr>
        <w:t>（四）</w:t>
      </w:r>
      <w:r>
        <w:rPr>
          <w:rFonts w:hint="eastAsia" w:ascii="楷体_GB2312" w:hAnsi="Times New Roman" w:eastAsia="楷体_GB2312" w:cs="楷体_GB2312"/>
          <w:color w:val="333333"/>
          <w:sz w:val="32"/>
          <w:szCs w:val="32"/>
        </w:rPr>
        <w:t>严格规范公正文明执法</w:t>
      </w:r>
    </w:p>
    <w:p w14:paraId="3A7765EF">
      <w:pPr>
        <w:spacing w:line="560" w:lineRule="exact"/>
        <w:jc w:val="left"/>
        <w:rPr>
          <w:rFonts w:ascii="仿宋_GB2312" w:hAnsi="Times New Roman" w:eastAsia="仿宋_GB2312" w:cs="楷体_GB2312"/>
          <w:color w:val="333333"/>
          <w:sz w:val="32"/>
          <w:szCs w:val="32"/>
        </w:rPr>
      </w:pPr>
      <w:r>
        <w:rPr>
          <w:rFonts w:hint="eastAsia" w:ascii="楷体_GB2312" w:hAnsi="Times New Roman" w:eastAsia="楷体_GB2312" w:cs="楷体_GB2312"/>
          <w:color w:val="333333"/>
          <w:sz w:val="32"/>
          <w:szCs w:val="32"/>
        </w:rPr>
        <w:t xml:space="preserve">    </w:t>
      </w:r>
      <w:r>
        <w:rPr>
          <w:rFonts w:hint="eastAsia" w:ascii="仿宋_GB2312" w:hAnsi="Times New Roman" w:eastAsia="仿宋_GB2312" w:cs="Times New Roman"/>
          <w:sz w:val="32"/>
          <w:szCs w:val="32"/>
        </w:rPr>
        <w:t>一是我局严格规范涉企行政检查，制定了《东丽区生态环境局规范涉企生态环境行政执法集中整治专项行动实施方案》，召开专题会议进行安排部署。要求全体执法人员在执法过程中，既要坚守生态环境保护底线，又要注重维护企业合法权益，实现执法力度与温度的有机统一。二是我局严格落实“双随机、一公开”监管工作要求，严格执行污染源日常环境监管随机抽查制度，通过移动执法系统随机抽取检查人员和被检查单位，按季度开展执法检查。2025年，共抽取总任务数312家次，已全部完成调查取证，并按要求在区政务网站进行公示。三是我局全面梳理生态环境领域涉企检查事项，严格控制检查频次，优化检查方式。2025年，累计开展涉企行政检查1234次，有效减少对企业正常生产经营的干扰，同时确保生态环境监管力度不减，将打造良好营商环境与提升执法效能相结合，推动企业切实履行环保责任。</w:t>
      </w:r>
    </w:p>
    <w:p w14:paraId="7A8C483C">
      <w:pPr>
        <w:spacing w:line="560" w:lineRule="exact"/>
        <w:jc w:val="left"/>
        <w:rPr>
          <w:rFonts w:ascii="楷体_GB2312" w:eastAsia="楷体_GB2312"/>
          <w:sz w:val="32"/>
          <w:szCs w:val="32"/>
        </w:rPr>
      </w:pPr>
      <w:r>
        <w:rPr>
          <w:rFonts w:hint="eastAsia" w:ascii="仿宋_GB2312" w:hAnsi="Times New Roman" w:eastAsia="仿宋_GB2312" w:cs="楷体_GB2312"/>
          <w:color w:val="333333"/>
          <w:sz w:val="32"/>
          <w:szCs w:val="32"/>
        </w:rPr>
        <w:t xml:space="preserve">    </w:t>
      </w:r>
      <w:r>
        <w:rPr>
          <w:rFonts w:hint="eastAsia" w:ascii="楷体_GB2312" w:eastAsia="楷体_GB2312"/>
          <w:sz w:val="32"/>
          <w:szCs w:val="32"/>
        </w:rPr>
        <w:t>（五）依法化解矛盾纠纷</w:t>
      </w:r>
    </w:p>
    <w:p w14:paraId="2E46D323">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Times New Roman" w:eastAsia="仿宋_GB2312" w:cs="Times New Roman"/>
          <w:sz w:val="32"/>
          <w:szCs w:val="32"/>
        </w:rPr>
        <w:t>一是我局深入贯彻落实《天津市行政调解规定》，最大限度地化解因生态环境问题产生的各类纠纷、社会矛盾，将纠纷解决在萌芽状态。2025年，未发生纠纷双方当事人请求或申请我局予以行政调解的情形。</w:t>
      </w:r>
      <w:r>
        <w:rPr>
          <w:rFonts w:ascii="仿宋_GB2312" w:hAnsi="Times New Roman" w:eastAsia="仿宋_GB2312" w:cs="Times New Roman"/>
          <w:sz w:val="32"/>
          <w:szCs w:val="32"/>
        </w:rPr>
        <w:t>二</w:t>
      </w:r>
      <w:r>
        <w:rPr>
          <w:rFonts w:hint="eastAsia" w:ascii="仿宋_GB2312" w:hAnsi="Times New Roman" w:eastAsia="仿宋_GB2312" w:cs="Times New Roman"/>
          <w:sz w:val="32"/>
          <w:szCs w:val="32"/>
        </w:rPr>
        <w:t>是高度重视群众信访举报检查工作，坚持信访办理和生态环境执法深度融合，集中力量查办群众反映强烈、与群众密切相关的环境污染案件，确保处置到位。2025年，受理各类环境信访投诉问题1400件次，回复率、处置率均达到100%。</w:t>
      </w:r>
    </w:p>
    <w:p w14:paraId="0950DF8D">
      <w:pPr>
        <w:spacing w:line="560" w:lineRule="exact"/>
        <w:jc w:val="left"/>
        <w:rPr>
          <w:rFonts w:ascii="楷体_GB2312" w:hAnsi="Times New Roman" w:eastAsia="楷体_GB2312" w:cs="楷体_GB2312"/>
          <w:color w:val="333333"/>
          <w:sz w:val="32"/>
          <w:szCs w:val="32"/>
        </w:rPr>
      </w:pPr>
      <w:r>
        <w:rPr>
          <w:rFonts w:hint="eastAsia" w:ascii="楷体_GB2312" w:hAnsi="Times New Roman" w:eastAsia="楷体_GB2312" w:cs="楷体_GB2312"/>
          <w:color w:val="333333"/>
          <w:sz w:val="32"/>
          <w:szCs w:val="32"/>
        </w:rPr>
        <w:t xml:space="preserve">    （六）加强行政复议及行政诉讼工作</w:t>
      </w:r>
    </w:p>
    <w:p w14:paraId="10241B1C">
      <w:pPr>
        <w:spacing w:line="560" w:lineRule="exact"/>
        <w:jc w:val="left"/>
        <w:rPr>
          <w:rFonts w:ascii="仿宋_GB2312" w:eastAsia="仿宋_GB2312"/>
          <w:sz w:val="32"/>
          <w:szCs w:val="32"/>
        </w:rPr>
      </w:pPr>
      <w:r>
        <w:rPr>
          <w:rFonts w:hint="eastAsia" w:ascii="楷体_GB2312" w:hAnsi="Times New Roman" w:eastAsia="楷体_GB2312" w:cs="楷体_GB2312"/>
          <w:color w:val="333333"/>
          <w:sz w:val="32"/>
          <w:szCs w:val="32"/>
        </w:rPr>
        <w:t xml:space="preserve">    </w:t>
      </w:r>
      <w:r>
        <w:rPr>
          <w:rFonts w:hint="eastAsia" w:ascii="仿宋_GB2312" w:hAnsi="Times New Roman" w:eastAsia="仿宋_GB2312" w:cs="Times New Roman"/>
          <w:sz w:val="32"/>
          <w:szCs w:val="32"/>
        </w:rPr>
        <w:t>扎实行政处罚案件办理，规范证据收集、事实调查、程序履行、法条适用等各环节。局法律顾问积极介入，对于复杂案件全过程把关，避免出现行政复议及行政诉讼败诉风险。严格落实行政机关负责人依法出庭应诉制度，切实做好行政诉讼案件应诉工作。2025年，我局未产生行政复议；局主要负责人委托分管负责人出庭应诉案件1起，出庭率100%。</w:t>
      </w:r>
    </w:p>
    <w:p w14:paraId="411C20D0">
      <w:pPr>
        <w:spacing w:line="560" w:lineRule="exact"/>
        <w:jc w:val="left"/>
        <w:rPr>
          <w:rFonts w:ascii="楷体_GB2312" w:hAnsi="STHeiti" w:eastAsia="楷体_GB2312" w:cs="楷体_GB2312"/>
          <w:color w:val="333333"/>
          <w:sz w:val="32"/>
          <w:szCs w:val="32"/>
        </w:rPr>
      </w:pPr>
      <w:r>
        <w:rPr>
          <w:rFonts w:hint="eastAsia" w:ascii="仿宋_GB2312" w:eastAsia="仿宋_GB2312"/>
          <w:sz w:val="32"/>
          <w:szCs w:val="32"/>
        </w:rPr>
        <w:t xml:space="preserve">    </w:t>
      </w:r>
      <w:r>
        <w:rPr>
          <w:rStyle w:val="6"/>
          <w:rFonts w:hint="eastAsia" w:ascii="楷体_GB2312" w:eastAsia="楷体_GB2312"/>
          <w:snapToGrid w:val="0"/>
          <w:sz w:val="32"/>
          <w:szCs w:val="32"/>
        </w:rPr>
        <w:t>（七）</w:t>
      </w:r>
      <w:r>
        <w:rPr>
          <w:rFonts w:hint="eastAsia" w:ascii="楷体_GB2312" w:hAnsi="STHeiti" w:eastAsia="楷体_GB2312" w:cs="楷体_GB2312"/>
          <w:color w:val="333333"/>
          <w:sz w:val="32"/>
          <w:szCs w:val="32"/>
        </w:rPr>
        <w:t>深入推进法治宣传教育</w:t>
      </w:r>
    </w:p>
    <w:p w14:paraId="5A8170E2">
      <w:pPr>
        <w:spacing w:line="560" w:lineRule="exact"/>
        <w:jc w:val="left"/>
        <w:rPr>
          <w:rFonts w:ascii="仿宋_GB2312" w:eastAsia="仿宋_GB2312"/>
          <w:sz w:val="32"/>
          <w:szCs w:val="32"/>
        </w:rPr>
      </w:pPr>
      <w:r>
        <w:rPr>
          <w:rFonts w:hint="eastAsia" w:ascii="楷体_GB2312" w:hAnsi="STHeiti" w:eastAsia="楷体_GB2312" w:cs="楷体_GB2312"/>
          <w:color w:val="333333"/>
          <w:sz w:val="32"/>
          <w:szCs w:val="32"/>
        </w:rPr>
        <w:t xml:space="preserve">    </w:t>
      </w:r>
      <w:r>
        <w:rPr>
          <w:rFonts w:hint="eastAsia" w:ascii="仿宋_GB2312" w:hAnsi="Times New Roman" w:eastAsia="仿宋_GB2312" w:cs="Times New Roman"/>
          <w:sz w:val="32"/>
          <w:szCs w:val="32"/>
        </w:rPr>
        <w:t>为深入学习宣传贯彻习近平生态文明思想，引导全社会牢固树立和践行绿水青山就是金山银山的理念，我局联合机关单位、社区、学校、企业，围绕5·22国际生物多样性日、六五环境日、全国低碳日等生态环境保护节日节点积极开展主题宣传教育活动。本年度开展主题宣传活动10余场，参加活动人数近3000余人次。其中，2025年六五环境日主题宣传活动暨“星火学府杯”第二届生态环境保护知识竞赛的再次举办，进一步完善了东丽区生态环境保护领域政企联动，促进企业高质量发展，有效激发了公众参与生态文明建设的热情，推动形成了全社会共建美丽东丽的强大合力。</w:t>
      </w:r>
    </w:p>
    <w:p w14:paraId="78C2D28F">
      <w:pPr>
        <w:spacing w:line="560" w:lineRule="exact"/>
        <w:jc w:val="left"/>
        <w:rPr>
          <w:rFonts w:ascii="黑体" w:hAnsi="黑体" w:eastAsia="黑体" w:cs="仿宋_GB2312"/>
          <w:sz w:val="32"/>
          <w:szCs w:val="32"/>
        </w:rPr>
      </w:pPr>
      <w:r>
        <w:rPr>
          <w:rFonts w:hint="eastAsia" w:ascii="黑体" w:hAnsi="黑体" w:eastAsia="黑体" w:cs="仿宋_GB2312"/>
          <w:sz w:val="32"/>
          <w:szCs w:val="32"/>
        </w:rPr>
        <w:t xml:space="preserve">    二、存在问题</w:t>
      </w:r>
    </w:p>
    <w:p w14:paraId="70375053">
      <w:pPr>
        <w:spacing w:line="560" w:lineRule="exact"/>
        <w:jc w:val="left"/>
        <w:rPr>
          <w:rFonts w:ascii="仿宋_GB2312" w:hAnsi="仿宋_GB2312" w:eastAsia="仿宋_GB2312" w:cs="仿宋_GB2312"/>
          <w:sz w:val="32"/>
          <w:szCs w:val="32"/>
        </w:rPr>
      </w:pPr>
      <w:r>
        <w:rPr>
          <w:rFonts w:hint="eastAsia" w:ascii="仿宋_GB2312" w:hAnsi="黑体" w:eastAsia="仿宋_GB2312" w:cs="仿宋_GB2312"/>
          <w:sz w:val="32"/>
          <w:szCs w:val="32"/>
        </w:rPr>
        <w:t xml:space="preserve">    </w:t>
      </w:r>
      <w:r>
        <w:rPr>
          <w:rFonts w:hint="eastAsia" w:ascii="仿宋_GB2312" w:hAnsi="Times New Roman" w:eastAsia="仿宋_GB2312" w:cs="Times New Roman"/>
          <w:sz w:val="32"/>
          <w:szCs w:val="32"/>
        </w:rPr>
        <w:t>我局在法治政府建设工作中虽然取得了一些成绩，但还存在一些问题和薄弱环节，主要表现在：一是对法律法规文件学习的深度与实践转化不足，学习缺乏系统性、针对性，对于新出台或新修订的法律法规，理解不够透彻，未能熟练运用法治思维创造性解决复杂问题，依法决策和风险研判的能力仍需进一步提升。二是个别执法人员存在执法着装不规范，服装混搭问题。三是部分执法人员在对相对人出示执法证件时，执法记录仪未拍摄到出示执法证件的画面，不符合执法全过程记录制度相关要求。</w:t>
      </w:r>
    </w:p>
    <w:p w14:paraId="098F3A5C">
      <w:pPr>
        <w:adjustRightInd w:val="0"/>
        <w:snapToGrid w:val="0"/>
        <w:spacing w:line="560" w:lineRule="exact"/>
        <w:ind w:firstLine="640"/>
        <w:rPr>
          <w:rFonts w:ascii="黑体" w:hAnsi="黑体" w:eastAsia="黑体" w:cs="黑体"/>
          <w:sz w:val="32"/>
          <w:szCs w:val="32"/>
        </w:rPr>
      </w:pPr>
      <w:r>
        <w:rPr>
          <w:rFonts w:hint="eastAsia" w:ascii="黑体" w:hAnsi="黑体" w:eastAsia="黑体" w:cs="黑体"/>
          <w:sz w:val="32"/>
          <w:szCs w:val="32"/>
        </w:rPr>
        <w:t>三、下一步工作安排</w:t>
      </w:r>
    </w:p>
    <w:p w14:paraId="42A0CC42">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一是增强领导干部带头学法、模范守法的意识。进一步提高</w:t>
      </w:r>
      <w:r>
        <w:rPr>
          <w:rFonts w:ascii="仿宋_GB2312" w:hAnsi="Times New Roman" w:eastAsia="仿宋_GB2312" w:cs="Times New Roman"/>
          <w:sz w:val="32"/>
          <w:szCs w:val="32"/>
        </w:rPr>
        <w:t>全局干部职工</w:t>
      </w:r>
      <w:r>
        <w:rPr>
          <w:rFonts w:hint="eastAsia" w:ascii="仿宋_GB2312" w:hAnsi="Times New Roman" w:eastAsia="仿宋_GB2312" w:cs="Times New Roman"/>
          <w:sz w:val="32"/>
          <w:szCs w:val="32"/>
        </w:rPr>
        <w:t>法治思维和依法行政能力，学深悟透习近平法治思想，善于运用法治思维和法治方式解决矛盾和问题，切实将习近平法治思想转化为推进局法治工作的强大动力和生动实践。</w:t>
      </w:r>
    </w:p>
    <w:p w14:paraId="72EF7E41">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二是全面落实推进法治建设第一责任人职责规定。进一步加强法治建设工作的组织领导，充分发挥局党组对法治建设的领导核心作用，切实履行好推进法治建设第一责任人职责。</w:t>
      </w:r>
    </w:p>
    <w:p w14:paraId="622732A5">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三是提升行政执法能力，规范行政执法行为。严格行政检查标准、程序，做到“五个严禁”“八个不得”，严格落实生态环境行政执法各项制度及《生态环境执法人员行为规范》要求，并加强对执法人员日常教育管理，定期开展各类专题培训，强化内部常态化监督，完善各项管理制度，对日常工作中发现的行政执法不规范问题，及时纠正。</w:t>
      </w:r>
    </w:p>
    <w:p w14:paraId="54082915">
      <w:pPr>
        <w:spacing w:line="560" w:lineRule="exact"/>
        <w:jc w:val="left"/>
        <w:rPr>
          <w:rFonts w:ascii="仿宋_GB2312" w:hAnsi="Times New Roman" w:eastAsia="仿宋_GB2312" w:cs="Times New Roman"/>
          <w:sz w:val="32"/>
          <w:szCs w:val="32"/>
        </w:rPr>
      </w:pPr>
    </w:p>
    <w:p w14:paraId="443C6A90">
      <w:pPr>
        <w:spacing w:line="560" w:lineRule="exact"/>
        <w:jc w:val="left"/>
        <w:rPr>
          <w:rFonts w:ascii="仿宋_GB2312" w:hAnsi="Times New Roman" w:eastAsia="仿宋_GB2312" w:cs="Times New Roman"/>
          <w:sz w:val="32"/>
          <w:szCs w:val="32"/>
        </w:rPr>
      </w:pPr>
      <w:bookmarkStart w:id="0" w:name="_GoBack"/>
      <w:bookmarkEnd w:id="0"/>
    </w:p>
    <w:p w14:paraId="0F1F8359">
      <w:pPr>
        <w:spacing w:line="560" w:lineRule="exact"/>
        <w:jc w:val="left"/>
        <w:rPr>
          <w:rFonts w:ascii="仿宋_GB2312" w:hAnsi="Times New Roman" w:eastAsia="仿宋_GB2312" w:cs="Times New Roman"/>
          <w:sz w:val="32"/>
          <w:szCs w:val="32"/>
        </w:rPr>
      </w:pPr>
    </w:p>
    <w:p w14:paraId="039AAFF5">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东丽区生态环境局</w:t>
      </w:r>
    </w:p>
    <w:p w14:paraId="1496D7E9">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2026年2月2日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THeiti">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6712B"/>
    <w:rsid w:val="000C0DC2"/>
    <w:rsid w:val="001529C7"/>
    <w:rsid w:val="001961C7"/>
    <w:rsid w:val="002C4ABE"/>
    <w:rsid w:val="004E3AD7"/>
    <w:rsid w:val="00510AD3"/>
    <w:rsid w:val="00576C6D"/>
    <w:rsid w:val="00595585"/>
    <w:rsid w:val="005D7448"/>
    <w:rsid w:val="00761BC3"/>
    <w:rsid w:val="008343C5"/>
    <w:rsid w:val="00835213"/>
    <w:rsid w:val="0096712B"/>
    <w:rsid w:val="00B2608B"/>
    <w:rsid w:val="00B94AE3"/>
    <w:rsid w:val="00C2250E"/>
    <w:rsid w:val="00C240DF"/>
    <w:rsid w:val="00C57C0B"/>
    <w:rsid w:val="00DA7E6C"/>
    <w:rsid w:val="00DC479E"/>
    <w:rsid w:val="00E00610"/>
    <w:rsid w:val="00E31C08"/>
    <w:rsid w:val="00EA2F5B"/>
    <w:rsid w:val="00FD171B"/>
    <w:rsid w:val="3B5C1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semiHidden/>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2528</Words>
  <Characters>2596</Characters>
  <Lines>19</Lines>
  <Paragraphs>5</Paragraphs>
  <TotalTime>113</TotalTime>
  <ScaleCrop>false</ScaleCrop>
  <LinksUpToDate>false</LinksUpToDate>
  <CharactersWithSpaces>2757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2025-12-25T01:20:00Z</dcterms:created>
  <dc:creator>程飞</dc:creator>
  <cp:lastModifiedBy>Administrator</cp:lastModifiedBy>
  <dcterms:modified xsi:type="dcterms:W3CDTF">2026-02-03T01:45:27Z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eyJoZGlkIjoiNmNhMmNiMjQ4Y2EwYmNjYzgxYzI0MjEzN2YwN2EyNDIiLCJ1c2VySWQiOiIyMzAxMDg5MjAifQ==</vt:lpwstr>
  </property>
  <property fmtid="{D5CDD505-2E9C-101B-9397-08002B2CF9AE}" pid="3" name="KSOProductBuildVer">
    <vt:lpwstr>2052-12.1.0.24657</vt:lpwstr>
  </property>
  <property fmtid="{D5CDD505-2E9C-101B-9397-08002B2CF9AE}" pid="4" name="ICV">
    <vt:lpwstr>A3608D3AEB314F2191591D12E995F7AE_12</vt:lpwstr>
  </property>
</Properties>
</file>