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张贵庄街2025年行政执法工作报告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张贵庄街道办事处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，围绕街道中心工作部署，求真务实，踏实苦干，较好地完成了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本年度的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各项工作任务，现将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2025年工作总结及2026年工作计划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张贵庄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现有持证执法人员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名，本年度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因人员退休，注销执法人员一名。同时，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通过招录补充新入职执法人员1名，进一步充实了执法力量，优化了队伍结构。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我街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累计办理行政执法案件4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起，罚没款金额共计359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0元。与去年相比，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年度办案数量下降约58%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，但罚款金额却有所提升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。这一变化得益于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深入践行“柔性执法”理念，全面摒弃“以罚代管”的简单化执法模式，坚持教育与处罚相结合，对轻微违法行为以劝导、整改、教育为主，着力化解矛盾于萌芽阶段，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但对于个别屡教不改行为，依旧依法依规进行处罚，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切实实现了“执法有温度、治理有力度”的工作目标。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此外，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严格对照年初制定的行政执法工作计划，细化任务分工、压实工作责任，统筹推进市容环境、违建治理、民生保障等各领域执法工作，各项既定目标任务均已圆满完成。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主要工作措施及成效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制度落实情况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将制度执行作为规范执法的核心抓手，持续强化内部管理与业务提升。一是坚持常态化学习机制，每月定期组织执法工作例会，聚焦《行政处罚法》核心条款、行政执法“三项制度”等关键内容，督促全体执法队员学深悟透、熟练运用，不断提升依法执法的理论功底和实践能力。二是完善执法裁量体系，针对执法实践中存在的裁量标准不统一等问题，今年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行政裁量基准制度，有效避免执法随意性，确保执法行为公平公正、过罚相当，为规范执法行为、提升执法质效提供了坚实制度保障。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（二）重点工作开展情况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1.城市管理类日常工作情况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年，在城市管理类方面涉及市容市貌、门前三包、清脏治乱、餐饮商户排放油烟等相关工作共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共治理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占道经营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19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店外摆卖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乱堆乱放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、店外广告牌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9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处、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窗贴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4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处、小广告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"/>
        </w:rPr>
        <w:t>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处、乱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吊乱挂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布标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私占车位2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、规整乱停乱放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共享单车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自行车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"/>
        </w:rPr>
        <w:t>900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余辆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、排查辖区内僵尸车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办理行政案件4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起，罚款共计359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0元。适时开展专项行动，严厉打击各类违规行为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力度，强力推进治违进程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始终保持违法建设治理高压态势，落实“减存量、遏增量”目标，依托网格化巡查体系实现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早发现、早制止、早拆除。全年累计拆除新增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5处，面积约140平方米；移送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窗改门问题线索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高效处置群众举报30余起，回复率100%，成功实现新增违建“零增长”，为辖区规划建设筑牢安全屏障。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落实文明祭扫工作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为倡导生态文明祭祀理念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营造清明节期间文明、和谐的祭扫氛围，切实维护辖区市容环境秩序，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我街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提前谋划、主动作为。在祭扫节日前夕，组织执法力量开展专项排查行动，重点整治售卖封建祭祀用品的违法行为，对排查发现的违法线索及时移送相关部门，推动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多部门联动，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2025年累计向民政局与市场监管局移送线索两起。成功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从源头遏制违规祭祀行为。同时，加大重点区域巡查力度，对焚烧封建祭扫用品的行为做到及时发现、耐心劝导、当场纠正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，同时对文明祭扫进行宣传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，有效杜绝安全隐患。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sz w:val="32"/>
          <w:szCs w:val="32"/>
        </w:rPr>
        <w:t>.信访投诉处理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高度重视群众诉求，扎实做好来访群众接待、来电接听及12345信访件办理回复工作。坚持以群众满意为导向，优化投诉处理流程，实现群众难题第一时间响应。2025年共计受理各类举报件1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市容市貌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、社区服务等多个民生领域。每一件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通过实地核查方式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处置，做到件件有回音、事事有着落，所有举报件均按时反馈办结。通过高效处置，辖区重复投诉率显著降低，切实提升了居民的幸福感与满意度。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（三）创新执法模式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立足城市管理工作实际，严格恪守依法行政原则，紧紧围绕法定程序、法定情形及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自由</w:t>
      </w:r>
      <w:r>
        <w:rPr>
          <w:rFonts w:hint="eastAsia" w:ascii="仿宋_GB2312" w:hAnsi="仿宋_GB2312" w:eastAsia="仿宋_GB2312" w:cs="仿宋_GB2312"/>
          <w:sz w:val="32"/>
          <w:szCs w:val="32"/>
        </w:rPr>
        <w:t>裁量基准要求，持续优化执法流程、规范执法行为。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在日常执法工作中，坚持教育与处罚相结合、以教育为先的原则，针对部分“初次违法”且危害后果轻微、当事人及时改正的违法行为，摒弃“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以罚代管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简单模式，灵活采取口头警告、签订守法保证书等柔性执法方式，通过耐心释法说理，引导当事人自觉纠正违法行为。同时，对于屡教不改、违法情节较为严重，或对市容环境、公共秩序造成明显不良影响的相对人，坚决维护法律法规的严肃性和权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依照相关法律条文，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对照自由裁量基准作出相应处罚。这一刚柔并济的执法举措，既有效遏制了各类违法违规行为，持续巩固市容市貌整治成果，又兼顾了民生需求与城市温度，让城市在整洁有序的基础上，不失浓郁的“烟火气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（四）积极开展各项培训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提高执法人员业务素质和执法水平，积极开展行政执法学习培训，内容围绕与执法工作相关的法律法规和各项管理条例。积极参加上级组织的业务培训，例如《行政处罚法》、《行政复议法》及《公共场所卫生管理条例》的学习。同时，针对授权事项，业务骨干也为队员进行了培训与讲解。通过学习全体执法人员组织纪律性明显增强、作风更加过硬，执行力和凝聚力得到了更好的提升，执法人员的专业素质和业务水平得到了不断提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 执法办案质效仍有提升空间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案件在办理过程中，前期调查取证环节的严谨性和全面性有待加强。个别案件因证据收集不够充分、事实核查不够细致，引发了行政诉讼。尽管后续高度重视，组织精干力量重新开展调查取证工作，补充完善相关证据链，最终法院驳回了原告的诉讼请求，但这一情况也暴露出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过程中调查取证环节不够严谨</w:t>
      </w:r>
      <w:r>
        <w:rPr>
          <w:rFonts w:hint="eastAsia" w:ascii="仿宋_GB2312" w:hAnsi="仿宋_GB2312" w:eastAsia="仿宋_GB2312" w:cs="仿宋_GB2312"/>
          <w:sz w:val="32"/>
          <w:szCs w:val="32"/>
        </w:rPr>
        <w:t>，案件办理的精细化水平仍需进一步提升。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队伍专业能力适配性需持续强化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</w:rPr>
        <w:t>7月份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《天津市东丽区街道履行职责事项清单》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实施以来，清单中部分事项将原有的行政处罚权调整为行政检查权，这对执法人员的业务能力和权责认知提出了新的要求。但从实际工作来看，部分执法人员对权责调整的核心要义、适用范围理解不够透彻，对新权责清单的条款把握不够精准，在具体执法实践中对权责边界的界定存在模糊地带，存在执法权限把握不准、履职行为不够规范的潜在风险，影响了执法工作的精准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四、2026年工作计划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（一）整治市容环境秩序，形成长效管理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占路经营、店外摆卖的管控力度，严格按照“齐门、齐线”管理，确保辖区道路秩序整洁有序。针对重点点位，将建立长效管理机制，每日定时定人进行管理，从根本上让商贩意识到街道整治占路经营的决心与毅力，使商贩无漏可钻，杜绝问题情况的发生。同时加强共享单车乱停放治理、毁绿破绿等相关执法检查，多角度全方位减少损害市容环境的不良行为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（二）做好信访工作，杜绝舆情发生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对违法建设、占道经营、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违规私营禽畜</w:t>
      </w:r>
      <w:r>
        <w:rPr>
          <w:rFonts w:hint="eastAsia" w:ascii="仿宋_GB2312" w:hAnsi="仿宋_GB2312" w:eastAsia="仿宋_GB2312" w:cs="仿宋_GB2312"/>
          <w:sz w:val="32"/>
          <w:szCs w:val="32"/>
        </w:rPr>
        <w:t>等老百姓反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强烈的问题，加大执法力度，减少此类投诉。完善处理投诉和接待来访制度，做到接访后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第一时间进行走访核实相关情况，对于职能范围内的及时进行治理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超出职能范围的及时进行线索移送并回电告知，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做到让老百姓满意率达到95%以上。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同时提高执法人员沟通水平，想居民之所想，知居民所需，解居民所急，将为民服务宗旨放在第一位，杜绝各类舆情问题的发生。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（三）做好大气污染防治工作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充分发挥执法检查权，加大对辖区内建筑工地、施工现场、流动摊贩及居民自发烧烤行为等巡查力度的同时，督导餐饮商户做好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油烟净化设施安装及定时清洗做好清洗记录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等相关工作，对未按有关要求安装油烟净化设施的商户，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一经发现立即将此情况通报至生态环境部门，确保我辖区内空气质量持续改善。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（四）加强各类法律法规宣传力度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“人民城市人民管”需要居民、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党政机关、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企事业单位、工商个体户等都要参与到城市管理中来，教育处罚不是根本目的，促进居民养成良好习惯才是宗旨。这就需要进行充分的宣传、广泛的宣传、多角度的宣传。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对《天津市文明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促进条例》、《天津市生活垃圾管理条例》、《天津市市容和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》宣传力度，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创新宣传方式，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努力提升居民知晓率，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深度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促进居民文明意识养成，杜绝各类不文明行为的发生。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（五）开展专项培训，精准解读权责清单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围绕7月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《天津市东丽区街道履行职责事项清单》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队员讲解</w:t>
      </w:r>
      <w:r>
        <w:rPr>
          <w:rFonts w:hint="eastAsia" w:ascii="仿宋_GB2312" w:hAnsi="仿宋_GB2312" w:eastAsia="仿宋_GB2312" w:cs="仿宋_GB2312"/>
          <w:sz w:val="32"/>
          <w:szCs w:val="32"/>
        </w:rPr>
        <w:t>授课，重点解读行政处罚权与行政检查权的边界界定、适用情形及履职规范，结合典型执法案例分析越权执法风险点，确保全体执法人员吃透政策要求、明晰权责范围。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top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张贵庄街街道办事处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top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2025年12月31日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739B4"/>
    <w:multiLevelType w:val="singleLevel"/>
    <w:tmpl w:val="39F739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EE1EC5"/>
    <w:multiLevelType w:val="singleLevel"/>
    <w:tmpl w:val="7BEE1E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jdhYTQ0YzNhZjIxMGEwMTBmMmMzMjQxOGUxMzgifQ=="/>
  </w:docVars>
  <w:rsids>
    <w:rsidRoot w:val="00000000"/>
    <w:rsid w:val="055A4417"/>
    <w:rsid w:val="13780D84"/>
    <w:rsid w:val="14F325EF"/>
    <w:rsid w:val="17E26283"/>
    <w:rsid w:val="18DEB068"/>
    <w:rsid w:val="37385A0F"/>
    <w:rsid w:val="379E49C2"/>
    <w:rsid w:val="3AFE0AA5"/>
    <w:rsid w:val="3EFD909F"/>
    <w:rsid w:val="465F6714"/>
    <w:rsid w:val="477E4B57"/>
    <w:rsid w:val="543D6E06"/>
    <w:rsid w:val="59FC0980"/>
    <w:rsid w:val="5AFEFD89"/>
    <w:rsid w:val="5C7F7952"/>
    <w:rsid w:val="5CF65A46"/>
    <w:rsid w:val="5EFB24F2"/>
    <w:rsid w:val="6BDFCFAF"/>
    <w:rsid w:val="6CBB44CB"/>
    <w:rsid w:val="6EF7A0EA"/>
    <w:rsid w:val="7C081B02"/>
    <w:rsid w:val="7C3BD11A"/>
    <w:rsid w:val="7D77E2E8"/>
    <w:rsid w:val="7EFEFF54"/>
    <w:rsid w:val="7F3F3D04"/>
    <w:rsid w:val="9BF2741B"/>
    <w:rsid w:val="9F738DF2"/>
    <w:rsid w:val="A9BDBA65"/>
    <w:rsid w:val="ABB3AD19"/>
    <w:rsid w:val="AD6FFB4F"/>
    <w:rsid w:val="BB15D4B2"/>
    <w:rsid w:val="BBB74FC8"/>
    <w:rsid w:val="D1F8C4FF"/>
    <w:rsid w:val="D6BF9CFE"/>
    <w:rsid w:val="D6F920DB"/>
    <w:rsid w:val="DBBF7349"/>
    <w:rsid w:val="DEAF9A0D"/>
    <w:rsid w:val="E3FAE612"/>
    <w:rsid w:val="E7AFBD4A"/>
    <w:rsid w:val="E7DC7CC3"/>
    <w:rsid w:val="EFFB3552"/>
    <w:rsid w:val="F3FE3B17"/>
    <w:rsid w:val="F6B630DF"/>
    <w:rsid w:val="F6E6F045"/>
    <w:rsid w:val="F7B8C75C"/>
    <w:rsid w:val="FA75DA0C"/>
    <w:rsid w:val="FBDFCEDB"/>
    <w:rsid w:val="FEBFB00A"/>
    <w:rsid w:val="FEEE9E35"/>
    <w:rsid w:val="FFF52250"/>
    <w:rsid w:val="FFFC5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1"/>
    <w:rPr>
      <w:rFonts w:ascii="仿宋_GB2312" w:hAnsi="仿宋_GB2312" w:cs="仿宋_GB2312"/>
      <w:szCs w:val="32"/>
      <w:lang w:val="zh-CN" w:bidi="zh-CN"/>
    </w:rPr>
  </w:style>
  <w:style w:type="paragraph" w:styleId="5">
    <w:name w:val="footer"/>
    <w:basedOn w:val="1"/>
    <w:next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正文-公1"/>
    <w:basedOn w:val="1"/>
    <w:next w:val="1"/>
    <w:qFormat/>
    <w:uiPriority w:val="99"/>
    <w:pPr>
      <w:ind w:firstLine="200"/>
      <w:jc w:val="left"/>
    </w:pPr>
    <w:rPr>
      <w:rFonts w:eastAsia="仿宋_GB2312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13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2535</Words>
  <Characters>2607</Characters>
  <Lines>51</Lines>
  <Paragraphs>14</Paragraphs>
  <TotalTime>45</TotalTime>
  <ScaleCrop>false</ScaleCrop>
  <LinksUpToDate>false</LinksUpToDate>
  <CharactersWithSpaces>2607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2019-12-19T00:24:00Z</dcterms:created>
  <dc:creator>Administrator</dc:creator>
  <cp:lastModifiedBy>kylin</cp:lastModifiedBy>
  <cp:lastPrinted>2021-10-25T10:16:00Z</cp:lastPrinted>
  <dcterms:modified xsi:type="dcterms:W3CDTF">2026-01-20T16:20:52Z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C173A2BDAFF740E680DF6BDB85452D7C_13</vt:lpwstr>
  </property>
</Properties>
</file>