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B0" w:rsidRDefault="008748B0">
      <w:pPr>
        <w:spacing w:line="600" w:lineRule="auto"/>
        <w:rPr>
          <w:rFonts w:asciiTheme="minorEastAsia" w:hAnsiTheme="minorEastAsia" w:cstheme="minorEastAsia"/>
          <w:color w:val="000000"/>
          <w:sz w:val="22"/>
          <w:szCs w:val="22"/>
        </w:rPr>
      </w:pPr>
    </w:p>
    <w:p w:rsidR="008748B0" w:rsidRDefault="008748B0">
      <w:pPr>
        <w:spacing w:line="600" w:lineRule="auto"/>
        <w:rPr>
          <w:rFonts w:asciiTheme="minorEastAsia" w:hAnsiTheme="minorEastAsia" w:cstheme="minorEastAsia"/>
          <w:color w:val="000000"/>
          <w:sz w:val="22"/>
          <w:szCs w:val="22"/>
        </w:rPr>
      </w:pPr>
    </w:p>
    <w:p w:rsidR="008748B0" w:rsidRDefault="008748B0">
      <w:pPr>
        <w:spacing w:line="600" w:lineRule="auto"/>
        <w:rPr>
          <w:rFonts w:asciiTheme="minorEastAsia" w:hAnsiTheme="minorEastAsia" w:cstheme="minorEastAsia"/>
          <w:color w:val="000000"/>
          <w:sz w:val="22"/>
          <w:szCs w:val="22"/>
        </w:rPr>
      </w:pPr>
    </w:p>
    <w:p w:rsidR="008748B0" w:rsidRDefault="00AF76A2">
      <w:pPr>
        <w:widowControl/>
        <w:jc w:val="center"/>
        <w:rPr>
          <w:rFonts w:ascii="Fz_S_BiaoSong_Jt" w:eastAsia="Fz_S_BiaoSong_Jt"/>
          <w:sz w:val="48"/>
          <w:szCs w:val="48"/>
        </w:rPr>
      </w:pPr>
      <w:r>
        <w:rPr>
          <w:rFonts w:ascii="Fz_S_BiaoSong_Jt" w:eastAsia="Fz_S_BiaoSong_Jt"/>
          <w:sz w:val="48"/>
          <w:szCs w:val="48"/>
        </w:rPr>
        <w:t>天津市东丽区城管中队</w:t>
      </w:r>
    </w:p>
    <w:p w:rsidR="008748B0" w:rsidRDefault="00AF76A2">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8748B0" w:rsidRDefault="008748B0">
      <w:pPr>
        <w:spacing w:line="600" w:lineRule="auto"/>
        <w:rPr>
          <w:rFonts w:asciiTheme="minorEastAsia" w:hAnsiTheme="minorEastAsia" w:cstheme="minorEastAsia"/>
          <w:color w:val="000000"/>
          <w:sz w:val="22"/>
          <w:szCs w:val="22"/>
        </w:rPr>
      </w:pPr>
    </w:p>
    <w:p w:rsidR="008748B0" w:rsidRDefault="008748B0">
      <w:pPr>
        <w:spacing w:line="600" w:lineRule="auto"/>
        <w:rPr>
          <w:rFonts w:asciiTheme="minorEastAsia" w:hAnsiTheme="minorEastAsia" w:cstheme="minorEastAsia"/>
          <w:color w:val="000000"/>
          <w:sz w:val="22"/>
          <w:szCs w:val="22"/>
        </w:rPr>
      </w:pPr>
    </w:p>
    <w:p w:rsidR="008748B0" w:rsidRDefault="008748B0">
      <w:pPr>
        <w:spacing w:line="600" w:lineRule="auto"/>
        <w:rPr>
          <w:rFonts w:asciiTheme="minorEastAsia" w:hAnsiTheme="minorEastAsia" w:cstheme="minorEastAsia"/>
          <w:color w:val="000000"/>
          <w:sz w:val="22"/>
          <w:szCs w:val="22"/>
        </w:rPr>
      </w:pPr>
    </w:p>
    <w:p w:rsidR="008748B0" w:rsidRDefault="00AF76A2">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8748B0" w:rsidRDefault="00AF76A2">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8748B0" w:rsidRDefault="00AF76A2">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一、主要职责</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二、机构设置</w:t>
      </w:r>
    </w:p>
    <w:p w:rsidR="008748B0" w:rsidRDefault="00AF76A2">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四、支出决算表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8748B0" w:rsidRDefault="00AF76A2">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8748B0" w:rsidRDefault="00AF76A2">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8748B0" w:rsidRDefault="008748B0">
      <w:pPr>
        <w:rPr>
          <w:rFonts w:asciiTheme="minorEastAsia" w:hAnsiTheme="minorEastAsia" w:cstheme="minorEastAsia"/>
          <w:sz w:val="22"/>
          <w:szCs w:val="22"/>
          <w:highlight w:val="yellow"/>
        </w:rPr>
      </w:pPr>
    </w:p>
    <w:p w:rsidR="008748B0" w:rsidRDefault="008748B0">
      <w:pPr>
        <w:snapToGrid w:val="0"/>
        <w:jc w:val="left"/>
        <w:rPr>
          <w:rFonts w:asciiTheme="minorEastAsia" w:hAnsiTheme="minorEastAsia" w:cstheme="minorEastAsia"/>
          <w:color w:val="000000" w:themeColor="text1"/>
          <w:sz w:val="22"/>
          <w:szCs w:val="22"/>
        </w:rPr>
      </w:pPr>
    </w:p>
    <w:p w:rsidR="008748B0" w:rsidRDefault="008748B0">
      <w:pPr>
        <w:snapToGrid w:val="0"/>
        <w:jc w:val="left"/>
        <w:rPr>
          <w:rFonts w:asciiTheme="minorEastAsia" w:hAnsiTheme="minorEastAsia" w:cstheme="minorEastAsia"/>
          <w:color w:val="000000" w:themeColor="text1"/>
          <w:sz w:val="22"/>
          <w:szCs w:val="22"/>
        </w:rPr>
        <w:sectPr w:rsidR="008748B0">
          <w:footerReference w:type="default" r:id="rId7"/>
          <w:pgSz w:w="11906" w:h="16838"/>
          <w:pgMar w:top="1531" w:right="1984" w:bottom="1531" w:left="2098" w:header="851" w:footer="992" w:gutter="0"/>
          <w:cols w:space="720"/>
          <w:docGrid w:type="lines" w:linePitch="312"/>
        </w:sectPr>
      </w:pPr>
    </w:p>
    <w:p w:rsidR="008748B0" w:rsidRDefault="00AF76A2">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8748B0" w:rsidRDefault="00AF76A2" w:rsidP="00B94B71">
      <w:pPr>
        <w:widowControl/>
        <w:ind w:firstLineChars="200" w:firstLine="600"/>
        <w:jc w:val="left"/>
        <w:outlineLvl w:val="1"/>
        <w:rPr>
          <w:rFonts w:ascii="宋体" w:eastAsia="黑体"/>
          <w:sz w:val="30"/>
          <w:szCs w:val="30"/>
        </w:rPr>
      </w:pPr>
      <w:r>
        <w:rPr>
          <w:rFonts w:ascii="宋体" w:eastAsia="黑体"/>
          <w:sz w:val="30"/>
          <w:szCs w:val="30"/>
        </w:rPr>
        <w:t>一、主要职责</w:t>
      </w:r>
    </w:p>
    <w:p w:rsidR="008748B0" w:rsidRDefault="00AF76A2" w:rsidP="00B94B71">
      <w:pPr>
        <w:widowControl/>
        <w:ind w:firstLineChars="200" w:firstLine="600"/>
        <w:jc w:val="left"/>
        <w:rPr>
          <w:rFonts w:ascii="Times New Roman" w:eastAsia="仿宋_GB2312"/>
          <w:sz w:val="30"/>
          <w:szCs w:val="30"/>
        </w:rPr>
      </w:pPr>
      <w:r>
        <w:rPr>
          <w:rFonts w:ascii="Times New Roman" w:eastAsia="仿宋_GB2312"/>
          <w:sz w:val="30"/>
          <w:szCs w:val="30"/>
        </w:rPr>
        <w:t>为市容环境提供管理保障。辖区内主要道两侧市容环境管理，辖区内广告及夜景灯光的管理，维护辖区内市容美观、保护成果、对擅自改变街道色调、花饰、拆改结构等违章行为查处。</w:t>
      </w:r>
    </w:p>
    <w:p w:rsidR="008748B0" w:rsidRDefault="00AF76A2" w:rsidP="00B94B71">
      <w:pPr>
        <w:widowControl/>
        <w:ind w:firstLineChars="200" w:firstLine="600"/>
        <w:jc w:val="left"/>
        <w:outlineLvl w:val="1"/>
        <w:rPr>
          <w:rFonts w:ascii="宋体" w:eastAsia="黑体"/>
          <w:sz w:val="30"/>
          <w:szCs w:val="30"/>
        </w:rPr>
      </w:pPr>
      <w:r>
        <w:rPr>
          <w:rFonts w:ascii="宋体" w:eastAsia="黑体"/>
          <w:sz w:val="30"/>
          <w:szCs w:val="30"/>
        </w:rPr>
        <w:t>二、机构设置</w:t>
      </w:r>
    </w:p>
    <w:p w:rsidR="008748B0" w:rsidRDefault="00AF76A2" w:rsidP="00B94B71">
      <w:pPr>
        <w:widowControl/>
        <w:ind w:firstLineChars="200" w:firstLine="600"/>
        <w:jc w:val="left"/>
        <w:rPr>
          <w:rFonts w:ascii="Times New Roman" w:eastAsia="仿宋_GB2312"/>
          <w:sz w:val="30"/>
          <w:szCs w:val="30"/>
        </w:rPr>
      </w:pPr>
      <w:r>
        <w:rPr>
          <w:rFonts w:ascii="Times New Roman" w:eastAsia="仿宋_GB2312"/>
          <w:sz w:val="30"/>
          <w:szCs w:val="30"/>
        </w:rPr>
        <w:t>天津市东丽区城管中队内设</w:t>
      </w:r>
      <w:r>
        <w:rPr>
          <w:rFonts w:ascii="Times New Roman" w:eastAsia="仿宋_GB2312"/>
          <w:sz w:val="30"/>
          <w:szCs w:val="30"/>
        </w:rPr>
        <w:t>1</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个预算单位。纳入天津市东丽区城管中队</w:t>
      </w:r>
      <w:r>
        <w:rPr>
          <w:rFonts w:ascii="Times New Roman" w:eastAsia="仿宋_GB2312"/>
          <w:sz w:val="30"/>
          <w:szCs w:val="30"/>
        </w:rPr>
        <w:t>2024</w:t>
      </w:r>
      <w:r>
        <w:rPr>
          <w:rFonts w:ascii="Times New Roman" w:eastAsia="仿宋_GB2312"/>
          <w:sz w:val="30"/>
          <w:szCs w:val="30"/>
        </w:rPr>
        <w:t>年度部门决算编制范围的单位包括：</w:t>
      </w:r>
    </w:p>
    <w:p w:rsidR="008748B0" w:rsidRDefault="008748B0" w:rsidP="00B94B71">
      <w:pPr>
        <w:widowControl/>
        <w:ind w:firstLineChars="200" w:firstLine="600"/>
        <w:jc w:val="left"/>
        <w:rPr>
          <w:rFonts w:ascii="Times New Roman" w:eastAsia="仿宋_GB2312"/>
          <w:sz w:val="30"/>
          <w:szCs w:val="30"/>
        </w:rPr>
      </w:pPr>
    </w:p>
    <w:p w:rsidR="008748B0" w:rsidRDefault="00AF76A2" w:rsidP="00B94B71">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天津市东丽区城管中队</w:t>
      </w:r>
    </w:p>
    <w:p w:rsidR="008748B0" w:rsidRDefault="008748B0">
      <w:pPr>
        <w:widowControl/>
        <w:spacing w:line="600" w:lineRule="exact"/>
        <w:jc w:val="left"/>
        <w:rPr>
          <w:rFonts w:asciiTheme="minorEastAsia" w:hAnsiTheme="minorEastAsia" w:cstheme="minorEastAsia"/>
          <w:sz w:val="22"/>
          <w:szCs w:val="22"/>
        </w:rPr>
        <w:sectPr w:rsidR="008748B0">
          <w:headerReference w:type="default" r:id="rId8"/>
          <w:footerReference w:type="default" r:id="rId9"/>
          <w:pgSz w:w="11906" w:h="16838"/>
          <w:pgMar w:top="1531" w:right="1984" w:bottom="1531" w:left="2098" w:header="851" w:footer="992" w:gutter="0"/>
          <w:pgNumType w:start="1"/>
          <w:cols w:space="720"/>
          <w:docGrid w:type="lines" w:linePitch="312"/>
        </w:sectPr>
      </w:pPr>
    </w:p>
    <w:p w:rsidR="008748B0" w:rsidRDefault="00AF76A2">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8748B0" w:rsidRDefault="00AF76A2">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8748B0">
        <w:trPr>
          <w:trHeight w:val="320"/>
        </w:trPr>
        <w:tc>
          <w:tcPr>
            <w:tcW w:w="3912" w:type="pct"/>
            <w:gridSpan w:val="3"/>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部门（单位）：天津市东丽区城管中队</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8748B0" w:rsidRDefault="00AF76A2">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8748B0">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19.84</w:t>
            </w: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515,255.38</w:t>
            </w: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867,855.56</w:t>
            </w: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868,114.22</w:t>
            </w: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258.66</w:t>
            </w: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r>
      <w:tr w:rsidR="008748B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868,114.22</w:t>
            </w:r>
          </w:p>
        </w:tc>
        <w:tc>
          <w:tcPr>
            <w:tcW w:w="128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868,114.22</w:t>
            </w:r>
          </w:p>
        </w:tc>
      </w:tr>
      <w:tr w:rsidR="008748B0">
        <w:trPr>
          <w:trHeight w:val="308"/>
        </w:trPr>
        <w:tc>
          <w:tcPr>
            <w:tcW w:w="5000" w:type="pct"/>
            <w:gridSpan w:val="4"/>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8748B0">
        <w:trPr>
          <w:trHeight w:val="320"/>
        </w:trPr>
        <w:tc>
          <w:tcPr>
            <w:tcW w:w="4548" w:type="pct"/>
            <w:gridSpan w:val="9"/>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部门（单位）：天津市东丽区城管中队</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8748B0">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8748B0">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15"/>
                <w:szCs w:val="15"/>
              </w:rPr>
            </w:pPr>
          </w:p>
        </w:tc>
      </w:tr>
      <w:tr w:rsidR="008748B0">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867,855.56</w:t>
            </w:r>
          </w:p>
        </w:tc>
        <w:tc>
          <w:tcPr>
            <w:tcW w:w="446" w:type="pct"/>
            <w:tcBorders>
              <w:top w:val="nil"/>
              <w:left w:val="nil"/>
              <w:bottom w:val="nil"/>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867,835.72</w:t>
            </w:r>
          </w:p>
        </w:tc>
        <w:tc>
          <w:tcPr>
            <w:tcW w:w="464" w:type="pct"/>
            <w:tcBorders>
              <w:top w:val="nil"/>
              <w:left w:val="nil"/>
              <w:bottom w:val="nil"/>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19.84</w:t>
            </w: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94,937.28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94,937.28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94,937.28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94,937.28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63,291.52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63,291.52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31,645.76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31,645.76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39,557.56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39,557.56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39,557.56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39,557.56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39,557.56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39,557.56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514,996.72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514,976.88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19.84</w:t>
            </w: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514,996.72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514,976.88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19.84</w:t>
            </w: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城乡社区规划与管理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514,996.72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514,976.88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19.84</w:t>
            </w: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218,364.00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218,364.00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218,364.00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218,364.00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218,364.00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218,364.00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5"/>
                <w:szCs w:val="15"/>
              </w:rPr>
            </w:pPr>
          </w:p>
        </w:tc>
      </w:tr>
      <w:tr w:rsidR="008748B0">
        <w:trPr>
          <w:trHeight w:val="308"/>
        </w:trPr>
        <w:tc>
          <w:tcPr>
            <w:tcW w:w="5000" w:type="pct"/>
            <w:gridSpan w:val="10"/>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8748B0">
        <w:trPr>
          <w:trHeight w:val="320"/>
        </w:trPr>
        <w:tc>
          <w:tcPr>
            <w:tcW w:w="2153" w:type="pct"/>
            <w:gridSpan w:val="9"/>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部门（单位）：天津市东丽区城管中队</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8748B0" w:rsidRDefault="008748B0">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8748B0">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8748B0">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8748B0">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8748B0" w:rsidRDefault="008748B0">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8748B0">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868,114.22</w:t>
            </w:r>
          </w:p>
        </w:tc>
        <w:tc>
          <w:tcPr>
            <w:tcW w:w="21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867,855.56</w:t>
            </w:r>
          </w:p>
        </w:tc>
        <w:tc>
          <w:tcPr>
            <w:tcW w:w="23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867,835.72</w:t>
            </w:r>
          </w:p>
        </w:tc>
        <w:tc>
          <w:tcPr>
            <w:tcW w:w="218"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19.84</w:t>
            </w:r>
          </w:p>
        </w:tc>
        <w:tc>
          <w:tcPr>
            <w:tcW w:w="625" w:type="dxa"/>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258.66</w:t>
            </w:r>
          </w:p>
        </w:tc>
        <w:tc>
          <w:tcPr>
            <w:tcW w:w="700"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258.66</w:t>
            </w:r>
          </w:p>
        </w:tc>
        <w:tc>
          <w:tcPr>
            <w:tcW w:w="22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258.66</w:t>
            </w:r>
          </w:p>
        </w:tc>
      </w:tr>
      <w:tr w:rsidR="008748B0">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326201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天津市东丽区城管中队</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868,114.22</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867,855.56</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867,835.72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19.84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258.66</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258.66</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258.66</w:t>
            </w:r>
          </w:p>
        </w:tc>
      </w:tr>
      <w:tr w:rsidR="008748B0">
        <w:trPr>
          <w:trHeight w:val="308"/>
        </w:trPr>
        <w:tc>
          <w:tcPr>
            <w:tcW w:w="5000" w:type="pct"/>
            <w:gridSpan w:val="22"/>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8748B0">
        <w:trPr>
          <w:trHeight w:val="320"/>
        </w:trPr>
        <w:tc>
          <w:tcPr>
            <w:tcW w:w="4432" w:type="pct"/>
            <w:gridSpan w:val="7"/>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部门（单位）：天津市东丽区城管中队</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8748B0" w:rsidRDefault="00AF76A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8748B0">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8748B0">
        <w:trPr>
          <w:trHeight w:val="308"/>
        </w:trPr>
        <w:tc>
          <w:tcPr>
            <w:tcW w:w="473" w:type="pct"/>
            <w:tcBorders>
              <w:top w:val="nil"/>
              <w:left w:val="single" w:sz="4" w:space="0" w:color="000000"/>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r>
      <w:tr w:rsidR="008748B0">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868,114.22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868,114.22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63,291.52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63,291.52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31,645.76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31,645.76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515,255.38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515,255.38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515,255.38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515,255.38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515,255.38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515,255.38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5000" w:type="pct"/>
            <w:gridSpan w:val="8"/>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8748B0">
        <w:trPr>
          <w:trHeight w:val="320"/>
        </w:trPr>
        <w:tc>
          <w:tcPr>
            <w:tcW w:w="4294" w:type="pct"/>
            <w:gridSpan w:val="6"/>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部门（单位）：天津市东丽区城管中队</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8748B0" w:rsidRDefault="00AF76A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8748B0">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4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4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64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4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64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r>
      <w:tr w:rsidR="008748B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839"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64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65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462"/>
        </w:trPr>
        <w:tc>
          <w:tcPr>
            <w:tcW w:w="5000" w:type="pct"/>
            <w:gridSpan w:val="7"/>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8748B0">
        <w:trPr>
          <w:trHeight w:val="320"/>
        </w:trPr>
        <w:tc>
          <w:tcPr>
            <w:tcW w:w="4402" w:type="pct"/>
            <w:gridSpan w:val="6"/>
            <w:tcBorders>
              <w:top w:val="nil"/>
              <w:left w:val="nil"/>
              <w:bottom w:val="nil"/>
              <w:right w:val="nil"/>
            </w:tcBorders>
            <w:shd w:val="clear" w:color="auto" w:fill="auto"/>
            <w:noWrap/>
            <w:vAlign w:val="bottom"/>
          </w:tcPr>
          <w:p w:rsidR="008748B0" w:rsidRDefault="00AF76A2">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天津市东丽区城管中队</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8748B0" w:rsidRDefault="00AF76A2">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8748B0">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8748B0">
        <w:trPr>
          <w:trHeight w:val="308"/>
        </w:trPr>
        <w:tc>
          <w:tcPr>
            <w:tcW w:w="471" w:type="pct"/>
            <w:tcBorders>
              <w:top w:val="nil"/>
              <w:left w:val="single" w:sz="4" w:space="0" w:color="000000"/>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r>
      <w:tr w:rsidR="008748B0">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867,835.72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846,895.58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20,940.14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94,937.28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63,291.52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63,291.52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63,291.52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31,645.76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31,645.76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31,645.76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494,036.74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20,940.14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494,036.74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20,940.14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城乡社区规划与管理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514,976.88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494,036.74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20,940.14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5000" w:type="pct"/>
            <w:gridSpan w:val="7"/>
            <w:tcBorders>
              <w:top w:val="nil"/>
              <w:left w:val="nil"/>
              <w:bottom w:val="nil"/>
              <w:right w:val="nil"/>
            </w:tcBorders>
            <w:shd w:val="clear" w:color="auto" w:fill="auto"/>
            <w:noWrap/>
            <w:vAlign w:val="center"/>
          </w:tcPr>
          <w:p w:rsidR="008748B0" w:rsidRDefault="00AF76A2">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8748B0">
        <w:trPr>
          <w:trHeight w:val="320"/>
        </w:trPr>
        <w:tc>
          <w:tcPr>
            <w:tcW w:w="4382" w:type="pct"/>
            <w:gridSpan w:val="8"/>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部门（单位）：天津市东丽区城管中队</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8748B0" w:rsidRDefault="00AF76A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8748B0">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829,028.38</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20,940.14</w:t>
            </w: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192,834.00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14,940.14</w:t>
            </w: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84,774.00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195,199.00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63,291.52</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31,645.76</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5,850.00</w:t>
            </w: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39,557.56</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3,362.54</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218,364.00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17,867.20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150.00</w:t>
            </w: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11,807.20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60.00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6,000.00</w:t>
            </w: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8748B0" w:rsidRDefault="008748B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8748B0" w:rsidRDefault="008748B0">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846,895.58</w:t>
            </w:r>
          </w:p>
        </w:tc>
        <w:tc>
          <w:tcPr>
            <w:tcW w:w="2710" w:type="pct"/>
            <w:gridSpan w:val="5"/>
            <w:tcBorders>
              <w:top w:val="nil"/>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8748B0" w:rsidRDefault="00AF76A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20,940.14</w:t>
            </w:r>
          </w:p>
        </w:tc>
      </w:tr>
      <w:tr w:rsidR="008748B0">
        <w:trPr>
          <w:trHeight w:val="308"/>
        </w:trPr>
        <w:tc>
          <w:tcPr>
            <w:tcW w:w="5000" w:type="pct"/>
            <w:gridSpan w:val="9"/>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8748B0">
        <w:trPr>
          <w:trHeight w:val="320"/>
        </w:trPr>
        <w:tc>
          <w:tcPr>
            <w:tcW w:w="4482" w:type="pct"/>
            <w:gridSpan w:val="7"/>
            <w:tcBorders>
              <w:top w:val="nil"/>
              <w:left w:val="nil"/>
              <w:bottom w:val="nil"/>
              <w:right w:val="nil"/>
            </w:tcBorders>
            <w:shd w:val="clear" w:color="auto" w:fill="auto"/>
            <w:noWrap/>
            <w:vAlign w:val="bottom"/>
          </w:tcPr>
          <w:p w:rsidR="008748B0" w:rsidRDefault="00AF76A2">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天津市东丽区城管中队</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8748B0" w:rsidRDefault="00AF76A2">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8748B0">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8748B0">
        <w:trPr>
          <w:trHeight w:val="308"/>
        </w:trPr>
        <w:tc>
          <w:tcPr>
            <w:tcW w:w="457" w:type="pct"/>
            <w:tcBorders>
              <w:top w:val="nil"/>
              <w:left w:val="single" w:sz="4" w:space="0" w:color="000000"/>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r>
      <w:tr w:rsidR="008748B0">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5000" w:type="pct"/>
            <w:gridSpan w:val="8"/>
            <w:tcBorders>
              <w:top w:val="nil"/>
              <w:left w:val="nil"/>
              <w:bottom w:val="nil"/>
              <w:right w:val="nil"/>
            </w:tcBorders>
            <w:shd w:val="clear" w:color="auto" w:fill="auto"/>
            <w:noWrap/>
            <w:vAlign w:val="center"/>
          </w:tcPr>
          <w:p w:rsidR="008748B0" w:rsidRDefault="00AF76A2">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天津市东丽区城管中队</w:t>
      </w:r>
      <w:r>
        <w:rPr>
          <w:rFonts w:ascii="宋体" w:eastAsia="仿宋_GB2312"/>
          <w:sz w:val="30"/>
          <w:szCs w:val="30"/>
        </w:rPr>
        <w:t>2024</w:t>
      </w:r>
      <w:r>
        <w:rPr>
          <w:rFonts w:ascii="宋体" w:eastAsia="仿宋_GB2312"/>
          <w:sz w:val="30"/>
          <w:szCs w:val="30"/>
        </w:rPr>
        <w:t>年政府性基金预算财政拨款收入支出决算表为空表。</w:t>
      </w:r>
    </w:p>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8748B0">
        <w:trPr>
          <w:trHeight w:val="320"/>
        </w:trPr>
        <w:tc>
          <w:tcPr>
            <w:tcW w:w="4487" w:type="pct"/>
            <w:gridSpan w:val="7"/>
            <w:tcBorders>
              <w:top w:val="nil"/>
              <w:left w:val="nil"/>
              <w:bottom w:val="nil"/>
              <w:right w:val="nil"/>
            </w:tcBorders>
            <w:shd w:val="clear" w:color="auto" w:fill="auto"/>
            <w:noWrap/>
            <w:vAlign w:val="bottom"/>
          </w:tcPr>
          <w:p w:rsidR="008748B0" w:rsidRDefault="00AF76A2">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天津市东丽区城管中队</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8748B0" w:rsidRDefault="00AF76A2">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8748B0">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8748B0">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r>
      <w:tr w:rsidR="008748B0">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5000" w:type="pct"/>
            <w:gridSpan w:val="8"/>
            <w:tcBorders>
              <w:top w:val="nil"/>
              <w:left w:val="nil"/>
              <w:bottom w:val="nil"/>
              <w:right w:val="nil"/>
            </w:tcBorders>
            <w:shd w:val="clear" w:color="auto" w:fill="auto"/>
            <w:noWrap/>
            <w:vAlign w:val="center"/>
          </w:tcPr>
          <w:p w:rsidR="008748B0" w:rsidRDefault="00AF76A2">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天津市东丽区城管中队</w:t>
      </w:r>
      <w:r>
        <w:rPr>
          <w:rFonts w:ascii="宋体" w:eastAsia="仿宋_GB2312"/>
          <w:sz w:val="30"/>
          <w:szCs w:val="30"/>
        </w:rPr>
        <w:t>2024</w:t>
      </w:r>
      <w:r>
        <w:rPr>
          <w:rFonts w:ascii="宋体" w:eastAsia="仿宋_GB2312"/>
          <w:sz w:val="30"/>
          <w:szCs w:val="30"/>
        </w:rPr>
        <w:t>年国有资本经营预算财政拨款收入支出决算表为空表。</w:t>
      </w:r>
    </w:p>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8748B0">
        <w:trPr>
          <w:trHeight w:val="320"/>
        </w:trPr>
        <w:tc>
          <w:tcPr>
            <w:tcW w:w="11492" w:type="dxa"/>
            <w:gridSpan w:val="5"/>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部门（单位）：天津市东丽区城管中队</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8748B0" w:rsidRDefault="00AF76A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8748B0">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8748B0">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8748B0" w:rsidRDefault="008748B0">
            <w:pPr>
              <w:jc w:val="center"/>
              <w:rPr>
                <w:rFonts w:asciiTheme="minorEastAsia" w:hAnsiTheme="minorEastAsia" w:cstheme="minorEastAsia"/>
                <w:color w:val="000000"/>
                <w:sz w:val="22"/>
                <w:szCs w:val="22"/>
              </w:rPr>
            </w:pPr>
          </w:p>
        </w:tc>
      </w:tr>
      <w:tr w:rsidR="008748B0">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13638" w:type="dxa"/>
            <w:gridSpan w:val="6"/>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8748B0" w:rsidRDefault="00AF76A2" w:rsidP="00B94B71">
      <w:pPr>
        <w:widowControl/>
        <w:ind w:firstLineChars="200" w:firstLine="600"/>
        <w:jc w:val="left"/>
        <w:rPr>
          <w:rFonts w:ascii="宋体" w:eastAsia="仿宋_GB2312"/>
          <w:sz w:val="30"/>
          <w:szCs w:val="30"/>
        </w:rPr>
      </w:pPr>
      <w:r>
        <w:rPr>
          <w:rFonts w:ascii="宋体" w:eastAsia="仿宋_GB2312"/>
          <w:sz w:val="30"/>
          <w:szCs w:val="30"/>
        </w:rPr>
        <w:t>天津市东丽区城管中队</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8748B0" w:rsidRDefault="00AF76A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8748B0" w:rsidRDefault="00AF76A2">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8748B0">
        <w:trPr>
          <w:trHeight w:val="320"/>
        </w:trPr>
        <w:tc>
          <w:tcPr>
            <w:tcW w:w="4431" w:type="pct"/>
            <w:gridSpan w:val="7"/>
            <w:tcBorders>
              <w:top w:val="nil"/>
              <w:left w:val="nil"/>
              <w:bottom w:val="nil"/>
              <w:right w:val="nil"/>
            </w:tcBorders>
            <w:shd w:val="clear" w:color="auto" w:fill="auto"/>
            <w:noWrap/>
            <w:vAlign w:val="bottom"/>
          </w:tcPr>
          <w:p w:rsidR="008748B0" w:rsidRDefault="00AF76A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部门（单位）：天津市东丽区城管中队</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8748B0" w:rsidRDefault="00AF76A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8748B0">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8748B0">
        <w:trPr>
          <w:trHeight w:val="308"/>
        </w:trPr>
        <w:tc>
          <w:tcPr>
            <w:tcW w:w="397" w:type="pct"/>
            <w:tcBorders>
              <w:top w:val="nil"/>
              <w:left w:val="single" w:sz="4" w:space="0" w:color="000000"/>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8748B0">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48B0" w:rsidRDefault="00AF76A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48B0" w:rsidRDefault="008748B0">
            <w:pPr>
              <w:widowControl/>
              <w:jc w:val="right"/>
              <w:textAlignment w:val="center"/>
              <w:rPr>
                <w:rFonts w:asciiTheme="minorEastAsia" w:hAnsiTheme="minorEastAsia" w:cstheme="minorEastAsia"/>
                <w:color w:val="000000"/>
                <w:sz w:val="22"/>
                <w:szCs w:val="22"/>
              </w:rPr>
            </w:pPr>
          </w:p>
        </w:tc>
      </w:tr>
      <w:tr w:rsidR="008748B0">
        <w:trPr>
          <w:trHeight w:val="308"/>
        </w:trPr>
        <w:tc>
          <w:tcPr>
            <w:tcW w:w="5000" w:type="pct"/>
            <w:gridSpan w:val="8"/>
            <w:tcBorders>
              <w:top w:val="nil"/>
              <w:left w:val="nil"/>
              <w:bottom w:val="nil"/>
              <w:right w:val="nil"/>
            </w:tcBorders>
            <w:shd w:val="clear" w:color="auto" w:fill="auto"/>
            <w:noWrap/>
            <w:vAlign w:val="center"/>
          </w:tcPr>
          <w:p w:rsidR="008748B0" w:rsidRDefault="00AF76A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8748B0" w:rsidRDefault="00AF76A2" w:rsidP="00B94B71">
      <w:pPr>
        <w:widowControl/>
        <w:ind w:firstLineChars="200" w:firstLine="640"/>
        <w:jc w:val="left"/>
        <w:rPr>
          <w:rFonts w:ascii="宋体" w:eastAsia="仿宋_GB2312"/>
          <w:sz w:val="32"/>
          <w:szCs w:val="32"/>
        </w:rPr>
      </w:pPr>
      <w:r>
        <w:rPr>
          <w:rFonts w:ascii="宋体" w:eastAsia="仿宋_GB2312"/>
          <w:sz w:val="32"/>
          <w:szCs w:val="32"/>
        </w:rPr>
        <w:t>天津市东丽区城管中队</w:t>
      </w:r>
      <w:r>
        <w:rPr>
          <w:rFonts w:ascii="宋体" w:eastAsia="仿宋_GB2312"/>
          <w:sz w:val="32"/>
          <w:szCs w:val="32"/>
        </w:rPr>
        <w:t>2024</w:t>
      </w:r>
      <w:r>
        <w:rPr>
          <w:rFonts w:ascii="宋体" w:eastAsia="仿宋_GB2312"/>
          <w:sz w:val="32"/>
          <w:szCs w:val="32"/>
        </w:rPr>
        <w:t>年项目支出决算表为空表。</w:t>
      </w:r>
    </w:p>
    <w:p w:rsidR="008748B0" w:rsidRDefault="008748B0">
      <w:pPr>
        <w:rPr>
          <w:rFonts w:asciiTheme="minorEastAsia" w:hAnsiTheme="minorEastAsia" w:cstheme="minorEastAsia"/>
          <w:sz w:val="22"/>
          <w:szCs w:val="22"/>
        </w:rPr>
      </w:pPr>
    </w:p>
    <w:p w:rsidR="008748B0" w:rsidRDefault="008748B0">
      <w:pPr>
        <w:rPr>
          <w:rFonts w:asciiTheme="minorEastAsia" w:hAnsiTheme="minorEastAsia" w:cstheme="minorEastAsia"/>
          <w:sz w:val="22"/>
          <w:szCs w:val="22"/>
        </w:rPr>
        <w:sectPr w:rsidR="008748B0">
          <w:footerReference w:type="default" r:id="rId10"/>
          <w:pgSz w:w="16838" w:h="11906" w:orient="landscape"/>
          <w:pgMar w:top="2098" w:right="1531" w:bottom="1984" w:left="1531" w:header="851" w:footer="992" w:gutter="0"/>
          <w:cols w:space="720"/>
          <w:docGrid w:type="lines" w:linePitch="312"/>
        </w:sectPr>
      </w:pPr>
    </w:p>
    <w:p w:rsidR="008748B0" w:rsidRDefault="00AF76A2">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868,114.22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1,215,594.54</w:t>
      </w:r>
      <w:r>
        <w:rPr>
          <w:rFonts w:ascii="Times New Roman" w:eastAsia="仿宋_GB2312"/>
          <w:sz w:val="30"/>
          <w:szCs w:val="30"/>
        </w:rPr>
        <w:t>元，下降</w:t>
      </w:r>
      <w:r>
        <w:rPr>
          <w:rFonts w:ascii="Times New Roman" w:eastAsia="仿宋_GB2312"/>
          <w:sz w:val="30"/>
          <w:szCs w:val="30"/>
        </w:rPr>
        <w:t>58.338%</w:t>
      </w:r>
      <w:r>
        <w:rPr>
          <w:rFonts w:ascii="Times New Roman" w:eastAsia="仿宋_GB2312"/>
          <w:sz w:val="30"/>
          <w:szCs w:val="30"/>
        </w:rPr>
        <w:t>，主要原因是机构改革，单位撤销。</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w:t>
      </w:r>
      <w:r>
        <w:rPr>
          <w:rFonts w:ascii="Times New Roman" w:eastAsia="仿宋_GB2312"/>
          <w:sz w:val="30"/>
          <w:szCs w:val="30"/>
        </w:rPr>
        <w:t>一般公共预算财政拨款收入</w:t>
      </w:r>
      <w:r>
        <w:rPr>
          <w:rFonts w:ascii="Times New Roman" w:eastAsia="仿宋_GB2312"/>
          <w:sz w:val="30"/>
          <w:szCs w:val="30"/>
        </w:rPr>
        <w:t>867,835.72</w:t>
      </w:r>
      <w:r>
        <w:rPr>
          <w:rFonts w:ascii="Times New Roman" w:eastAsia="仿宋_GB2312"/>
          <w:sz w:val="30"/>
          <w:szCs w:val="30"/>
        </w:rPr>
        <w:t>元、其他收入</w:t>
      </w:r>
      <w:r>
        <w:rPr>
          <w:rFonts w:ascii="Times New Roman" w:eastAsia="仿宋_GB2312"/>
          <w:sz w:val="30"/>
          <w:szCs w:val="30"/>
        </w:rPr>
        <w:t>19.84</w:t>
      </w:r>
      <w:r>
        <w:rPr>
          <w:rFonts w:ascii="Times New Roman" w:eastAsia="仿宋_GB2312"/>
          <w:sz w:val="30"/>
          <w:szCs w:val="30"/>
        </w:rPr>
        <w:t>元。</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94,937.28</w:t>
      </w:r>
      <w:r>
        <w:rPr>
          <w:rFonts w:ascii="Times New Roman" w:eastAsia="仿宋_GB2312"/>
          <w:sz w:val="30"/>
          <w:szCs w:val="30"/>
        </w:rPr>
        <w:t>元、卫生健康支出</w:t>
      </w:r>
      <w:r>
        <w:rPr>
          <w:rFonts w:ascii="Times New Roman" w:eastAsia="仿宋_GB2312"/>
          <w:sz w:val="30"/>
          <w:szCs w:val="30"/>
        </w:rPr>
        <w:t>39,557.56</w:t>
      </w:r>
      <w:r>
        <w:rPr>
          <w:rFonts w:ascii="Times New Roman" w:eastAsia="仿宋_GB2312"/>
          <w:sz w:val="30"/>
          <w:szCs w:val="30"/>
        </w:rPr>
        <w:t>元、城乡社区支出</w:t>
      </w:r>
      <w:r>
        <w:rPr>
          <w:rFonts w:ascii="Times New Roman" w:eastAsia="仿宋_GB2312"/>
          <w:sz w:val="30"/>
          <w:szCs w:val="30"/>
        </w:rPr>
        <w:t>515,255.38</w:t>
      </w:r>
      <w:r>
        <w:rPr>
          <w:rFonts w:ascii="Times New Roman" w:eastAsia="仿宋_GB2312"/>
          <w:sz w:val="30"/>
          <w:szCs w:val="30"/>
        </w:rPr>
        <w:t>元、住房保障支出</w:t>
      </w:r>
      <w:r>
        <w:rPr>
          <w:rFonts w:ascii="Times New Roman" w:eastAsia="仿宋_GB2312"/>
          <w:sz w:val="30"/>
          <w:szCs w:val="30"/>
        </w:rPr>
        <w:t>218,364.00</w:t>
      </w:r>
      <w:r>
        <w:rPr>
          <w:rFonts w:ascii="Times New Roman" w:eastAsia="仿宋_GB2312"/>
          <w:sz w:val="30"/>
          <w:szCs w:val="30"/>
        </w:rPr>
        <w:t>元。</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867,855.56</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1,215,240.44</w:t>
      </w:r>
      <w:r>
        <w:rPr>
          <w:rFonts w:ascii="Times New Roman" w:eastAsia="仿宋_GB2312"/>
          <w:sz w:val="30"/>
          <w:szCs w:val="30"/>
        </w:rPr>
        <w:t>元，主要原因是机构改革，单位撤销。其中：</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867,835.72</w:t>
      </w:r>
      <w:r>
        <w:rPr>
          <w:rFonts w:ascii="Times New Roman" w:eastAsia="仿宋_GB2312"/>
          <w:sz w:val="30"/>
          <w:szCs w:val="30"/>
        </w:rPr>
        <w:t>元，占</w:t>
      </w:r>
      <w:r>
        <w:rPr>
          <w:rFonts w:ascii="Times New Roman" w:eastAsia="仿宋_GB2312"/>
          <w:sz w:val="30"/>
          <w:szCs w:val="30"/>
        </w:rPr>
        <w:t>99.998%</w:t>
      </w:r>
      <w:r>
        <w:rPr>
          <w:rFonts w:ascii="Times New Roman" w:eastAsia="仿宋_GB2312"/>
          <w:sz w:val="30"/>
          <w:szCs w:val="30"/>
        </w:rPr>
        <w:t>；其他收入</w:t>
      </w:r>
      <w:r>
        <w:rPr>
          <w:rFonts w:ascii="Times New Roman" w:eastAsia="仿宋_GB2312"/>
          <w:sz w:val="30"/>
          <w:szCs w:val="30"/>
        </w:rPr>
        <w:t>19.84</w:t>
      </w:r>
      <w:r>
        <w:rPr>
          <w:rFonts w:ascii="Times New Roman" w:eastAsia="仿宋_GB2312"/>
          <w:sz w:val="30"/>
          <w:szCs w:val="30"/>
        </w:rPr>
        <w:t>元，占</w:t>
      </w:r>
      <w:r>
        <w:rPr>
          <w:rFonts w:ascii="Times New Roman" w:eastAsia="仿宋_GB2312"/>
          <w:sz w:val="30"/>
          <w:szCs w:val="30"/>
        </w:rPr>
        <w:t>0.002%</w:t>
      </w:r>
      <w:r>
        <w:rPr>
          <w:rFonts w:ascii="Times New Roman" w:eastAsia="仿宋_GB2312"/>
          <w:sz w:val="30"/>
          <w:szCs w:val="30"/>
        </w:rPr>
        <w:t>。</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天津市东丽区城管中队</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868,114.22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1,215,594.54</w:t>
      </w:r>
      <w:r>
        <w:rPr>
          <w:rFonts w:ascii="Times New Roman" w:eastAsia="仿宋_GB2312"/>
          <w:sz w:val="30"/>
          <w:szCs w:val="30"/>
        </w:rPr>
        <w:t>元，主要原因是机构改革，单位撤销。其中：</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868,114.22</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867,835.72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1,215,195.74</w:t>
      </w:r>
      <w:r>
        <w:rPr>
          <w:rFonts w:ascii="Times New Roman" w:eastAsia="仿宋_GB2312"/>
          <w:sz w:val="30"/>
          <w:szCs w:val="30"/>
        </w:rPr>
        <w:t>元，下降</w:t>
      </w:r>
      <w:r>
        <w:rPr>
          <w:rFonts w:ascii="Times New Roman" w:eastAsia="仿宋_GB2312"/>
          <w:sz w:val="30"/>
          <w:szCs w:val="30"/>
        </w:rPr>
        <w:t>58.338%</w:t>
      </w:r>
      <w:r>
        <w:rPr>
          <w:rFonts w:ascii="Times New Roman" w:eastAsia="仿宋_GB2312"/>
          <w:sz w:val="30"/>
          <w:szCs w:val="30"/>
        </w:rPr>
        <w:t>，主要原因是机构改革，单位撤销。</w:t>
      </w:r>
    </w:p>
    <w:p w:rsidR="008748B0" w:rsidRDefault="00AF76A2" w:rsidP="00B94B71">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867,</w:t>
      </w:r>
      <w:r>
        <w:rPr>
          <w:rFonts w:ascii="Times New Roman" w:eastAsia="仿宋_GB2312"/>
          <w:sz w:val="30"/>
          <w:szCs w:val="30"/>
        </w:rPr>
        <w:t>835.72</w:t>
      </w:r>
      <w:r>
        <w:rPr>
          <w:rFonts w:ascii="Times New Roman" w:eastAsia="仿宋_GB2312"/>
          <w:sz w:val="30"/>
          <w:szCs w:val="30"/>
        </w:rPr>
        <w:t>元。</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94,937.28</w:t>
      </w:r>
      <w:r>
        <w:rPr>
          <w:rFonts w:ascii="Times New Roman" w:eastAsia="仿宋_GB2312"/>
          <w:sz w:val="30"/>
          <w:szCs w:val="30"/>
        </w:rPr>
        <w:t>元、卫生健康支出</w:t>
      </w:r>
      <w:r>
        <w:rPr>
          <w:rFonts w:ascii="Times New Roman" w:eastAsia="仿宋_GB2312"/>
          <w:sz w:val="30"/>
          <w:szCs w:val="30"/>
        </w:rPr>
        <w:t>39,557.56</w:t>
      </w:r>
      <w:r>
        <w:rPr>
          <w:rFonts w:ascii="Times New Roman" w:eastAsia="仿宋_GB2312"/>
          <w:sz w:val="30"/>
          <w:szCs w:val="30"/>
        </w:rPr>
        <w:t>元、城乡社区支出</w:t>
      </w:r>
      <w:r>
        <w:rPr>
          <w:rFonts w:ascii="Times New Roman" w:eastAsia="仿宋_GB2312"/>
          <w:sz w:val="30"/>
          <w:szCs w:val="30"/>
        </w:rPr>
        <w:t>514,976.88</w:t>
      </w:r>
      <w:r>
        <w:rPr>
          <w:rFonts w:ascii="Times New Roman" w:eastAsia="仿宋_GB2312"/>
          <w:sz w:val="30"/>
          <w:szCs w:val="30"/>
        </w:rPr>
        <w:t>元、住房保障支出</w:t>
      </w:r>
      <w:r>
        <w:rPr>
          <w:rFonts w:ascii="Times New Roman" w:eastAsia="仿宋_GB2312"/>
          <w:sz w:val="30"/>
          <w:szCs w:val="30"/>
        </w:rPr>
        <w:t>218,364.00</w:t>
      </w:r>
      <w:r>
        <w:rPr>
          <w:rFonts w:ascii="Times New Roman" w:eastAsia="仿宋_GB2312"/>
          <w:sz w:val="30"/>
          <w:szCs w:val="30"/>
        </w:rPr>
        <w:t>元。</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8748B0" w:rsidRDefault="00AF76A2" w:rsidP="00B94B71">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867,835.72</w:t>
      </w:r>
      <w:r>
        <w:rPr>
          <w:rFonts w:ascii="Times New Roman" w:eastAsia="仿宋_GB2312"/>
          <w:sz w:val="30"/>
          <w:szCs w:val="30"/>
        </w:rPr>
        <w:t>元，占本年支出合计的</w:t>
      </w:r>
      <w:r>
        <w:rPr>
          <w:rFonts w:ascii="Times New Roman" w:eastAsia="仿宋_GB2312"/>
          <w:sz w:val="30"/>
          <w:szCs w:val="30"/>
        </w:rPr>
        <w:t>99.968%</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1,215,195.74</w:t>
      </w:r>
      <w:r>
        <w:rPr>
          <w:rFonts w:ascii="Times New Roman" w:eastAsia="仿宋_GB2312"/>
          <w:sz w:val="30"/>
          <w:szCs w:val="30"/>
        </w:rPr>
        <w:t>元，下降</w:t>
      </w:r>
      <w:r>
        <w:rPr>
          <w:rFonts w:ascii="Times New Roman" w:eastAsia="仿宋_GB2312"/>
          <w:sz w:val="30"/>
          <w:szCs w:val="30"/>
        </w:rPr>
        <w:t>58.338%</w:t>
      </w:r>
      <w:r>
        <w:rPr>
          <w:rFonts w:ascii="Times New Roman" w:eastAsia="仿宋_GB2312"/>
          <w:sz w:val="30"/>
          <w:szCs w:val="30"/>
        </w:rPr>
        <w:t>，主要原因是机构改革，单位撤销。</w:t>
      </w:r>
    </w:p>
    <w:p w:rsidR="008748B0" w:rsidRDefault="00AF76A2" w:rsidP="00B94B71">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w:t>
      </w:r>
      <w:r>
        <w:rPr>
          <w:rFonts w:ascii="Times New Roman" w:eastAsia="仿宋_GB2312"/>
          <w:sz w:val="30"/>
          <w:szCs w:val="30"/>
        </w:rPr>
        <w:t>4</w:t>
      </w:r>
      <w:r>
        <w:rPr>
          <w:rFonts w:ascii="Times New Roman" w:eastAsia="仿宋_GB2312"/>
          <w:sz w:val="30"/>
          <w:szCs w:val="30"/>
        </w:rPr>
        <w:t>年度一般公共预算财政拨款支出</w:t>
      </w:r>
      <w:r>
        <w:rPr>
          <w:rFonts w:ascii="Times New Roman" w:eastAsia="仿宋_GB2312"/>
          <w:sz w:val="30"/>
          <w:szCs w:val="30"/>
        </w:rPr>
        <w:t>867,835.72</w:t>
      </w:r>
      <w:r>
        <w:rPr>
          <w:rFonts w:ascii="Times New Roman" w:eastAsia="仿宋_GB2312"/>
          <w:sz w:val="30"/>
          <w:szCs w:val="30"/>
        </w:rPr>
        <w:t>元，主要用于以下方面：社会保障和就业支出（类）</w:t>
      </w:r>
      <w:r>
        <w:rPr>
          <w:rFonts w:ascii="Times New Roman" w:eastAsia="仿宋_GB2312"/>
          <w:sz w:val="30"/>
          <w:szCs w:val="30"/>
        </w:rPr>
        <w:t>94,937.28</w:t>
      </w:r>
      <w:r>
        <w:rPr>
          <w:rFonts w:ascii="Times New Roman" w:eastAsia="仿宋_GB2312"/>
          <w:sz w:val="30"/>
          <w:szCs w:val="30"/>
        </w:rPr>
        <w:t>元，占</w:t>
      </w:r>
      <w:r>
        <w:rPr>
          <w:rFonts w:ascii="Times New Roman" w:eastAsia="仿宋_GB2312"/>
          <w:sz w:val="30"/>
          <w:szCs w:val="30"/>
        </w:rPr>
        <w:t>10.940%</w:t>
      </w:r>
      <w:r>
        <w:rPr>
          <w:rFonts w:ascii="Times New Roman" w:eastAsia="仿宋_GB2312"/>
          <w:sz w:val="30"/>
          <w:szCs w:val="30"/>
        </w:rPr>
        <w:t>；卫生健康支出（类）</w:t>
      </w:r>
      <w:r>
        <w:rPr>
          <w:rFonts w:ascii="Times New Roman" w:eastAsia="仿宋_GB2312"/>
          <w:sz w:val="30"/>
          <w:szCs w:val="30"/>
        </w:rPr>
        <w:t>39,557.56</w:t>
      </w:r>
      <w:r>
        <w:rPr>
          <w:rFonts w:ascii="Times New Roman" w:eastAsia="仿宋_GB2312"/>
          <w:sz w:val="30"/>
          <w:szCs w:val="30"/>
        </w:rPr>
        <w:t>元，占</w:t>
      </w:r>
      <w:r>
        <w:rPr>
          <w:rFonts w:ascii="Times New Roman" w:eastAsia="仿宋_GB2312"/>
          <w:sz w:val="30"/>
          <w:szCs w:val="30"/>
        </w:rPr>
        <w:t>4.558%</w:t>
      </w:r>
      <w:r>
        <w:rPr>
          <w:rFonts w:ascii="Times New Roman" w:eastAsia="仿宋_GB2312"/>
          <w:sz w:val="30"/>
          <w:szCs w:val="30"/>
        </w:rPr>
        <w:t>；城乡社区支出（类）</w:t>
      </w:r>
      <w:r>
        <w:rPr>
          <w:rFonts w:ascii="Times New Roman" w:eastAsia="仿宋_GB2312"/>
          <w:sz w:val="30"/>
          <w:szCs w:val="30"/>
        </w:rPr>
        <w:t>514,976.88</w:t>
      </w:r>
      <w:r>
        <w:rPr>
          <w:rFonts w:ascii="Times New Roman" w:eastAsia="仿宋_GB2312"/>
          <w:sz w:val="30"/>
          <w:szCs w:val="30"/>
        </w:rPr>
        <w:t>元，占</w:t>
      </w:r>
      <w:r>
        <w:rPr>
          <w:rFonts w:ascii="Times New Roman" w:eastAsia="仿宋_GB2312"/>
          <w:sz w:val="30"/>
          <w:szCs w:val="30"/>
        </w:rPr>
        <w:t>59.340%</w:t>
      </w:r>
      <w:r>
        <w:rPr>
          <w:rFonts w:ascii="Times New Roman" w:eastAsia="仿宋_GB2312"/>
          <w:sz w:val="30"/>
          <w:szCs w:val="30"/>
        </w:rPr>
        <w:t>；住房保障支出（类）</w:t>
      </w:r>
      <w:r>
        <w:rPr>
          <w:rFonts w:ascii="Times New Roman" w:eastAsia="仿宋_GB2312"/>
          <w:sz w:val="30"/>
          <w:szCs w:val="30"/>
        </w:rPr>
        <w:t>218,364.00</w:t>
      </w:r>
      <w:r>
        <w:rPr>
          <w:rFonts w:ascii="Times New Roman" w:eastAsia="仿宋_GB2312"/>
          <w:sz w:val="30"/>
          <w:szCs w:val="30"/>
        </w:rPr>
        <w:t>元，占</w:t>
      </w:r>
      <w:r>
        <w:rPr>
          <w:rFonts w:ascii="Times New Roman" w:eastAsia="仿宋_GB2312"/>
          <w:sz w:val="30"/>
          <w:szCs w:val="30"/>
        </w:rPr>
        <w:t>25.162%</w:t>
      </w:r>
      <w:r>
        <w:rPr>
          <w:rFonts w:ascii="Times New Roman" w:eastAsia="仿宋_GB2312"/>
          <w:sz w:val="30"/>
          <w:szCs w:val="30"/>
        </w:rPr>
        <w:t>。</w:t>
      </w:r>
    </w:p>
    <w:p w:rsidR="008748B0" w:rsidRDefault="00AF76A2" w:rsidP="00B94B71">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1,994,295.22</w:t>
      </w:r>
      <w:r>
        <w:rPr>
          <w:rFonts w:ascii="Times New Roman" w:eastAsia="仿宋_GB2312"/>
          <w:sz w:val="30"/>
          <w:szCs w:val="30"/>
        </w:rPr>
        <w:t>元，支出决算为</w:t>
      </w:r>
      <w:r>
        <w:rPr>
          <w:rFonts w:ascii="Times New Roman" w:eastAsia="仿宋_GB2312"/>
          <w:sz w:val="30"/>
          <w:szCs w:val="30"/>
        </w:rPr>
        <w:t>867,835.72</w:t>
      </w:r>
      <w:r>
        <w:rPr>
          <w:rFonts w:ascii="Times New Roman" w:eastAsia="仿宋_GB2312"/>
          <w:sz w:val="30"/>
          <w:szCs w:val="30"/>
        </w:rPr>
        <w:t>元，完成年初预算的</w:t>
      </w:r>
      <w:r>
        <w:rPr>
          <w:rFonts w:ascii="Times New Roman" w:eastAsia="仿宋_GB2312"/>
          <w:sz w:val="30"/>
          <w:szCs w:val="30"/>
        </w:rPr>
        <w:t>43.516%</w:t>
      </w:r>
      <w:r>
        <w:rPr>
          <w:rFonts w:ascii="Times New Roman" w:eastAsia="仿宋_GB2312"/>
          <w:sz w:val="30"/>
          <w:szCs w:val="30"/>
        </w:rPr>
        <w:t>。其中：</w:t>
      </w:r>
      <w:r>
        <w:rPr>
          <w:rFonts w:ascii="Times New Roman" w:eastAsia="仿宋_GB2312"/>
          <w:sz w:val="30"/>
          <w:szCs w:val="30"/>
        </w:rPr>
        <w:t> </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w:t>
      </w:r>
      <w:r>
        <w:rPr>
          <w:rFonts w:ascii="Times New Roman" w:eastAsia="仿宋_GB2312"/>
          <w:sz w:val="30"/>
          <w:szCs w:val="30"/>
        </w:rPr>
        <w:t>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134,900.00</w:t>
      </w:r>
      <w:r>
        <w:rPr>
          <w:rFonts w:ascii="Times New Roman" w:eastAsia="仿宋_GB2312"/>
          <w:sz w:val="30"/>
          <w:szCs w:val="30"/>
        </w:rPr>
        <w:t>元，支出决算为</w:t>
      </w:r>
      <w:r>
        <w:rPr>
          <w:rFonts w:ascii="Times New Roman" w:eastAsia="仿宋_GB2312"/>
          <w:sz w:val="30"/>
          <w:szCs w:val="30"/>
        </w:rPr>
        <w:t>63,291.52</w:t>
      </w:r>
      <w:r>
        <w:rPr>
          <w:rFonts w:ascii="Times New Roman" w:eastAsia="仿宋_GB2312"/>
          <w:sz w:val="30"/>
          <w:szCs w:val="30"/>
        </w:rPr>
        <w:t>元，完成年初预算的</w:t>
      </w:r>
      <w:r>
        <w:rPr>
          <w:rFonts w:ascii="Times New Roman" w:eastAsia="仿宋_GB2312"/>
          <w:sz w:val="30"/>
          <w:szCs w:val="30"/>
        </w:rPr>
        <w:t>46.917%</w:t>
      </w:r>
      <w:r>
        <w:rPr>
          <w:rFonts w:ascii="Times New Roman" w:eastAsia="仿宋_GB2312"/>
          <w:sz w:val="30"/>
          <w:szCs w:val="30"/>
        </w:rPr>
        <w:t>，决算数小于年初预算数的主要原因是：机构改革，单位撤销。</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67,500.00</w:t>
      </w:r>
      <w:r>
        <w:rPr>
          <w:rFonts w:ascii="Times New Roman" w:eastAsia="仿宋_GB2312"/>
          <w:sz w:val="30"/>
          <w:szCs w:val="30"/>
        </w:rPr>
        <w:t>元，支出决算为</w:t>
      </w:r>
      <w:r>
        <w:rPr>
          <w:rFonts w:ascii="Times New Roman" w:eastAsia="仿宋_GB2312"/>
          <w:sz w:val="30"/>
          <w:szCs w:val="30"/>
        </w:rPr>
        <w:t>31,645.76</w:t>
      </w:r>
      <w:r>
        <w:rPr>
          <w:rFonts w:ascii="Times New Roman" w:eastAsia="仿宋_GB2312"/>
          <w:sz w:val="30"/>
          <w:szCs w:val="30"/>
        </w:rPr>
        <w:t>元，完成年初预算的</w:t>
      </w:r>
      <w:r>
        <w:rPr>
          <w:rFonts w:ascii="Times New Roman" w:eastAsia="仿宋_GB2312"/>
          <w:sz w:val="30"/>
          <w:szCs w:val="30"/>
        </w:rPr>
        <w:t>46.883%</w:t>
      </w:r>
      <w:r>
        <w:rPr>
          <w:rFonts w:ascii="Times New Roman" w:eastAsia="仿宋_GB2312"/>
          <w:sz w:val="30"/>
          <w:szCs w:val="30"/>
        </w:rPr>
        <w:t>，决算数小于年初预算数的主要原因是：机构改革，单位撤销。</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97,100.00</w:t>
      </w:r>
      <w:r>
        <w:rPr>
          <w:rFonts w:ascii="Times New Roman" w:eastAsia="仿宋_GB2312"/>
          <w:sz w:val="30"/>
          <w:szCs w:val="30"/>
        </w:rPr>
        <w:t>元，支出决算为</w:t>
      </w:r>
      <w:r>
        <w:rPr>
          <w:rFonts w:ascii="Times New Roman" w:eastAsia="仿宋_GB2312"/>
          <w:sz w:val="30"/>
          <w:szCs w:val="30"/>
        </w:rPr>
        <w:t>39,557.56</w:t>
      </w:r>
      <w:r>
        <w:rPr>
          <w:rFonts w:ascii="Times New Roman" w:eastAsia="仿宋_GB2312"/>
          <w:sz w:val="30"/>
          <w:szCs w:val="30"/>
        </w:rPr>
        <w:t>元，完成年初预算的</w:t>
      </w:r>
      <w:r>
        <w:rPr>
          <w:rFonts w:ascii="Times New Roman" w:eastAsia="仿宋_GB2312"/>
          <w:sz w:val="30"/>
          <w:szCs w:val="30"/>
        </w:rPr>
        <w:t>40.739%</w:t>
      </w:r>
      <w:r>
        <w:rPr>
          <w:rFonts w:ascii="Times New Roman" w:eastAsia="仿宋_GB2312"/>
          <w:sz w:val="30"/>
          <w:szCs w:val="30"/>
        </w:rPr>
        <w:t>，决算数小于年初预算数的主要原因是：机构改革，单位撤销。</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4.</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城乡社区规划与管理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1,235,100.00</w:t>
      </w:r>
      <w:r>
        <w:rPr>
          <w:rFonts w:ascii="Times New Roman" w:eastAsia="仿宋_GB2312"/>
          <w:sz w:val="30"/>
          <w:szCs w:val="30"/>
        </w:rPr>
        <w:t>元，支出决算为</w:t>
      </w:r>
      <w:r>
        <w:rPr>
          <w:rFonts w:ascii="Times New Roman" w:eastAsia="仿宋_GB2312"/>
          <w:sz w:val="30"/>
          <w:szCs w:val="30"/>
        </w:rPr>
        <w:t>514,976.88</w:t>
      </w:r>
      <w:r>
        <w:rPr>
          <w:rFonts w:ascii="Times New Roman" w:eastAsia="仿宋_GB2312"/>
          <w:sz w:val="30"/>
          <w:szCs w:val="30"/>
        </w:rPr>
        <w:t>元，完成年初预算的</w:t>
      </w:r>
      <w:r>
        <w:rPr>
          <w:rFonts w:ascii="Times New Roman" w:eastAsia="仿宋_GB2312"/>
          <w:sz w:val="30"/>
          <w:szCs w:val="30"/>
        </w:rPr>
        <w:t>41.695%</w:t>
      </w:r>
      <w:r>
        <w:rPr>
          <w:rFonts w:ascii="Times New Roman" w:eastAsia="仿宋_GB2312"/>
          <w:sz w:val="30"/>
          <w:szCs w:val="30"/>
        </w:rPr>
        <w:t>，决算数小于年初预算数的主要原因是：机构改革，单位撤销。</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458,100.00</w:t>
      </w:r>
      <w:r>
        <w:rPr>
          <w:rFonts w:ascii="Times New Roman" w:eastAsia="仿宋_GB2312"/>
          <w:sz w:val="30"/>
          <w:szCs w:val="30"/>
        </w:rPr>
        <w:t>元，支出决算为</w:t>
      </w:r>
      <w:r>
        <w:rPr>
          <w:rFonts w:ascii="Times New Roman" w:eastAsia="仿宋_GB2312"/>
          <w:sz w:val="30"/>
          <w:szCs w:val="30"/>
        </w:rPr>
        <w:t>218,364.00</w:t>
      </w:r>
      <w:r>
        <w:rPr>
          <w:rFonts w:ascii="Times New Roman" w:eastAsia="仿宋_GB2312"/>
          <w:sz w:val="30"/>
          <w:szCs w:val="30"/>
        </w:rPr>
        <w:t>元，完</w:t>
      </w:r>
      <w:r>
        <w:rPr>
          <w:rFonts w:ascii="Times New Roman" w:eastAsia="仿宋_GB2312"/>
          <w:sz w:val="30"/>
          <w:szCs w:val="30"/>
        </w:rPr>
        <w:t>成年初预算的</w:t>
      </w:r>
      <w:r>
        <w:rPr>
          <w:rFonts w:ascii="Times New Roman" w:eastAsia="仿宋_GB2312"/>
          <w:sz w:val="30"/>
          <w:szCs w:val="30"/>
        </w:rPr>
        <w:t>47.667%</w:t>
      </w:r>
      <w:r>
        <w:rPr>
          <w:rFonts w:ascii="Times New Roman" w:eastAsia="仿宋_GB2312"/>
          <w:sz w:val="30"/>
          <w:szCs w:val="30"/>
        </w:rPr>
        <w:t>，决算数小于年初预算数的主要原因是：机构改革，单位撤销。</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867,835.72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1,215,195.74</w:t>
      </w:r>
      <w:r>
        <w:rPr>
          <w:rFonts w:ascii="Times New Roman" w:eastAsia="仿宋_GB2312"/>
          <w:sz w:val="30"/>
          <w:szCs w:val="30"/>
        </w:rPr>
        <w:t>元，主要原因是机构改革，单位撤销。其中：</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846,895.58</w:t>
      </w:r>
      <w:r>
        <w:rPr>
          <w:rFonts w:ascii="Times New Roman" w:eastAsia="仿宋_GB2312"/>
          <w:sz w:val="30"/>
          <w:szCs w:val="30"/>
        </w:rPr>
        <w:t>元，主要包括基本工资、津贴补贴、绩效工资、机关事业单位基本养老保险缴费、职业年金缴费、职工基本医疗保险缴费、其他社会保障缴费、住房公积金、退休费、奖励金和其他对个人和家庭</w:t>
      </w:r>
      <w:r>
        <w:rPr>
          <w:rFonts w:ascii="Times New Roman" w:eastAsia="仿宋_GB2312"/>
          <w:sz w:val="30"/>
          <w:szCs w:val="30"/>
        </w:rPr>
        <w:t>的补助。</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20,940.14</w:t>
      </w:r>
      <w:r>
        <w:rPr>
          <w:rFonts w:ascii="Times New Roman" w:eastAsia="仿宋_GB2312"/>
          <w:sz w:val="30"/>
          <w:szCs w:val="30"/>
        </w:rPr>
        <w:t>元，主要包括办公费、邮电费和培训费。</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八、国有资本经营预算财政拨款收支决算情况说明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8748B0" w:rsidRDefault="00AF76A2" w:rsidP="00B94B71">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w:t>
      </w:r>
      <w:r>
        <w:rPr>
          <w:rFonts w:ascii="Times New Roman" w:eastAsia="仿宋_GB2312"/>
          <w:sz w:val="30"/>
          <w:szCs w:val="30"/>
        </w:rPr>
        <w:t>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8748B0" w:rsidRDefault="00AF76A2" w:rsidP="00B94B71">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w:t>
      </w:r>
      <w:r>
        <w:rPr>
          <w:rFonts w:ascii="Times New Roman" w:eastAsia="仿宋_GB2312"/>
          <w:sz w:val="30"/>
          <w:szCs w:val="30"/>
        </w:rPr>
        <w:t>支出决算较上年持平；决算数与预算数持平的主要原因是本年未用财政拨款列支公务用车购置及运行维护费；决算数较上</w:t>
      </w:r>
      <w:r>
        <w:rPr>
          <w:rFonts w:ascii="Times New Roman" w:eastAsia="仿宋_GB2312"/>
          <w:sz w:val="30"/>
          <w:szCs w:val="30"/>
        </w:rPr>
        <w:lastRenderedPageBreak/>
        <w:t>年持平的主要原因是本年未用财政拨款列支公务用车购置及运行维护费。其中：</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元，与预算相比持平；支出决算较上年持平；决算数与预算数持平的主要原因是本年未用财政拨款列支公务用车运行维护费；决算数较上年持平的主要原因是本年未用财政拨款列支公务用车运行维护费。</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w:t>
      </w:r>
      <w:r>
        <w:rPr>
          <w:rFonts w:ascii="Times New Roman" w:eastAsia="仿宋_GB2312"/>
          <w:sz w:val="30"/>
          <w:szCs w:val="30"/>
        </w:rPr>
        <w:t>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w:t>
      </w:r>
      <w:r>
        <w:rPr>
          <w:rFonts w:ascii="宋体" w:eastAsia="黑体"/>
          <w:b/>
          <w:sz w:val="30"/>
          <w:szCs w:val="30"/>
        </w:rPr>
        <w:t>、机关运行经费支出情况说明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年度无机关运行经费。</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年度无政府采购支出。</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年度无国有资产占有使用情况。</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8748B0" w:rsidRDefault="00AF76A2" w:rsidP="00B94B71">
      <w:pPr>
        <w:widowControl/>
        <w:ind w:firstLineChars="200" w:firstLine="600"/>
        <w:jc w:val="left"/>
        <w:rPr>
          <w:rFonts w:ascii="Times New Roman" w:eastAsia="仿宋_GB2312"/>
          <w:sz w:val="30"/>
          <w:szCs w:val="30"/>
        </w:rPr>
      </w:pPr>
      <w:r>
        <w:rPr>
          <w:rFonts w:ascii="Times New Roman" w:eastAsia="仿宋_GB2312"/>
          <w:sz w:val="30"/>
          <w:szCs w:val="30"/>
        </w:rPr>
        <w:t>天津市东丽区城管中队</w:t>
      </w:r>
      <w:r>
        <w:rPr>
          <w:rFonts w:ascii="Times New Roman" w:eastAsia="仿宋_GB2312"/>
          <w:sz w:val="30"/>
          <w:szCs w:val="30"/>
        </w:rPr>
        <w:t>2024</w:t>
      </w:r>
      <w:r>
        <w:rPr>
          <w:rFonts w:ascii="Times New Roman" w:eastAsia="仿宋_GB2312"/>
          <w:sz w:val="30"/>
          <w:szCs w:val="30"/>
        </w:rPr>
        <w:t>年度没有项目支出，无需开展绩效自评。</w:t>
      </w:r>
    </w:p>
    <w:p w:rsidR="008748B0" w:rsidRDefault="00AF76A2" w:rsidP="00B94B71">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8748B0" w:rsidRDefault="00AF76A2" w:rsidP="00B94B71">
      <w:pPr>
        <w:widowControl/>
        <w:ind w:firstLineChars="200" w:firstLine="600"/>
        <w:jc w:val="left"/>
        <w:rPr>
          <w:rFonts w:ascii="Times New Roman" w:eastAsia="仿宋_GB2312"/>
          <w:sz w:val="30"/>
          <w:szCs w:val="30"/>
        </w:rPr>
      </w:pPr>
      <w:r>
        <w:rPr>
          <w:rFonts w:ascii="Times New Roman" w:eastAsia="仿宋_GB2312"/>
          <w:sz w:val="30"/>
          <w:szCs w:val="30"/>
        </w:rPr>
        <w:t>天津市东丽区城管中队不属于乡、镇、街级单位，不涉及公开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B94B71" w:rsidRDefault="00B94B71">
      <w:pPr>
        <w:widowControl/>
        <w:spacing w:line="360" w:lineRule="auto"/>
        <w:jc w:val="center"/>
        <w:outlineLvl w:val="0"/>
        <w:rPr>
          <w:rFonts w:ascii="黑体" w:eastAsia="黑体" w:hint="eastAsia"/>
          <w:sz w:val="44"/>
          <w:szCs w:val="44"/>
        </w:rPr>
      </w:pPr>
    </w:p>
    <w:p w:rsidR="00B94B71" w:rsidRDefault="00B94B71">
      <w:pPr>
        <w:widowControl/>
        <w:spacing w:line="360" w:lineRule="auto"/>
        <w:jc w:val="center"/>
        <w:outlineLvl w:val="0"/>
        <w:rPr>
          <w:rFonts w:ascii="黑体" w:eastAsia="黑体" w:hint="eastAsia"/>
          <w:sz w:val="44"/>
          <w:szCs w:val="44"/>
        </w:rPr>
      </w:pPr>
    </w:p>
    <w:p w:rsidR="00B94B71" w:rsidRDefault="00B94B71">
      <w:pPr>
        <w:widowControl/>
        <w:spacing w:line="360" w:lineRule="auto"/>
        <w:jc w:val="center"/>
        <w:outlineLvl w:val="0"/>
        <w:rPr>
          <w:rFonts w:ascii="黑体" w:eastAsia="黑体" w:hint="eastAsia"/>
          <w:sz w:val="44"/>
          <w:szCs w:val="44"/>
        </w:rPr>
      </w:pPr>
    </w:p>
    <w:p w:rsidR="00B94B71" w:rsidRDefault="00B94B71">
      <w:pPr>
        <w:widowControl/>
        <w:spacing w:line="360" w:lineRule="auto"/>
        <w:jc w:val="center"/>
        <w:outlineLvl w:val="0"/>
        <w:rPr>
          <w:rFonts w:ascii="黑体" w:eastAsia="黑体" w:hint="eastAsia"/>
          <w:sz w:val="44"/>
          <w:szCs w:val="44"/>
        </w:rPr>
      </w:pPr>
    </w:p>
    <w:p w:rsidR="00B94B71" w:rsidRDefault="00B94B71">
      <w:pPr>
        <w:widowControl/>
        <w:spacing w:line="360" w:lineRule="auto"/>
        <w:jc w:val="center"/>
        <w:outlineLvl w:val="0"/>
        <w:rPr>
          <w:rFonts w:ascii="黑体" w:eastAsia="黑体" w:hint="eastAsia"/>
          <w:sz w:val="44"/>
          <w:szCs w:val="44"/>
        </w:rPr>
      </w:pPr>
    </w:p>
    <w:p w:rsidR="008748B0" w:rsidRDefault="00AF76A2">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w:t>
      </w:r>
      <w:r>
        <w:rPr>
          <w:rFonts w:ascii="Times New Roman" w:eastAsia="仿宋_GB2312"/>
          <w:sz w:val="30"/>
          <w:szCs w:val="30"/>
        </w:rPr>
        <w:t>材料及一般设备购置费、办公用房水电费、办公用房取暖费、办公用房物业管理费、公务用车运行维护费以及其他费用。</w:t>
      </w:r>
    </w:p>
    <w:p w:rsidR="008748B0" w:rsidRDefault="00AF76A2" w:rsidP="00B94B71">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8748B0" w:rsidRDefault="008748B0">
      <w:pPr>
        <w:rPr>
          <w:rFonts w:asciiTheme="minorEastAsia" w:hAnsiTheme="minorEastAsia" w:cstheme="minorEastAsia"/>
          <w:color w:val="333333"/>
          <w:sz w:val="22"/>
          <w:szCs w:val="22"/>
          <w:shd w:val="clear" w:color="auto" w:fill="FFFFFF"/>
        </w:rPr>
      </w:pPr>
    </w:p>
    <w:sectPr w:rsidR="008748B0" w:rsidSect="008748B0">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6A2" w:rsidRDefault="00AF76A2" w:rsidP="008748B0">
      <w:r>
        <w:separator/>
      </w:r>
    </w:p>
  </w:endnote>
  <w:endnote w:type="continuationSeparator" w:id="1">
    <w:p w:rsidR="00AF76A2" w:rsidRDefault="00AF76A2" w:rsidP="00874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0BEB278C-66F9-4232-8B47-4CDF3E56E3C0}"/>
    <w:embedBold r:id="rId2" w:subsetted="1" w:fontKey="{3213E498-7DBA-49D9-898B-C00084FA4D53}"/>
  </w:font>
  <w:font w:name="仿宋">
    <w:charset w:val="86"/>
    <w:family w:val="modern"/>
    <w:pitch w:val="default"/>
    <w:sig w:usb0="800002BF" w:usb1="38CF7CFA" w:usb2="00000016" w:usb3="00000000" w:csb0="00040001" w:csb1="00000000"/>
    <w:embedBold r:id="rId3" w:subsetted="1" w:fontKey="{B8C0BF47-DEAF-49C5-80D7-8AE55DB23308}"/>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818D47B7-0488-46A1-B5A4-30D33A017F9C}"/>
    <w:embedBold r:id="rId5" w:subsetted="1" w:fontKey="{648CE2B2-5978-4DB0-B7CF-EBB34687B27C}"/>
  </w:font>
  <w:font w:name="仿宋_GB2312">
    <w:panose1 w:val="02010609030101010101"/>
    <w:charset w:val="86"/>
    <w:family w:val="modern"/>
    <w:pitch w:val="fixed"/>
    <w:sig w:usb0="00000001" w:usb1="080E0000" w:usb2="00000010" w:usb3="00000000" w:csb0="00040000" w:csb1="00000000"/>
    <w:embedRegular r:id="rId6" w:subsetted="1" w:fontKey="{99AE3D07-15D2-4CB6-A10D-F563BED47D8E}"/>
  </w:font>
  <w:font w:name="宋体-简">
    <w:altName w:val="宋体"/>
    <w:charset w:val="86"/>
    <w:family w:val="auto"/>
    <w:pitch w:val="default"/>
    <w:sig w:usb0="00000000" w:usb1="00000000" w:usb2="00000000" w:usb3="00000000" w:csb0="00040000" w:csb1="00000000"/>
    <w:embedRegular r:id="rId7" w:subsetted="1" w:fontKey="{DC60D185-52BF-4507-AD7E-D1013A75779C}"/>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8B0" w:rsidRDefault="008748B0">
    <w:pPr>
      <w:pStyle w:val="a5"/>
      <w:jc w:val="center"/>
    </w:pPr>
  </w:p>
  <w:p w:rsidR="008748B0" w:rsidRDefault="008748B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8B0" w:rsidRDefault="008748B0">
    <w:pPr>
      <w:jc w:val="center"/>
    </w:pPr>
    <w:r>
      <w:fldChar w:fldCharType="begin"/>
    </w:r>
    <w:r w:rsidR="00AF76A2">
      <w:instrText>PAGE</w:instrText>
    </w:r>
    <w:r>
      <w:fldChar w:fldCharType="separate"/>
    </w:r>
    <w:r w:rsidR="00B94B71">
      <w:rPr>
        <w:noProof/>
      </w:rPr>
      <w:t>1</w:t>
    </w:r>
    <w:r>
      <w:fldChar w:fldCharType="end"/>
    </w:r>
  </w:p>
  <w:p w:rsidR="00000000" w:rsidRDefault="00AF76A2"/>
  <w:p w:rsidR="008748B0" w:rsidRDefault="008748B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8B0" w:rsidRDefault="008748B0">
    <w:pPr>
      <w:jc w:val="center"/>
    </w:pPr>
    <w:r>
      <w:fldChar w:fldCharType="begin"/>
    </w:r>
    <w:r w:rsidR="00AF76A2">
      <w:instrText>PAGE</w:instrText>
    </w:r>
    <w:r>
      <w:fldChar w:fldCharType="separate"/>
    </w:r>
    <w:r w:rsidR="00B94B71">
      <w:rPr>
        <w:noProof/>
      </w:rPr>
      <w:t>28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6A2" w:rsidRDefault="00AF76A2" w:rsidP="008748B0">
      <w:r>
        <w:separator/>
      </w:r>
    </w:p>
  </w:footnote>
  <w:footnote w:type="continuationSeparator" w:id="1">
    <w:p w:rsidR="00AF76A2" w:rsidRDefault="00AF76A2" w:rsidP="00874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8B0" w:rsidRDefault="008748B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8748B0"/>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822154"/>
    <w:rsid w:val="008748B0"/>
    <w:rsid w:val="00AF76A2"/>
    <w:rsid w:val="00B94B71"/>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B0"/>
    <w:pPr>
      <w:widowControl w:val="0"/>
      <w:jc w:val="both"/>
    </w:pPr>
    <w:rPr>
      <w:rFonts w:asciiTheme="minorHAnsi" w:eastAsiaTheme="minorEastAsia" w:hAnsiTheme="minorHAnsi" w:cs="宋体"/>
      <w:sz w:val="24"/>
      <w:szCs w:val="24"/>
    </w:rPr>
  </w:style>
  <w:style w:type="paragraph" w:styleId="1">
    <w:name w:val="heading 1"/>
    <w:basedOn w:val="a"/>
    <w:next w:val="a"/>
    <w:qFormat/>
    <w:rsid w:val="008748B0"/>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8748B0"/>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8748B0"/>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8748B0"/>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8748B0"/>
    <w:pPr>
      <w:jc w:val="left"/>
    </w:pPr>
  </w:style>
  <w:style w:type="paragraph" w:styleId="a4">
    <w:name w:val="Balloon Text"/>
    <w:basedOn w:val="a"/>
    <w:link w:val="Char"/>
    <w:uiPriority w:val="99"/>
    <w:unhideWhenUsed/>
    <w:qFormat/>
    <w:rsid w:val="008748B0"/>
    <w:rPr>
      <w:rFonts w:cstheme="minorBidi"/>
      <w:kern w:val="2"/>
      <w:sz w:val="18"/>
      <w:szCs w:val="18"/>
    </w:rPr>
  </w:style>
  <w:style w:type="paragraph" w:styleId="a5">
    <w:name w:val="footer"/>
    <w:basedOn w:val="a"/>
    <w:link w:val="Char0"/>
    <w:uiPriority w:val="99"/>
    <w:qFormat/>
    <w:rsid w:val="008748B0"/>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8748B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8748B0"/>
    <w:pPr>
      <w:spacing w:beforeAutospacing="1" w:afterAutospacing="1"/>
      <w:jc w:val="left"/>
    </w:pPr>
    <w:rPr>
      <w:rFonts w:cs="Times New Roman"/>
    </w:rPr>
  </w:style>
  <w:style w:type="table" w:styleId="a8">
    <w:name w:val="Table Grid"/>
    <w:qFormat/>
    <w:rsid w:val="008748B0"/>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8748B0"/>
    <w:rPr>
      <w:b/>
    </w:rPr>
  </w:style>
  <w:style w:type="character" w:customStyle="1" w:styleId="2Char">
    <w:name w:val="标题 2 Char"/>
    <w:link w:val="2"/>
    <w:qFormat/>
    <w:rsid w:val="008748B0"/>
    <w:rPr>
      <w:rFonts w:ascii="Calibri Light" w:eastAsia="宋体" w:hAnsi="Calibri Light" w:cs="Times New Roman"/>
      <w:b/>
      <w:bCs/>
      <w:sz w:val="28"/>
      <w:szCs w:val="32"/>
    </w:rPr>
  </w:style>
  <w:style w:type="character" w:customStyle="1" w:styleId="Char0">
    <w:name w:val="页脚 Char"/>
    <w:basedOn w:val="a0"/>
    <w:link w:val="a5"/>
    <w:uiPriority w:val="99"/>
    <w:qFormat/>
    <w:rsid w:val="008748B0"/>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8748B0"/>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8748B0"/>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8748B0"/>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8748B0"/>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8748B0"/>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8748B0"/>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8748B0"/>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8748B0"/>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8748B0"/>
    <w:rPr>
      <w:rFonts w:ascii="Arial" w:hAnsi="Arial" w:cs="Arial"/>
      <w:color w:val="000000"/>
      <w:sz w:val="20"/>
      <w:szCs w:val="20"/>
      <w:u w:val="none"/>
    </w:rPr>
  </w:style>
  <w:style w:type="character" w:customStyle="1" w:styleId="font61">
    <w:name w:val="font61"/>
    <w:basedOn w:val="a0"/>
    <w:qFormat/>
    <w:rsid w:val="008748B0"/>
    <w:rPr>
      <w:rFonts w:ascii="宋体" w:eastAsia="宋体" w:hAnsi="宋体" w:cs="宋体" w:hint="eastAsia"/>
      <w:color w:val="000000"/>
      <w:sz w:val="20"/>
      <w:szCs w:val="20"/>
      <w:u w:val="none"/>
    </w:rPr>
  </w:style>
  <w:style w:type="character" w:customStyle="1" w:styleId="font21">
    <w:name w:val="font21"/>
    <w:basedOn w:val="a0"/>
    <w:qFormat/>
    <w:rsid w:val="008748B0"/>
    <w:rPr>
      <w:rFonts w:ascii="宋体" w:eastAsia="宋体" w:hAnsi="宋体" w:cs="宋体" w:hint="eastAsia"/>
      <w:color w:val="000000"/>
      <w:sz w:val="20"/>
      <w:szCs w:val="20"/>
      <w:u w:val="none"/>
    </w:rPr>
  </w:style>
  <w:style w:type="paragraph" w:customStyle="1" w:styleId="p1">
    <w:name w:val="p1"/>
    <w:basedOn w:val="a"/>
    <w:qFormat/>
    <w:rsid w:val="008748B0"/>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1702</Words>
  <Characters>9707</Characters>
  <Application>Microsoft Office Word</Application>
  <DocSecurity>0</DocSecurity>
  <Lines>80</Lines>
  <Paragraphs>22</Paragraphs>
  <ScaleCrop>false</ScaleCrop>
  <Company>神州网信技术有限公司</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