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D30" w:rsidRDefault="00060D30">
      <w:pPr>
        <w:spacing w:line="600" w:lineRule="auto"/>
        <w:rPr>
          <w:rFonts w:asciiTheme="minorEastAsia" w:hAnsiTheme="minorEastAsia" w:cstheme="minorEastAsia"/>
          <w:color w:val="000000"/>
          <w:sz w:val="22"/>
          <w:szCs w:val="22"/>
        </w:rPr>
      </w:pPr>
    </w:p>
    <w:p w:rsidR="00060D30" w:rsidRDefault="00060D30">
      <w:pPr>
        <w:spacing w:line="600" w:lineRule="auto"/>
        <w:rPr>
          <w:rFonts w:asciiTheme="minorEastAsia" w:hAnsiTheme="minorEastAsia" w:cstheme="minorEastAsia"/>
          <w:color w:val="000000"/>
          <w:sz w:val="22"/>
          <w:szCs w:val="22"/>
        </w:rPr>
      </w:pPr>
    </w:p>
    <w:p w:rsidR="00060D30" w:rsidRDefault="00060D30">
      <w:pPr>
        <w:spacing w:line="600" w:lineRule="auto"/>
        <w:rPr>
          <w:rFonts w:asciiTheme="minorEastAsia" w:hAnsiTheme="minorEastAsia" w:cstheme="minorEastAsia"/>
          <w:color w:val="000000"/>
          <w:sz w:val="22"/>
          <w:szCs w:val="22"/>
        </w:rPr>
      </w:pPr>
    </w:p>
    <w:p w:rsidR="00060D30" w:rsidRDefault="0027759A">
      <w:pPr>
        <w:widowControl/>
        <w:jc w:val="center"/>
        <w:rPr>
          <w:rFonts w:ascii="Fz_S_BiaoSong_Jt" w:eastAsia="Fz_S_BiaoSong_Jt"/>
          <w:sz w:val="48"/>
          <w:szCs w:val="48"/>
        </w:rPr>
      </w:pPr>
      <w:r>
        <w:rPr>
          <w:rFonts w:ascii="Fz_S_BiaoSong_Jt" w:eastAsia="Fz_S_BiaoSong_Jt"/>
          <w:sz w:val="48"/>
          <w:szCs w:val="48"/>
        </w:rPr>
        <w:t>天津市东丽区渣土管理所</w:t>
      </w:r>
    </w:p>
    <w:p w:rsidR="00060D30" w:rsidRDefault="0027759A">
      <w:pPr>
        <w:widowControl/>
        <w:jc w:val="center"/>
        <w:rPr>
          <w:rFonts w:ascii="Times New Roman" w:eastAsia="Fz_S_BiaoSong_Jt"/>
          <w:sz w:val="48"/>
          <w:szCs w:val="48"/>
        </w:rPr>
      </w:pPr>
      <w:r>
        <w:rPr>
          <w:rFonts w:ascii="Times New Roman" w:eastAsia="Fz_S_BiaoSong_Jt"/>
          <w:sz w:val="48"/>
          <w:szCs w:val="48"/>
        </w:rPr>
        <w:t>2024</w:t>
      </w:r>
      <w:r>
        <w:rPr>
          <w:rFonts w:ascii="Times New Roman" w:eastAsia="Fz_S_BiaoSong_Jt"/>
          <w:sz w:val="48"/>
          <w:szCs w:val="48"/>
        </w:rPr>
        <w:t>年度部门决算</w:t>
      </w:r>
    </w:p>
    <w:p w:rsidR="00060D30" w:rsidRDefault="00060D30">
      <w:pPr>
        <w:spacing w:line="600" w:lineRule="auto"/>
        <w:rPr>
          <w:rFonts w:asciiTheme="minorEastAsia" w:hAnsiTheme="minorEastAsia" w:cstheme="minorEastAsia"/>
          <w:color w:val="000000"/>
          <w:sz w:val="22"/>
          <w:szCs w:val="22"/>
        </w:rPr>
      </w:pPr>
    </w:p>
    <w:p w:rsidR="00060D30" w:rsidRDefault="00060D30">
      <w:pPr>
        <w:spacing w:line="600" w:lineRule="auto"/>
        <w:rPr>
          <w:rFonts w:asciiTheme="minorEastAsia" w:hAnsiTheme="minorEastAsia" w:cstheme="minorEastAsia"/>
          <w:color w:val="000000"/>
          <w:sz w:val="22"/>
          <w:szCs w:val="22"/>
        </w:rPr>
      </w:pPr>
    </w:p>
    <w:p w:rsidR="00060D30" w:rsidRDefault="00060D30">
      <w:pPr>
        <w:spacing w:line="600" w:lineRule="auto"/>
        <w:rPr>
          <w:rFonts w:asciiTheme="minorEastAsia" w:hAnsiTheme="minorEastAsia" w:cstheme="minorEastAsia"/>
          <w:color w:val="000000"/>
          <w:sz w:val="22"/>
          <w:szCs w:val="22"/>
        </w:rPr>
      </w:pPr>
    </w:p>
    <w:p w:rsidR="00060D30" w:rsidRDefault="0027759A">
      <w:pP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br w:type="page"/>
      </w:r>
    </w:p>
    <w:p w:rsidR="00060D30" w:rsidRDefault="0027759A">
      <w:pPr>
        <w:widowControl/>
        <w:jc w:val="center"/>
        <w:outlineLvl w:val="0"/>
        <w:rPr>
          <w:rFonts w:ascii="宋体" w:eastAsia="黑体"/>
          <w:sz w:val="44"/>
          <w:szCs w:val="44"/>
        </w:rPr>
      </w:pPr>
      <w:r>
        <w:rPr>
          <w:rFonts w:ascii="宋体" w:eastAsia="黑体"/>
          <w:sz w:val="44"/>
          <w:szCs w:val="44"/>
        </w:rPr>
        <w:lastRenderedPageBreak/>
        <w:t>目</w:t>
      </w:r>
      <w:r>
        <w:rPr>
          <w:rFonts w:ascii="宋体" w:eastAsia="黑体"/>
          <w:sz w:val="44"/>
          <w:szCs w:val="44"/>
        </w:rPr>
        <w:t> </w:t>
      </w:r>
      <w:r>
        <w:rPr>
          <w:rFonts w:ascii="宋体" w:eastAsia="黑体"/>
          <w:sz w:val="44"/>
          <w:szCs w:val="44"/>
        </w:rPr>
        <w:t xml:space="preserve"> </w:t>
      </w:r>
      <w:r>
        <w:rPr>
          <w:rFonts w:ascii="宋体" w:eastAsia="黑体"/>
          <w:sz w:val="44"/>
          <w:szCs w:val="44"/>
        </w:rPr>
        <w:t>录</w:t>
      </w:r>
    </w:p>
    <w:p w:rsidR="00060D30" w:rsidRDefault="0027759A">
      <w:pPr>
        <w:widowControl/>
        <w:jc w:val="left"/>
        <w:rPr>
          <w:rFonts w:ascii="黑体" w:eastAsia="黑体"/>
          <w:sz w:val="30"/>
          <w:szCs w:val="30"/>
        </w:rPr>
      </w:pPr>
      <w:r>
        <w:rPr>
          <w:rFonts w:ascii="黑体" w:eastAsia="黑体"/>
          <w:sz w:val="30"/>
          <w:szCs w:val="30"/>
        </w:rPr>
        <w:t>第一部分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概况</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一、主要职责</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二、机构设置</w:t>
      </w:r>
    </w:p>
    <w:p w:rsidR="00060D30" w:rsidRDefault="0027759A">
      <w:pPr>
        <w:widowControl/>
        <w:jc w:val="left"/>
        <w:rPr>
          <w:rFonts w:ascii="黑体" w:eastAsia="黑体"/>
          <w:sz w:val="30"/>
          <w:szCs w:val="30"/>
        </w:rPr>
      </w:pPr>
      <w:r>
        <w:rPr>
          <w:rFonts w:ascii="黑体" w:eastAsia="黑体"/>
          <w:sz w:val="30"/>
          <w:szCs w:val="30"/>
        </w:rPr>
        <w:t>第二部分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年度部门决算报表</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一、收入支出决算总表</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二、收入决算表（按功能分类列示）</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三、收入决算表（按单位列示）</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四、支出决算表</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五、财政拨款收入支出决算总表</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六、一般公共预算财政拨款支出决算表</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七、一般公共预算财政拨款基本支出决算明细表</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八、政府性基金预算财政拨款收入支出决算表</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九、国有资本经营预算财政拨款支出决算表</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十、财政拨款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十一、项目支出决算表</w:t>
      </w:r>
    </w:p>
    <w:p w:rsidR="00060D30" w:rsidRDefault="0027759A">
      <w:pPr>
        <w:widowControl/>
        <w:jc w:val="left"/>
        <w:rPr>
          <w:rFonts w:ascii="黑体" w:eastAsia="黑体"/>
          <w:sz w:val="30"/>
          <w:szCs w:val="30"/>
        </w:rPr>
      </w:pPr>
      <w:r>
        <w:rPr>
          <w:rFonts w:ascii="黑体" w:eastAsia="黑体"/>
          <w:sz w:val="30"/>
          <w:szCs w:val="30"/>
        </w:rPr>
        <w:t>第三部分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年度部门决算情况说明</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一、收支决算总体情况说明</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二、收入决算情况说明</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三、支出决算情况说明</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四、财政拨款收支决算总体情况说明</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五、一般公共预算财政拨款支出决算情况说明</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lastRenderedPageBreak/>
        <w:t>六、一般公共预算财政拨款基本支出决算情况说明</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七、政府性基金预算财政拨款收支决算情况说明</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八、国有资本经营预算财政拨款收支决算情况说明</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九、财政拨款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经费支出决算情况说明</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十、机关运行经费支出情况说明</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十一、政府采购支出情况说明</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十二、国有资产占有使用情况说明</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十三、预算绩效情况说明</w:t>
      </w:r>
    </w:p>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十四、教育、医疗卫生、社会保障和就业、住房保障、涉农补贴等民生支出情况说明</w:t>
      </w:r>
    </w:p>
    <w:p w:rsidR="00060D30" w:rsidRDefault="0027759A">
      <w:pPr>
        <w:widowControl/>
        <w:jc w:val="left"/>
        <w:rPr>
          <w:rFonts w:ascii="黑体" w:eastAsia="黑体"/>
          <w:sz w:val="30"/>
          <w:szCs w:val="30"/>
        </w:rPr>
      </w:pPr>
      <w:r>
        <w:rPr>
          <w:rFonts w:ascii="黑体" w:eastAsia="黑体"/>
          <w:sz w:val="30"/>
          <w:szCs w:val="30"/>
        </w:rPr>
        <w:t>第四部分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名词解释</w:t>
      </w:r>
    </w:p>
    <w:p w:rsidR="00060D30" w:rsidRDefault="00060D30">
      <w:pPr>
        <w:rPr>
          <w:rFonts w:asciiTheme="minorEastAsia" w:hAnsiTheme="minorEastAsia" w:cstheme="minorEastAsia"/>
          <w:sz w:val="22"/>
          <w:szCs w:val="22"/>
          <w:highlight w:val="yellow"/>
        </w:rPr>
      </w:pPr>
    </w:p>
    <w:p w:rsidR="00060D30" w:rsidRDefault="00060D30">
      <w:pPr>
        <w:snapToGrid w:val="0"/>
        <w:jc w:val="left"/>
        <w:rPr>
          <w:rFonts w:asciiTheme="minorEastAsia" w:hAnsiTheme="minorEastAsia" w:cstheme="minorEastAsia"/>
          <w:color w:val="000000" w:themeColor="text1"/>
          <w:sz w:val="22"/>
          <w:szCs w:val="22"/>
        </w:rPr>
      </w:pPr>
    </w:p>
    <w:p w:rsidR="00060D30" w:rsidRDefault="00060D30">
      <w:pPr>
        <w:snapToGrid w:val="0"/>
        <w:jc w:val="left"/>
        <w:rPr>
          <w:rFonts w:asciiTheme="minorEastAsia" w:hAnsiTheme="minorEastAsia" w:cstheme="minorEastAsia"/>
          <w:color w:val="000000" w:themeColor="text1"/>
          <w:sz w:val="22"/>
          <w:szCs w:val="22"/>
        </w:rPr>
        <w:sectPr w:rsidR="00060D30">
          <w:footerReference w:type="default" r:id="rId7"/>
          <w:pgSz w:w="11906" w:h="16838"/>
          <w:pgMar w:top="1531" w:right="1984" w:bottom="1531" w:left="2098" w:header="851" w:footer="992" w:gutter="0"/>
          <w:cols w:space="720"/>
          <w:docGrid w:type="lines" w:linePitch="312"/>
        </w:sectPr>
      </w:pPr>
    </w:p>
    <w:p w:rsidR="00060D30" w:rsidRDefault="0027759A">
      <w:pPr>
        <w:widowControl/>
        <w:jc w:val="center"/>
        <w:outlineLvl w:val="0"/>
        <w:rPr>
          <w:rFonts w:ascii="黑体" w:eastAsia="黑体"/>
          <w:sz w:val="44"/>
          <w:szCs w:val="44"/>
        </w:rPr>
      </w:pPr>
      <w:r>
        <w:rPr>
          <w:rFonts w:ascii="黑体" w:eastAsia="黑体"/>
          <w:sz w:val="44"/>
          <w:szCs w:val="44"/>
        </w:rPr>
        <w:lastRenderedPageBreak/>
        <w:t>第一部分</w:t>
      </w:r>
      <w:r>
        <w:rPr>
          <w:rFonts w:ascii="黑体" w:eastAsia="黑体"/>
          <w:sz w:val="44"/>
          <w:szCs w:val="44"/>
        </w:rPr>
        <w:t> </w:t>
      </w:r>
      <w:r>
        <w:rPr>
          <w:rFonts w:ascii="黑体" w:eastAsia="黑体"/>
          <w:sz w:val="44"/>
          <w:szCs w:val="44"/>
        </w:rPr>
        <w:t xml:space="preserve"> </w:t>
      </w:r>
      <w:r>
        <w:rPr>
          <w:rFonts w:ascii="黑体" w:eastAsia="黑体"/>
          <w:sz w:val="44"/>
          <w:szCs w:val="44"/>
        </w:rPr>
        <w:t>概况</w:t>
      </w:r>
    </w:p>
    <w:p w:rsidR="00060D30" w:rsidRDefault="0027759A" w:rsidP="006A1B16">
      <w:pPr>
        <w:widowControl/>
        <w:ind w:firstLineChars="200" w:firstLine="600"/>
        <w:jc w:val="left"/>
        <w:outlineLvl w:val="1"/>
        <w:rPr>
          <w:rFonts w:ascii="宋体" w:eastAsia="黑体"/>
          <w:sz w:val="30"/>
          <w:szCs w:val="30"/>
        </w:rPr>
      </w:pPr>
      <w:r>
        <w:rPr>
          <w:rFonts w:ascii="宋体" w:eastAsia="黑体"/>
          <w:sz w:val="30"/>
          <w:szCs w:val="30"/>
        </w:rPr>
        <w:t>一、主要职责</w:t>
      </w:r>
    </w:p>
    <w:p w:rsidR="00060D30" w:rsidRDefault="0027759A" w:rsidP="006A1B16">
      <w:pPr>
        <w:widowControl/>
        <w:ind w:firstLineChars="200" w:firstLine="600"/>
        <w:jc w:val="left"/>
        <w:rPr>
          <w:rFonts w:ascii="Times New Roman" w:eastAsia="仿宋_GB2312"/>
          <w:sz w:val="30"/>
          <w:szCs w:val="30"/>
        </w:rPr>
      </w:pPr>
      <w:r>
        <w:rPr>
          <w:rFonts w:ascii="Times New Roman" w:eastAsia="仿宋_GB2312"/>
          <w:sz w:val="30"/>
          <w:szCs w:val="30"/>
        </w:rPr>
        <w:t>为维护城市卫生环境提供保障。指导、协调、监督、检查辖区渣土的管理工作，核准辖区工程渣土的排放及处理。</w:t>
      </w:r>
    </w:p>
    <w:p w:rsidR="00060D30" w:rsidRDefault="0027759A" w:rsidP="006A1B16">
      <w:pPr>
        <w:widowControl/>
        <w:ind w:firstLineChars="200" w:firstLine="600"/>
        <w:jc w:val="left"/>
        <w:outlineLvl w:val="1"/>
        <w:rPr>
          <w:rFonts w:ascii="宋体" w:eastAsia="黑体"/>
          <w:sz w:val="30"/>
          <w:szCs w:val="30"/>
        </w:rPr>
      </w:pPr>
      <w:r>
        <w:rPr>
          <w:rFonts w:ascii="宋体" w:eastAsia="黑体"/>
          <w:sz w:val="30"/>
          <w:szCs w:val="30"/>
        </w:rPr>
        <w:t>二、机构设置</w:t>
      </w:r>
    </w:p>
    <w:p w:rsidR="00060D30" w:rsidRDefault="0027759A" w:rsidP="006A1B16">
      <w:pPr>
        <w:widowControl/>
        <w:ind w:firstLineChars="200" w:firstLine="600"/>
        <w:jc w:val="left"/>
        <w:rPr>
          <w:rFonts w:ascii="Times New Roman" w:eastAsia="仿宋_GB2312"/>
          <w:sz w:val="30"/>
          <w:szCs w:val="30"/>
        </w:rPr>
      </w:pPr>
      <w:r>
        <w:rPr>
          <w:rFonts w:ascii="Times New Roman" w:eastAsia="仿宋_GB2312"/>
          <w:sz w:val="30"/>
          <w:szCs w:val="30"/>
        </w:rPr>
        <w:t>天津市东丽区渣土管理所内设</w:t>
      </w:r>
      <w:r>
        <w:rPr>
          <w:rFonts w:ascii="Times New Roman" w:eastAsia="仿宋_GB2312"/>
          <w:sz w:val="30"/>
          <w:szCs w:val="30"/>
        </w:rPr>
        <w:t>1</w:t>
      </w:r>
      <w:r>
        <w:rPr>
          <w:rFonts w:ascii="Times New Roman" w:eastAsia="仿宋_GB2312"/>
          <w:sz w:val="30"/>
          <w:szCs w:val="30"/>
        </w:rPr>
        <w:t>个职能部门；下辖</w:t>
      </w:r>
      <w:r>
        <w:rPr>
          <w:rFonts w:ascii="Times New Roman" w:eastAsia="仿宋_GB2312"/>
          <w:sz w:val="30"/>
          <w:szCs w:val="30"/>
        </w:rPr>
        <w:t>0</w:t>
      </w:r>
      <w:r>
        <w:rPr>
          <w:rFonts w:ascii="Times New Roman" w:eastAsia="仿宋_GB2312"/>
          <w:sz w:val="30"/>
          <w:szCs w:val="30"/>
        </w:rPr>
        <w:t>个预算单位。纳入</w:t>
      </w:r>
      <w:r>
        <w:rPr>
          <w:rFonts w:ascii="Times New Roman" w:eastAsia="仿宋_GB2312"/>
          <w:sz w:val="30"/>
          <w:szCs w:val="30"/>
        </w:rPr>
        <w:t>天津市东丽区渣土管理所</w:t>
      </w:r>
      <w:r>
        <w:rPr>
          <w:rFonts w:ascii="Times New Roman" w:eastAsia="仿宋_GB2312"/>
          <w:sz w:val="30"/>
          <w:szCs w:val="30"/>
        </w:rPr>
        <w:t>2024</w:t>
      </w:r>
      <w:r>
        <w:rPr>
          <w:rFonts w:ascii="Times New Roman" w:eastAsia="仿宋_GB2312"/>
          <w:sz w:val="30"/>
          <w:szCs w:val="30"/>
        </w:rPr>
        <w:t>年度部门决算编制范围的单位包括：</w:t>
      </w:r>
    </w:p>
    <w:p w:rsidR="00060D30" w:rsidRDefault="00060D30" w:rsidP="006A1B16">
      <w:pPr>
        <w:widowControl/>
        <w:ind w:firstLineChars="200" w:firstLine="600"/>
        <w:jc w:val="left"/>
        <w:rPr>
          <w:rFonts w:ascii="Times New Roman" w:eastAsia="仿宋_GB2312"/>
          <w:sz w:val="30"/>
          <w:szCs w:val="30"/>
        </w:rPr>
      </w:pPr>
    </w:p>
    <w:p w:rsidR="00060D30" w:rsidRDefault="0027759A" w:rsidP="006A1B16">
      <w:pPr>
        <w:widowControl/>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天津市东丽区渣土管理所</w:t>
      </w:r>
    </w:p>
    <w:p w:rsidR="00060D30" w:rsidRDefault="00060D30">
      <w:pPr>
        <w:widowControl/>
        <w:spacing w:line="600" w:lineRule="exact"/>
        <w:jc w:val="left"/>
        <w:rPr>
          <w:rFonts w:asciiTheme="minorEastAsia" w:hAnsiTheme="minorEastAsia" w:cstheme="minorEastAsia"/>
          <w:sz w:val="22"/>
          <w:szCs w:val="22"/>
        </w:rPr>
        <w:sectPr w:rsidR="00060D30">
          <w:headerReference w:type="default" r:id="rId8"/>
          <w:footerReference w:type="default" r:id="rId9"/>
          <w:pgSz w:w="11906" w:h="16838"/>
          <w:pgMar w:top="1531" w:right="1984" w:bottom="1531" w:left="2098" w:header="851" w:footer="992" w:gutter="0"/>
          <w:pgNumType w:start="1"/>
          <w:cols w:space="720"/>
          <w:docGrid w:type="lines" w:linePitch="312"/>
        </w:sectPr>
      </w:pPr>
    </w:p>
    <w:p w:rsidR="00060D30" w:rsidRDefault="0027759A">
      <w:pPr>
        <w:widowControl/>
        <w:jc w:val="center"/>
        <w:outlineLvl w:val="0"/>
        <w:rPr>
          <w:rFonts w:ascii="黑体" w:eastAsia="黑体"/>
          <w:sz w:val="44"/>
          <w:szCs w:val="44"/>
        </w:rPr>
      </w:pPr>
      <w:r>
        <w:rPr>
          <w:rFonts w:ascii="黑体" w:eastAsia="黑体"/>
          <w:sz w:val="44"/>
          <w:szCs w:val="44"/>
        </w:rPr>
        <w:lastRenderedPageBreak/>
        <w:t>第二部分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年度部门决算报表</w:t>
      </w:r>
    </w:p>
    <w:p w:rsidR="00060D30" w:rsidRDefault="0027759A">
      <w:pPr>
        <w:pStyle w:val="p1"/>
        <w:widowControl/>
        <w:rPr>
          <w:rFonts w:ascii="仿宋" w:eastAsia="仿宋" w:hAnsi="仿宋" w:cs="仿宋"/>
          <w:b/>
          <w:bCs/>
        </w:rPr>
      </w:pPr>
      <w:r>
        <w:rPr>
          <w:rFonts w:ascii="仿宋" w:eastAsia="仿宋" w:hAnsi="仿宋" w:cs="仿宋" w:hint="eastAsia"/>
          <w:b/>
          <w:bCs/>
        </w:rPr>
        <w:t>一、收入支出决算总表</w:t>
      </w:r>
      <w:r>
        <w:rPr>
          <w:rFonts w:ascii="仿宋" w:eastAsia="仿宋" w:hAnsi="仿宋" w:cs="仿宋" w:hint="eastAsia"/>
          <w:b/>
          <w:bCs/>
        </w:rPr>
        <w:t xml:space="preserve"> </w:t>
      </w:r>
    </w:p>
    <w:tbl>
      <w:tblPr>
        <w:tblW w:w="4999" w:type="pct"/>
        <w:tblLook w:val="04A0"/>
      </w:tblPr>
      <w:tblGrid>
        <w:gridCol w:w="4697"/>
        <w:gridCol w:w="2650"/>
        <w:gridCol w:w="3598"/>
        <w:gridCol w:w="3044"/>
      </w:tblGrid>
      <w:tr w:rsidR="00060D30">
        <w:trPr>
          <w:trHeight w:val="320"/>
        </w:trPr>
        <w:tc>
          <w:tcPr>
            <w:tcW w:w="3912" w:type="pct"/>
            <w:gridSpan w:val="3"/>
            <w:tcBorders>
              <w:top w:val="nil"/>
              <w:left w:val="nil"/>
              <w:bottom w:val="nil"/>
              <w:right w:val="nil"/>
            </w:tcBorders>
            <w:shd w:val="clear" w:color="auto" w:fill="auto"/>
            <w:noWrap/>
            <w:vAlign w:val="bottom"/>
          </w:tcPr>
          <w:p w:rsidR="00060D30" w:rsidRDefault="0027759A">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部门（单位）：天津市东丽区渣土管理所</w:t>
            </w:r>
            <w:r>
              <w:rPr>
                <w:rFonts w:asciiTheme="minorEastAsia" w:hAnsiTheme="minorEastAsia" w:cstheme="minorEastAsia" w:hint="eastAsia"/>
                <w:color w:val="000000"/>
                <w:sz w:val="22"/>
                <w:szCs w:val="22"/>
                <w:lang/>
              </w:rPr>
              <w:t xml:space="preserve"> </w:t>
            </w:r>
          </w:p>
        </w:tc>
        <w:tc>
          <w:tcPr>
            <w:tcW w:w="1087" w:type="pct"/>
            <w:tcBorders>
              <w:top w:val="nil"/>
              <w:left w:val="nil"/>
              <w:bottom w:val="nil"/>
              <w:right w:val="nil"/>
            </w:tcBorders>
            <w:shd w:val="clear" w:color="auto" w:fill="auto"/>
            <w:noWrap/>
            <w:vAlign w:val="bottom"/>
          </w:tcPr>
          <w:p w:rsidR="00060D30" w:rsidRDefault="0027759A">
            <w:pPr>
              <w:widowControl/>
              <w:jc w:val="right"/>
              <w:textAlignment w:val="bottom"/>
              <w:rPr>
                <w:rFonts w:asciiTheme="minorEastAsia" w:hAnsiTheme="minorEastAsia" w:cstheme="minorEastAsia"/>
                <w:color w:val="000000"/>
                <w:sz w:val="22"/>
                <w:szCs w:val="22"/>
              </w:rPr>
            </w:pPr>
            <w:r>
              <w:rPr>
                <w:rStyle w:val="font21"/>
                <w:rFonts w:asciiTheme="minorEastAsia" w:eastAsiaTheme="minorEastAsia" w:hAnsiTheme="minorEastAsia" w:cstheme="minorEastAsia"/>
                <w:sz w:val="22"/>
                <w:szCs w:val="22"/>
                <w:lang/>
              </w:rPr>
              <w:t>单位：元</w:t>
            </w:r>
          </w:p>
        </w:tc>
      </w:tr>
      <w:tr w:rsidR="00060D30">
        <w:trPr>
          <w:trHeight w:val="308"/>
        </w:trPr>
        <w:tc>
          <w:tcPr>
            <w:tcW w:w="1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947" w:type="pct"/>
            <w:tcBorders>
              <w:top w:val="single" w:sz="4" w:space="0" w:color="000000"/>
              <w:left w:val="nil"/>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22"/>
                <w:szCs w:val="22"/>
              </w:rPr>
            </w:pPr>
          </w:p>
        </w:tc>
        <w:tc>
          <w:tcPr>
            <w:tcW w:w="1285" w:type="pct"/>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c>
          <w:tcPr>
            <w:tcW w:w="1087" w:type="pct"/>
            <w:tcBorders>
              <w:top w:val="single" w:sz="4" w:space="0" w:color="000000"/>
              <w:left w:val="nil"/>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22"/>
                <w:szCs w:val="22"/>
              </w:rPr>
            </w:pP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94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1,022,922.28</w:t>
            </w: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四、财政专户管理资金</w:t>
            </w:r>
          </w:p>
        </w:tc>
        <w:tc>
          <w:tcPr>
            <w:tcW w:w="94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五、事业收入</w:t>
            </w:r>
          </w:p>
        </w:tc>
        <w:tc>
          <w:tcPr>
            <w:tcW w:w="94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六、事业单位经营收入</w:t>
            </w:r>
          </w:p>
        </w:tc>
        <w:tc>
          <w:tcPr>
            <w:tcW w:w="94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113,490.72</w:t>
            </w: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七、上级补助收入</w:t>
            </w:r>
          </w:p>
        </w:tc>
        <w:tc>
          <w:tcPr>
            <w:tcW w:w="94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47,288.10</w:t>
            </w: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八、附属单位上缴收入</w:t>
            </w:r>
          </w:p>
        </w:tc>
        <w:tc>
          <w:tcPr>
            <w:tcW w:w="94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九、其他收入</w:t>
            </w:r>
          </w:p>
        </w:tc>
        <w:tc>
          <w:tcPr>
            <w:tcW w:w="94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20.47</w:t>
            </w: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601,658.46</w:t>
            </w: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260,778.00</w:t>
            </w: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二十三、抗疫特别国债安排的支出</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94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1,022,942.75</w:t>
            </w: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1,023,215.28</w:t>
            </w: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十、使用非财政拨款结余</w:t>
            </w:r>
          </w:p>
        </w:tc>
        <w:tc>
          <w:tcPr>
            <w:tcW w:w="94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272.53</w:t>
            </w: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二十四、结余分配</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十一、年初结转和结余</w:t>
            </w:r>
          </w:p>
        </w:tc>
        <w:tc>
          <w:tcPr>
            <w:tcW w:w="94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二十五、年末结转和结余</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其中：财政拨款结转和结余</w:t>
            </w:r>
          </w:p>
        </w:tc>
        <w:tc>
          <w:tcPr>
            <w:tcW w:w="94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其他结转和结余</w:t>
            </w:r>
          </w:p>
        </w:tc>
        <w:tc>
          <w:tcPr>
            <w:tcW w:w="94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r>
      <w:tr w:rsidR="00060D3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收入总计</w:t>
            </w:r>
          </w:p>
        </w:tc>
        <w:tc>
          <w:tcPr>
            <w:tcW w:w="94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1,023,215.28</w:t>
            </w:r>
          </w:p>
        </w:tc>
        <w:tc>
          <w:tcPr>
            <w:tcW w:w="128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支出总计</w:t>
            </w:r>
          </w:p>
        </w:tc>
        <w:tc>
          <w:tcPr>
            <w:tcW w:w="108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1,023,215.28</w:t>
            </w:r>
          </w:p>
        </w:tc>
      </w:tr>
      <w:tr w:rsidR="00060D30">
        <w:trPr>
          <w:trHeight w:val="308"/>
        </w:trPr>
        <w:tc>
          <w:tcPr>
            <w:tcW w:w="5000" w:type="pct"/>
            <w:gridSpan w:val="4"/>
            <w:tcBorders>
              <w:top w:val="nil"/>
              <w:left w:val="nil"/>
              <w:bottom w:val="nil"/>
              <w:right w:val="nil"/>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注：本表反映本年度的总收支和年末结转结余情况。财政专户管理资金是指教育收费；事业收入不含教育收费。</w:t>
            </w:r>
          </w:p>
        </w:tc>
      </w:tr>
    </w:tbl>
    <w:p w:rsidR="00060D30" w:rsidRDefault="0027759A">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060D30" w:rsidRDefault="0027759A">
      <w:pPr>
        <w:pStyle w:val="p1"/>
        <w:widowControl/>
        <w:rPr>
          <w:rFonts w:ascii="仿宋" w:eastAsia="仿宋" w:hAnsi="仿宋" w:cs="仿宋"/>
          <w:b/>
          <w:bCs/>
        </w:rPr>
      </w:pPr>
      <w:r>
        <w:rPr>
          <w:rFonts w:ascii="仿宋" w:eastAsia="仿宋" w:hAnsi="仿宋" w:cs="仿宋" w:hint="eastAsia"/>
          <w:b/>
          <w:bCs/>
        </w:rPr>
        <w:lastRenderedPageBreak/>
        <w:t>二、收入决算表</w:t>
      </w:r>
      <w:r>
        <w:rPr>
          <w:rFonts w:ascii="仿宋" w:eastAsia="仿宋" w:hAnsi="仿宋" w:cs="仿宋" w:hint="eastAsia"/>
          <w:b/>
          <w:bCs/>
        </w:rPr>
        <w:t>(</w:t>
      </w:r>
      <w:r>
        <w:rPr>
          <w:rFonts w:ascii="仿宋" w:eastAsia="仿宋" w:hAnsi="仿宋" w:cs="仿宋" w:hint="eastAsia"/>
          <w:b/>
          <w:bCs/>
        </w:rPr>
        <w:t>按功能分类列示</w:t>
      </w:r>
      <w:r>
        <w:rPr>
          <w:rFonts w:ascii="仿宋" w:eastAsia="仿宋" w:hAnsi="仿宋" w:cs="仿宋" w:hint="eastAsia"/>
          <w:b/>
          <w:bCs/>
        </w:rPr>
        <w:t>)</w:t>
      </w:r>
      <w:r>
        <w:rPr>
          <w:rFonts w:ascii="仿宋" w:eastAsia="仿宋" w:hAnsi="仿宋" w:cs="仿宋" w:hint="eastAsia"/>
          <w:b/>
          <w:bCs/>
        </w:rPr>
        <w:t xml:space="preserve"> </w:t>
      </w:r>
    </w:p>
    <w:tbl>
      <w:tblPr>
        <w:tblW w:w="4999" w:type="pct"/>
        <w:tblLayout w:type="fixed"/>
        <w:tblLook w:val="04A0"/>
      </w:tblPr>
      <w:tblGrid>
        <w:gridCol w:w="1026"/>
        <w:gridCol w:w="2887"/>
        <w:gridCol w:w="1385"/>
        <w:gridCol w:w="1248"/>
        <w:gridCol w:w="1298"/>
        <w:gridCol w:w="1237"/>
        <w:gridCol w:w="1175"/>
        <w:gridCol w:w="1245"/>
        <w:gridCol w:w="1223"/>
        <w:gridCol w:w="1265"/>
      </w:tblGrid>
      <w:tr w:rsidR="00060D30">
        <w:trPr>
          <w:trHeight w:val="320"/>
        </w:trPr>
        <w:tc>
          <w:tcPr>
            <w:tcW w:w="4548" w:type="pct"/>
            <w:gridSpan w:val="9"/>
            <w:tcBorders>
              <w:top w:val="nil"/>
              <w:left w:val="nil"/>
              <w:bottom w:val="nil"/>
              <w:right w:val="nil"/>
            </w:tcBorders>
            <w:shd w:val="clear" w:color="auto" w:fill="auto"/>
            <w:noWrap/>
            <w:vAlign w:val="bottom"/>
          </w:tcPr>
          <w:p w:rsidR="00060D30" w:rsidRDefault="0027759A">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部门（单位）：天津市东丽区渣土管理所</w:t>
            </w:r>
            <w:r>
              <w:rPr>
                <w:rFonts w:asciiTheme="minorEastAsia" w:hAnsiTheme="minorEastAsia" w:cstheme="minorEastAsia" w:hint="eastAsia"/>
                <w:color w:val="000000"/>
                <w:sz w:val="22"/>
                <w:szCs w:val="22"/>
                <w:lang/>
              </w:rPr>
              <w:t xml:space="preserve"> </w:t>
            </w:r>
          </w:p>
        </w:tc>
        <w:tc>
          <w:tcPr>
            <w:tcW w:w="451" w:type="pct"/>
            <w:tcBorders>
              <w:top w:val="nil"/>
              <w:left w:val="nil"/>
              <w:bottom w:val="nil"/>
              <w:right w:val="nil"/>
            </w:tcBorders>
            <w:shd w:val="clear" w:color="auto" w:fill="auto"/>
            <w:noWrap/>
            <w:vAlign w:val="bottom"/>
          </w:tcPr>
          <w:p w:rsidR="00060D30" w:rsidRDefault="0027759A">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060D30">
        <w:trPr>
          <w:trHeight w:val="308"/>
        </w:trPr>
        <w:tc>
          <w:tcPr>
            <w:tcW w:w="13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项</w:t>
            </w:r>
            <w:r>
              <w:rPr>
                <w:rFonts w:asciiTheme="minorEastAsia" w:hAnsiTheme="minorEastAsia" w:cstheme="minorEastAsia" w:hint="eastAsia"/>
                <w:color w:val="000000"/>
                <w:sz w:val="15"/>
                <w:szCs w:val="15"/>
                <w:lang/>
              </w:rPr>
              <w:t xml:space="preserve">      </w:t>
            </w:r>
            <w:r>
              <w:rPr>
                <w:rFonts w:asciiTheme="minorEastAsia" w:hAnsiTheme="minorEastAsia" w:cstheme="minorEastAsia" w:hint="eastAsia"/>
                <w:color w:val="000000"/>
                <w:sz w:val="15"/>
                <w:szCs w:val="15"/>
                <w:lang/>
              </w:rPr>
              <w:t>目</w:t>
            </w:r>
          </w:p>
        </w:tc>
        <w:tc>
          <w:tcPr>
            <w:tcW w:w="495" w:type="pct"/>
            <w:vMerge w:val="restart"/>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本年收入合计</w:t>
            </w:r>
          </w:p>
        </w:tc>
        <w:tc>
          <w:tcPr>
            <w:tcW w:w="446" w:type="pct"/>
            <w:vMerge w:val="restart"/>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财政拨款收入</w:t>
            </w:r>
          </w:p>
        </w:tc>
        <w:tc>
          <w:tcPr>
            <w:tcW w:w="464" w:type="pct"/>
            <w:vMerge w:val="restart"/>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上级补助收入</w:t>
            </w:r>
          </w:p>
        </w:tc>
        <w:tc>
          <w:tcPr>
            <w:tcW w:w="862" w:type="pct"/>
            <w:gridSpan w:val="2"/>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事业收入</w:t>
            </w:r>
          </w:p>
        </w:tc>
        <w:tc>
          <w:tcPr>
            <w:tcW w:w="445" w:type="pct"/>
            <w:vMerge w:val="restart"/>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经营收入</w:t>
            </w:r>
          </w:p>
        </w:tc>
        <w:tc>
          <w:tcPr>
            <w:tcW w:w="434" w:type="pct"/>
            <w:vMerge w:val="restart"/>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附属单位上缴收入</w:t>
            </w:r>
          </w:p>
        </w:tc>
        <w:tc>
          <w:tcPr>
            <w:tcW w:w="451" w:type="pct"/>
            <w:vMerge w:val="restart"/>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其他收入</w:t>
            </w:r>
          </w:p>
        </w:tc>
      </w:tr>
      <w:tr w:rsidR="00060D30">
        <w:trPr>
          <w:trHeight w:val="308"/>
        </w:trPr>
        <w:tc>
          <w:tcPr>
            <w:tcW w:w="36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科目编码</w:t>
            </w:r>
          </w:p>
        </w:tc>
        <w:tc>
          <w:tcPr>
            <w:tcW w:w="1032"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科目名称</w:t>
            </w:r>
          </w:p>
        </w:tc>
        <w:tc>
          <w:tcPr>
            <w:tcW w:w="495" w:type="pct"/>
            <w:vMerge/>
            <w:tcBorders>
              <w:top w:val="single" w:sz="4" w:space="0" w:color="000000"/>
              <w:left w:val="nil"/>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15"/>
                <w:szCs w:val="15"/>
              </w:rPr>
            </w:pPr>
          </w:p>
        </w:tc>
        <w:tc>
          <w:tcPr>
            <w:tcW w:w="446" w:type="pct"/>
            <w:vMerge/>
            <w:tcBorders>
              <w:top w:val="single" w:sz="4" w:space="0" w:color="000000"/>
              <w:left w:val="nil"/>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15"/>
                <w:szCs w:val="15"/>
              </w:rPr>
            </w:pPr>
          </w:p>
        </w:tc>
        <w:tc>
          <w:tcPr>
            <w:tcW w:w="464" w:type="pct"/>
            <w:vMerge/>
            <w:tcBorders>
              <w:top w:val="single" w:sz="4" w:space="0" w:color="000000"/>
              <w:left w:val="nil"/>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15"/>
                <w:szCs w:val="15"/>
              </w:rPr>
            </w:pPr>
          </w:p>
        </w:tc>
        <w:tc>
          <w:tcPr>
            <w:tcW w:w="442"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小计</w:t>
            </w:r>
          </w:p>
        </w:tc>
        <w:tc>
          <w:tcPr>
            <w:tcW w:w="41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其中：教育收费</w:t>
            </w:r>
          </w:p>
        </w:tc>
        <w:tc>
          <w:tcPr>
            <w:tcW w:w="445" w:type="pct"/>
            <w:vMerge/>
            <w:tcBorders>
              <w:top w:val="single" w:sz="4" w:space="0" w:color="000000"/>
              <w:left w:val="nil"/>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15"/>
                <w:szCs w:val="15"/>
              </w:rPr>
            </w:pPr>
          </w:p>
        </w:tc>
        <w:tc>
          <w:tcPr>
            <w:tcW w:w="434" w:type="pct"/>
            <w:vMerge/>
            <w:tcBorders>
              <w:top w:val="single" w:sz="4" w:space="0" w:color="000000"/>
              <w:left w:val="nil"/>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15"/>
                <w:szCs w:val="15"/>
              </w:rPr>
            </w:pPr>
          </w:p>
        </w:tc>
        <w:tc>
          <w:tcPr>
            <w:tcW w:w="451" w:type="pct"/>
            <w:vMerge/>
            <w:tcBorders>
              <w:top w:val="single" w:sz="4" w:space="0" w:color="000000"/>
              <w:left w:val="nil"/>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15"/>
                <w:szCs w:val="15"/>
              </w:rPr>
            </w:pPr>
          </w:p>
        </w:tc>
      </w:tr>
      <w:tr w:rsidR="00060D30">
        <w:trPr>
          <w:trHeight w:val="880"/>
        </w:trPr>
        <w:tc>
          <w:tcPr>
            <w:tcW w:w="1399" w:type="pct"/>
            <w:gridSpan w:val="2"/>
            <w:tcBorders>
              <w:top w:val="nil"/>
              <w:left w:val="single" w:sz="4" w:space="0" w:color="000000"/>
              <w:bottom w:val="nil"/>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合计</w:t>
            </w:r>
          </w:p>
        </w:tc>
        <w:tc>
          <w:tcPr>
            <w:tcW w:w="495" w:type="pct"/>
            <w:tcBorders>
              <w:top w:val="nil"/>
              <w:left w:val="nil"/>
              <w:bottom w:val="nil"/>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1,022,942.75</w:t>
            </w:r>
          </w:p>
        </w:tc>
        <w:tc>
          <w:tcPr>
            <w:tcW w:w="446" w:type="pct"/>
            <w:tcBorders>
              <w:top w:val="nil"/>
              <w:left w:val="nil"/>
              <w:bottom w:val="nil"/>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1,022,922.28</w:t>
            </w:r>
          </w:p>
        </w:tc>
        <w:tc>
          <w:tcPr>
            <w:tcW w:w="464" w:type="pct"/>
            <w:tcBorders>
              <w:top w:val="nil"/>
              <w:left w:val="nil"/>
              <w:bottom w:val="nil"/>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2" w:type="pct"/>
            <w:tcBorders>
              <w:top w:val="nil"/>
              <w:left w:val="nil"/>
              <w:bottom w:val="nil"/>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19" w:type="pct"/>
            <w:tcBorders>
              <w:top w:val="nil"/>
              <w:left w:val="nil"/>
              <w:bottom w:val="nil"/>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5" w:type="pct"/>
            <w:tcBorders>
              <w:top w:val="nil"/>
              <w:left w:val="nil"/>
              <w:bottom w:val="nil"/>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34" w:type="pct"/>
            <w:tcBorders>
              <w:top w:val="nil"/>
              <w:left w:val="nil"/>
              <w:bottom w:val="nil"/>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51" w:type="pct"/>
            <w:tcBorders>
              <w:top w:val="nil"/>
              <w:left w:val="nil"/>
              <w:bottom w:val="nil"/>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20.47</w:t>
            </w:r>
          </w:p>
        </w:tc>
      </w:tr>
      <w:tr w:rsidR="00060D3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社会保障和就业支出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113,490.72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113,490.72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r>
      <w:tr w:rsidR="00060D3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行政事业单位养老支出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113,490.72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113,490.72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r>
      <w:tr w:rsidR="00060D3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机关事业单位基本养老保险缴费支出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75,660.48</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75,660.48</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r>
      <w:tr w:rsidR="00060D3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2080506</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机关事业单位职业年金缴费支出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37,830.24</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37,830.24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r>
      <w:tr w:rsidR="00060D3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卫生健康支出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47,288.10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47,288.10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r>
      <w:tr w:rsidR="00060D3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47,288.10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47,288.10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r>
      <w:tr w:rsidR="00060D3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47,288.10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47,288.10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r>
      <w:tr w:rsidR="00060D3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212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601,385.93</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601,365.46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20.47</w:t>
            </w:r>
          </w:p>
        </w:tc>
      </w:tr>
      <w:tr w:rsidR="00060D3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城乡社区规划与管理</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601,385.93</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601,365.46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20.47</w:t>
            </w:r>
          </w:p>
        </w:tc>
      </w:tr>
      <w:tr w:rsidR="00060D3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2120201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城乡社区规划与管理</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601,385.93</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601,365.46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20.47</w:t>
            </w:r>
          </w:p>
        </w:tc>
      </w:tr>
      <w:tr w:rsidR="00060D3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住房保障支出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260,778.00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260,778.00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r>
      <w:tr w:rsidR="00060D3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住房改革支出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260,778.00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260,778.00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r>
      <w:tr w:rsidR="00060D3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2210201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住房公积金</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260,778.00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260,778.00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5"/>
                <w:szCs w:val="15"/>
              </w:rPr>
            </w:pPr>
          </w:p>
        </w:tc>
      </w:tr>
      <w:tr w:rsidR="00060D30">
        <w:trPr>
          <w:trHeight w:val="308"/>
        </w:trPr>
        <w:tc>
          <w:tcPr>
            <w:tcW w:w="5000" w:type="pct"/>
            <w:gridSpan w:val="10"/>
            <w:tcBorders>
              <w:top w:val="nil"/>
              <w:left w:val="nil"/>
              <w:bottom w:val="nil"/>
              <w:right w:val="nil"/>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注：本表反映本年度取得的各项收入情况。</w:t>
            </w:r>
          </w:p>
        </w:tc>
      </w:tr>
    </w:tbl>
    <w:p w:rsidR="00060D30" w:rsidRDefault="0027759A">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060D30" w:rsidRDefault="0027759A">
      <w:pPr>
        <w:pStyle w:val="p1"/>
        <w:widowControl/>
        <w:rPr>
          <w:rFonts w:ascii="仿宋" w:eastAsia="仿宋" w:hAnsi="仿宋" w:cs="仿宋"/>
          <w:b/>
          <w:bCs/>
        </w:rPr>
      </w:pPr>
      <w:r>
        <w:rPr>
          <w:rFonts w:ascii="仿宋" w:eastAsia="仿宋" w:hAnsi="仿宋" w:cs="仿宋" w:hint="eastAsia"/>
          <w:b/>
          <w:bCs/>
        </w:rPr>
        <w:lastRenderedPageBreak/>
        <w:t>三、收入决算表</w:t>
      </w:r>
      <w:r>
        <w:rPr>
          <w:rFonts w:ascii="仿宋" w:eastAsia="仿宋" w:hAnsi="仿宋" w:cs="仿宋" w:hint="eastAsia"/>
          <w:b/>
          <w:bCs/>
        </w:rPr>
        <w:t>(</w:t>
      </w:r>
      <w:r>
        <w:rPr>
          <w:rFonts w:ascii="仿宋" w:eastAsia="仿宋" w:hAnsi="仿宋" w:cs="仿宋" w:hint="eastAsia"/>
          <w:b/>
          <w:bCs/>
        </w:rPr>
        <w:t>按单位列示</w:t>
      </w:r>
      <w:r>
        <w:rPr>
          <w:rFonts w:ascii="仿宋" w:eastAsia="仿宋" w:hAnsi="仿宋" w:cs="仿宋" w:hint="eastAsia"/>
          <w:b/>
          <w:bCs/>
        </w:rPr>
        <w:t>)</w:t>
      </w:r>
    </w:p>
    <w:tbl>
      <w:tblPr>
        <w:tblW w:w="5000" w:type="pct"/>
        <w:tblLayout w:type="fixed"/>
        <w:tblLook w:val="04A0"/>
      </w:tblPr>
      <w:tblGrid>
        <w:gridCol w:w="526"/>
        <w:gridCol w:w="1049"/>
        <w:gridCol w:w="548"/>
        <w:gridCol w:w="613"/>
        <w:gridCol w:w="649"/>
        <w:gridCol w:w="610"/>
        <w:gridCol w:w="660"/>
        <w:gridCol w:w="711"/>
        <w:gridCol w:w="658"/>
        <w:gridCol w:w="686"/>
        <w:gridCol w:w="649"/>
        <w:gridCol w:w="660"/>
        <w:gridCol w:w="353"/>
        <w:gridCol w:w="263"/>
        <w:gridCol w:w="624"/>
        <w:gridCol w:w="700"/>
        <w:gridCol w:w="711"/>
        <w:gridCol w:w="686"/>
        <w:gridCol w:w="714"/>
        <w:gridCol w:w="635"/>
        <w:gridCol w:w="635"/>
        <w:gridCol w:w="652"/>
      </w:tblGrid>
      <w:tr w:rsidR="00060D30">
        <w:trPr>
          <w:trHeight w:val="320"/>
        </w:trPr>
        <w:tc>
          <w:tcPr>
            <w:tcW w:w="2153" w:type="pct"/>
            <w:gridSpan w:val="9"/>
            <w:tcBorders>
              <w:top w:val="nil"/>
              <w:left w:val="nil"/>
              <w:bottom w:val="nil"/>
              <w:right w:val="nil"/>
            </w:tcBorders>
            <w:shd w:val="clear" w:color="auto" w:fill="auto"/>
            <w:noWrap/>
            <w:vAlign w:val="bottom"/>
          </w:tcPr>
          <w:p w:rsidR="00060D30" w:rsidRDefault="0027759A">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部门（单位）：天津市东丽区渣土管理所</w:t>
            </w:r>
            <w:r>
              <w:rPr>
                <w:rFonts w:asciiTheme="minorEastAsia" w:hAnsiTheme="minorEastAsia" w:cstheme="minorEastAsia" w:hint="eastAsia"/>
                <w:color w:val="000000"/>
                <w:sz w:val="18"/>
                <w:szCs w:val="18"/>
                <w:lang/>
              </w:rPr>
              <w:t xml:space="preserve"> </w:t>
            </w:r>
          </w:p>
        </w:tc>
        <w:tc>
          <w:tcPr>
            <w:tcW w:w="245" w:type="pct"/>
            <w:tcBorders>
              <w:top w:val="nil"/>
              <w:left w:val="nil"/>
              <w:bottom w:val="nil"/>
              <w:right w:val="nil"/>
            </w:tcBorders>
            <w:shd w:val="clear" w:color="auto" w:fill="auto"/>
            <w:noWrap/>
            <w:vAlign w:val="bottom"/>
          </w:tcPr>
          <w:p w:rsidR="00060D30" w:rsidRDefault="00060D30">
            <w:pPr>
              <w:rPr>
                <w:rFonts w:asciiTheme="minorEastAsia" w:hAnsiTheme="minorEastAsia" w:cstheme="minorEastAsia"/>
                <w:color w:val="000000"/>
                <w:sz w:val="18"/>
                <w:szCs w:val="18"/>
              </w:rPr>
            </w:pPr>
          </w:p>
        </w:tc>
        <w:tc>
          <w:tcPr>
            <w:tcW w:w="232" w:type="pct"/>
            <w:tcBorders>
              <w:top w:val="nil"/>
              <w:left w:val="nil"/>
              <w:bottom w:val="nil"/>
              <w:right w:val="nil"/>
            </w:tcBorders>
            <w:shd w:val="clear" w:color="auto" w:fill="auto"/>
            <w:noWrap/>
            <w:vAlign w:val="bottom"/>
          </w:tcPr>
          <w:p w:rsidR="00060D30" w:rsidRDefault="00060D30">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rsidR="00060D30" w:rsidRDefault="00060D30">
            <w:pPr>
              <w:rPr>
                <w:rFonts w:asciiTheme="minorEastAsia" w:hAnsiTheme="minorEastAsia" w:cstheme="minorEastAsia"/>
                <w:color w:val="000000"/>
                <w:sz w:val="18"/>
                <w:szCs w:val="18"/>
              </w:rPr>
            </w:pPr>
          </w:p>
        </w:tc>
        <w:tc>
          <w:tcPr>
            <w:tcW w:w="126" w:type="pct"/>
            <w:tcBorders>
              <w:top w:val="nil"/>
              <w:left w:val="nil"/>
              <w:bottom w:val="nil"/>
              <w:right w:val="nil"/>
            </w:tcBorders>
            <w:shd w:val="clear" w:color="auto" w:fill="auto"/>
            <w:noWrap/>
            <w:vAlign w:val="bottom"/>
          </w:tcPr>
          <w:p w:rsidR="00060D30" w:rsidRDefault="00060D30">
            <w:pPr>
              <w:rPr>
                <w:rFonts w:asciiTheme="minorEastAsia" w:hAnsiTheme="minorEastAsia" w:cstheme="minorEastAsia"/>
                <w:color w:val="000000"/>
                <w:sz w:val="18"/>
                <w:szCs w:val="18"/>
              </w:rPr>
            </w:pPr>
          </w:p>
        </w:tc>
        <w:tc>
          <w:tcPr>
            <w:tcW w:w="316" w:type="pct"/>
            <w:gridSpan w:val="2"/>
            <w:tcBorders>
              <w:top w:val="nil"/>
              <w:left w:val="nil"/>
              <w:bottom w:val="nil"/>
              <w:right w:val="nil"/>
            </w:tcBorders>
            <w:shd w:val="clear" w:color="auto" w:fill="auto"/>
            <w:noWrap/>
            <w:vAlign w:val="bottom"/>
          </w:tcPr>
          <w:p w:rsidR="00060D30" w:rsidRDefault="00060D30">
            <w:pPr>
              <w:rPr>
                <w:rFonts w:asciiTheme="minorEastAsia" w:hAnsiTheme="minorEastAsia" w:cstheme="minorEastAsia"/>
                <w:color w:val="000000"/>
                <w:sz w:val="18"/>
                <w:szCs w:val="18"/>
              </w:rPr>
            </w:pPr>
          </w:p>
        </w:tc>
        <w:tc>
          <w:tcPr>
            <w:tcW w:w="250" w:type="pct"/>
            <w:tcBorders>
              <w:top w:val="nil"/>
              <w:left w:val="nil"/>
              <w:bottom w:val="nil"/>
              <w:right w:val="nil"/>
            </w:tcBorders>
            <w:shd w:val="clear" w:color="auto" w:fill="auto"/>
            <w:noWrap/>
            <w:vAlign w:val="bottom"/>
          </w:tcPr>
          <w:p w:rsidR="00060D30" w:rsidRDefault="00060D30">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060D30" w:rsidRDefault="00060D30">
            <w:pPr>
              <w:rPr>
                <w:rFonts w:asciiTheme="minorEastAsia" w:hAnsiTheme="minorEastAsia" w:cstheme="minorEastAsia"/>
                <w:color w:val="000000"/>
                <w:sz w:val="18"/>
                <w:szCs w:val="18"/>
              </w:rPr>
            </w:pPr>
          </w:p>
        </w:tc>
        <w:tc>
          <w:tcPr>
            <w:tcW w:w="245" w:type="pct"/>
            <w:tcBorders>
              <w:top w:val="nil"/>
              <w:left w:val="nil"/>
              <w:bottom w:val="nil"/>
              <w:right w:val="nil"/>
            </w:tcBorders>
            <w:shd w:val="clear" w:color="auto" w:fill="auto"/>
            <w:noWrap/>
            <w:vAlign w:val="bottom"/>
          </w:tcPr>
          <w:p w:rsidR="00060D30" w:rsidRDefault="00060D30">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060D30" w:rsidRDefault="00060D30">
            <w:pPr>
              <w:rPr>
                <w:rFonts w:asciiTheme="minorEastAsia" w:hAnsiTheme="minorEastAsia" w:cstheme="minorEastAsia"/>
                <w:color w:val="000000"/>
                <w:sz w:val="18"/>
                <w:szCs w:val="18"/>
              </w:rPr>
            </w:pPr>
          </w:p>
        </w:tc>
        <w:tc>
          <w:tcPr>
            <w:tcW w:w="227" w:type="pct"/>
            <w:tcBorders>
              <w:top w:val="nil"/>
              <w:left w:val="nil"/>
              <w:bottom w:val="nil"/>
              <w:right w:val="nil"/>
            </w:tcBorders>
            <w:shd w:val="clear" w:color="auto" w:fill="auto"/>
            <w:noWrap/>
            <w:vAlign w:val="bottom"/>
          </w:tcPr>
          <w:p w:rsidR="00060D30" w:rsidRDefault="00060D30">
            <w:pPr>
              <w:rPr>
                <w:rFonts w:asciiTheme="minorEastAsia" w:hAnsiTheme="minorEastAsia" w:cstheme="minorEastAsia"/>
                <w:color w:val="000000"/>
                <w:sz w:val="18"/>
                <w:szCs w:val="18"/>
              </w:rPr>
            </w:pPr>
          </w:p>
        </w:tc>
        <w:tc>
          <w:tcPr>
            <w:tcW w:w="456" w:type="pct"/>
            <w:gridSpan w:val="2"/>
            <w:tcBorders>
              <w:top w:val="nil"/>
              <w:left w:val="nil"/>
              <w:bottom w:val="nil"/>
              <w:right w:val="nil"/>
            </w:tcBorders>
            <w:shd w:val="clear" w:color="auto" w:fill="auto"/>
            <w:noWrap/>
            <w:vAlign w:val="bottom"/>
          </w:tcPr>
          <w:p w:rsidR="00060D30" w:rsidRDefault="0027759A">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单位：元</w:t>
            </w:r>
          </w:p>
        </w:tc>
      </w:tr>
      <w:tr w:rsidR="00060D30">
        <w:trPr>
          <w:trHeight w:val="308"/>
        </w:trPr>
        <w:tc>
          <w:tcPr>
            <w:tcW w:w="1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部门（单位）代码</w:t>
            </w:r>
          </w:p>
        </w:tc>
        <w:tc>
          <w:tcPr>
            <w:tcW w:w="375" w:type="pct"/>
            <w:vMerge w:val="restart"/>
            <w:tcBorders>
              <w:top w:val="single" w:sz="4" w:space="0" w:color="000000"/>
              <w:left w:val="nil"/>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部门（单位）名称</w:t>
            </w:r>
          </w:p>
        </w:tc>
        <w:tc>
          <w:tcPr>
            <w:tcW w:w="196" w:type="pct"/>
            <w:vMerge w:val="restart"/>
            <w:tcBorders>
              <w:top w:val="single" w:sz="4" w:space="0" w:color="000000"/>
              <w:left w:val="nil"/>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合计</w:t>
            </w:r>
          </w:p>
        </w:tc>
        <w:tc>
          <w:tcPr>
            <w:tcW w:w="2327" w:type="pct"/>
            <w:gridSpan w:val="11"/>
            <w:tcBorders>
              <w:top w:val="single" w:sz="4" w:space="0" w:color="000000"/>
              <w:left w:val="nil"/>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本年收入</w:t>
            </w:r>
          </w:p>
        </w:tc>
        <w:tc>
          <w:tcPr>
            <w:tcW w:w="1912" w:type="pct"/>
            <w:gridSpan w:val="8"/>
            <w:tcBorders>
              <w:top w:val="single" w:sz="4" w:space="0" w:color="000000"/>
              <w:left w:val="nil"/>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上年结转和结余</w:t>
            </w:r>
          </w:p>
        </w:tc>
      </w:tr>
      <w:tr w:rsidR="00060D30">
        <w:trPr>
          <w:trHeight w:val="308"/>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060D30" w:rsidRDefault="00060D30">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060D30" w:rsidRDefault="00060D30">
            <w:pPr>
              <w:jc w:val="center"/>
              <w:rPr>
                <w:rFonts w:asciiTheme="minorEastAsia" w:hAnsiTheme="minorEastAsia" w:cstheme="minorEastAsia"/>
                <w:color w:val="000000"/>
                <w:sz w:val="13"/>
                <w:szCs w:val="13"/>
              </w:rPr>
            </w:pPr>
          </w:p>
        </w:tc>
        <w:tc>
          <w:tcPr>
            <w:tcW w:w="219" w:type="pct"/>
            <w:vMerge w:val="restart"/>
            <w:tcBorders>
              <w:top w:val="nil"/>
              <w:left w:val="nil"/>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32" w:type="pct"/>
            <w:vMerge w:val="restart"/>
            <w:tcBorders>
              <w:top w:val="nil"/>
              <w:left w:val="nil"/>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18" w:type="pct"/>
            <w:vMerge w:val="restart"/>
            <w:tcBorders>
              <w:top w:val="nil"/>
              <w:left w:val="nil"/>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36" w:type="pct"/>
            <w:vMerge w:val="restart"/>
            <w:tcBorders>
              <w:top w:val="nil"/>
              <w:left w:val="nil"/>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54" w:type="pct"/>
            <w:vMerge w:val="restart"/>
            <w:tcBorders>
              <w:top w:val="nil"/>
              <w:left w:val="nil"/>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32" w:type="pct"/>
            <w:vMerge w:val="restart"/>
            <w:tcBorders>
              <w:top w:val="nil"/>
              <w:left w:val="nil"/>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事业收入</w:t>
            </w:r>
          </w:p>
        </w:tc>
        <w:tc>
          <w:tcPr>
            <w:tcW w:w="245" w:type="pct"/>
            <w:vMerge w:val="restart"/>
            <w:tcBorders>
              <w:top w:val="nil"/>
              <w:left w:val="nil"/>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事业单位经营收入</w:t>
            </w:r>
          </w:p>
        </w:tc>
        <w:tc>
          <w:tcPr>
            <w:tcW w:w="232" w:type="pct"/>
            <w:vMerge w:val="restart"/>
            <w:tcBorders>
              <w:top w:val="nil"/>
              <w:left w:val="nil"/>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上级补助收入</w:t>
            </w:r>
          </w:p>
        </w:tc>
        <w:tc>
          <w:tcPr>
            <w:tcW w:w="236" w:type="pct"/>
            <w:vMerge w:val="restart"/>
            <w:tcBorders>
              <w:top w:val="nil"/>
              <w:left w:val="nil"/>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附属单位上缴收入</w:t>
            </w:r>
          </w:p>
        </w:tc>
        <w:tc>
          <w:tcPr>
            <w:tcW w:w="219" w:type="pct"/>
            <w:gridSpan w:val="2"/>
            <w:vMerge w:val="restart"/>
            <w:tcBorders>
              <w:top w:val="nil"/>
              <w:left w:val="nil"/>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其他收入</w:t>
            </w:r>
          </w:p>
        </w:tc>
        <w:tc>
          <w:tcPr>
            <w:tcW w:w="223" w:type="pct"/>
            <w:vMerge w:val="restart"/>
            <w:tcBorders>
              <w:top w:val="nil"/>
              <w:left w:val="nil"/>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1004" w:type="pct"/>
            <w:gridSpan w:val="4"/>
            <w:tcBorders>
              <w:top w:val="nil"/>
              <w:left w:val="nil"/>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财政拨款结转结余</w:t>
            </w:r>
          </w:p>
        </w:tc>
        <w:tc>
          <w:tcPr>
            <w:tcW w:w="684" w:type="pct"/>
            <w:gridSpan w:val="3"/>
            <w:tcBorders>
              <w:top w:val="nil"/>
              <w:left w:val="nil"/>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非财政拨款结转结余</w:t>
            </w:r>
          </w:p>
        </w:tc>
      </w:tr>
      <w:tr w:rsidR="00060D30">
        <w:trPr>
          <w:trHeight w:val="780"/>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060D30" w:rsidRDefault="00060D30">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060D30" w:rsidRDefault="00060D30">
            <w:pPr>
              <w:jc w:val="center"/>
              <w:rPr>
                <w:rFonts w:asciiTheme="minorEastAsia" w:hAnsiTheme="minorEastAsia" w:cstheme="minorEastAsia"/>
                <w:color w:val="000000"/>
                <w:sz w:val="13"/>
                <w:szCs w:val="13"/>
              </w:rPr>
            </w:pPr>
          </w:p>
        </w:tc>
        <w:tc>
          <w:tcPr>
            <w:tcW w:w="219" w:type="pct"/>
            <w:vMerge/>
            <w:tcBorders>
              <w:top w:val="nil"/>
              <w:left w:val="nil"/>
              <w:bottom w:val="single" w:sz="4" w:space="0" w:color="000000"/>
              <w:right w:val="single" w:sz="4" w:space="0" w:color="000000"/>
            </w:tcBorders>
            <w:shd w:val="clear" w:color="auto" w:fill="auto"/>
            <w:vAlign w:val="center"/>
          </w:tcPr>
          <w:p w:rsidR="00060D30" w:rsidRDefault="00060D30">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060D30" w:rsidRDefault="00060D30">
            <w:pPr>
              <w:jc w:val="center"/>
              <w:rPr>
                <w:rFonts w:asciiTheme="minorEastAsia" w:hAnsiTheme="minorEastAsia" w:cstheme="minorEastAsia"/>
                <w:color w:val="000000"/>
                <w:sz w:val="13"/>
                <w:szCs w:val="13"/>
              </w:rPr>
            </w:pPr>
          </w:p>
        </w:tc>
        <w:tc>
          <w:tcPr>
            <w:tcW w:w="218" w:type="pct"/>
            <w:vMerge/>
            <w:tcBorders>
              <w:top w:val="nil"/>
              <w:left w:val="nil"/>
              <w:bottom w:val="single" w:sz="4" w:space="0" w:color="000000"/>
              <w:right w:val="single" w:sz="4" w:space="0" w:color="000000"/>
            </w:tcBorders>
            <w:shd w:val="clear" w:color="auto" w:fill="auto"/>
            <w:vAlign w:val="center"/>
          </w:tcPr>
          <w:p w:rsidR="00060D30" w:rsidRDefault="00060D30">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060D30" w:rsidRDefault="00060D30">
            <w:pPr>
              <w:jc w:val="center"/>
              <w:rPr>
                <w:rFonts w:asciiTheme="minorEastAsia" w:hAnsiTheme="minorEastAsia" w:cstheme="minorEastAsia"/>
                <w:color w:val="000000"/>
                <w:sz w:val="13"/>
                <w:szCs w:val="13"/>
              </w:rPr>
            </w:pPr>
          </w:p>
        </w:tc>
        <w:tc>
          <w:tcPr>
            <w:tcW w:w="254" w:type="pct"/>
            <w:vMerge/>
            <w:tcBorders>
              <w:top w:val="nil"/>
              <w:left w:val="nil"/>
              <w:bottom w:val="single" w:sz="4" w:space="0" w:color="000000"/>
              <w:right w:val="single" w:sz="4" w:space="0" w:color="000000"/>
            </w:tcBorders>
            <w:shd w:val="clear" w:color="auto" w:fill="auto"/>
            <w:vAlign w:val="center"/>
          </w:tcPr>
          <w:p w:rsidR="00060D30" w:rsidRDefault="00060D30">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060D30" w:rsidRDefault="00060D30">
            <w:pPr>
              <w:jc w:val="center"/>
              <w:rPr>
                <w:rFonts w:asciiTheme="minorEastAsia" w:hAnsiTheme="minorEastAsia" w:cstheme="minorEastAsia"/>
                <w:color w:val="000000"/>
                <w:sz w:val="13"/>
                <w:szCs w:val="13"/>
              </w:rPr>
            </w:pPr>
          </w:p>
        </w:tc>
        <w:tc>
          <w:tcPr>
            <w:tcW w:w="245" w:type="pct"/>
            <w:vMerge/>
            <w:tcBorders>
              <w:top w:val="nil"/>
              <w:left w:val="nil"/>
              <w:bottom w:val="single" w:sz="4" w:space="0" w:color="000000"/>
              <w:right w:val="single" w:sz="4" w:space="0" w:color="000000"/>
            </w:tcBorders>
            <w:shd w:val="clear" w:color="auto" w:fill="auto"/>
            <w:vAlign w:val="center"/>
          </w:tcPr>
          <w:p w:rsidR="00060D30" w:rsidRDefault="00060D30">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060D30" w:rsidRDefault="00060D30">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060D30" w:rsidRDefault="00060D30">
            <w:pPr>
              <w:jc w:val="center"/>
              <w:rPr>
                <w:rFonts w:asciiTheme="minorEastAsia" w:hAnsiTheme="minorEastAsia" w:cstheme="minorEastAsia"/>
                <w:color w:val="000000"/>
                <w:sz w:val="13"/>
                <w:szCs w:val="13"/>
              </w:rPr>
            </w:pPr>
          </w:p>
        </w:tc>
        <w:tc>
          <w:tcPr>
            <w:tcW w:w="219" w:type="pct"/>
            <w:gridSpan w:val="2"/>
            <w:vMerge/>
            <w:tcBorders>
              <w:top w:val="nil"/>
              <w:left w:val="nil"/>
              <w:bottom w:val="single" w:sz="4" w:space="0" w:color="000000"/>
              <w:right w:val="single" w:sz="4" w:space="0" w:color="000000"/>
            </w:tcBorders>
            <w:shd w:val="clear" w:color="auto" w:fill="auto"/>
            <w:vAlign w:val="center"/>
          </w:tcPr>
          <w:p w:rsidR="00060D30" w:rsidRDefault="00060D30">
            <w:pPr>
              <w:jc w:val="center"/>
              <w:rPr>
                <w:rFonts w:asciiTheme="minorEastAsia" w:hAnsiTheme="minorEastAsia" w:cstheme="minorEastAsia"/>
                <w:color w:val="000000"/>
                <w:sz w:val="13"/>
                <w:szCs w:val="13"/>
              </w:rPr>
            </w:pPr>
          </w:p>
        </w:tc>
        <w:tc>
          <w:tcPr>
            <w:tcW w:w="223" w:type="pct"/>
            <w:vMerge/>
            <w:tcBorders>
              <w:top w:val="nil"/>
              <w:left w:val="nil"/>
              <w:bottom w:val="single" w:sz="4" w:space="0" w:color="000000"/>
              <w:right w:val="single" w:sz="4" w:space="0" w:color="000000"/>
            </w:tcBorders>
            <w:shd w:val="clear" w:color="auto" w:fill="auto"/>
            <w:vAlign w:val="center"/>
          </w:tcPr>
          <w:p w:rsidR="00060D30" w:rsidRDefault="00060D30">
            <w:pPr>
              <w:jc w:val="center"/>
              <w:rPr>
                <w:rFonts w:asciiTheme="minorEastAsia" w:hAnsiTheme="minorEastAsia" w:cstheme="minorEastAsia"/>
                <w:color w:val="000000"/>
                <w:sz w:val="13"/>
                <w:szCs w:val="13"/>
              </w:rPr>
            </w:pPr>
          </w:p>
        </w:tc>
        <w:tc>
          <w:tcPr>
            <w:tcW w:w="250" w:type="pct"/>
            <w:tcBorders>
              <w:top w:val="nil"/>
              <w:left w:val="nil"/>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54" w:type="pct"/>
            <w:tcBorders>
              <w:top w:val="nil"/>
              <w:left w:val="nil"/>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45" w:type="pct"/>
            <w:tcBorders>
              <w:top w:val="nil"/>
              <w:left w:val="nil"/>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54" w:type="pct"/>
            <w:tcBorders>
              <w:top w:val="nil"/>
              <w:left w:val="nil"/>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27" w:type="pct"/>
            <w:tcBorders>
              <w:top w:val="nil"/>
              <w:left w:val="nil"/>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27" w:type="pct"/>
            <w:tcBorders>
              <w:top w:val="nil"/>
              <w:left w:val="nil"/>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28" w:type="pct"/>
            <w:tcBorders>
              <w:top w:val="nil"/>
              <w:left w:val="nil"/>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单位资金</w:t>
            </w:r>
          </w:p>
        </w:tc>
      </w:tr>
      <w:tr w:rsidR="00060D30">
        <w:trPr>
          <w:trHeight w:val="936"/>
        </w:trPr>
        <w:tc>
          <w:tcPr>
            <w:tcW w:w="563" w:type="pct"/>
            <w:gridSpan w:val="2"/>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合计</w:t>
            </w:r>
          </w:p>
        </w:tc>
        <w:tc>
          <w:tcPr>
            <w:tcW w:w="196"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1,023,215.28</w:t>
            </w:r>
          </w:p>
        </w:tc>
        <w:tc>
          <w:tcPr>
            <w:tcW w:w="21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1,022,942.75</w:t>
            </w:r>
          </w:p>
        </w:tc>
        <w:tc>
          <w:tcPr>
            <w:tcW w:w="232"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1,022,922.28</w:t>
            </w:r>
          </w:p>
        </w:tc>
        <w:tc>
          <w:tcPr>
            <w:tcW w:w="218"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11"/>
                <w:szCs w:val="11"/>
              </w:rPr>
            </w:pPr>
          </w:p>
        </w:tc>
        <w:tc>
          <w:tcPr>
            <w:tcW w:w="663" w:type="dxa"/>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11"/>
                <w:szCs w:val="11"/>
              </w:rPr>
            </w:pPr>
          </w:p>
        </w:tc>
        <w:tc>
          <w:tcPr>
            <w:tcW w:w="662" w:type="dxa"/>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11"/>
                <w:szCs w:val="11"/>
              </w:rPr>
            </w:pPr>
          </w:p>
        </w:tc>
        <w:tc>
          <w:tcPr>
            <w:tcW w:w="613" w:type="dxa"/>
            <w:gridSpan w:val="2"/>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20.47</w:t>
            </w:r>
          </w:p>
        </w:tc>
        <w:tc>
          <w:tcPr>
            <w:tcW w:w="625" w:type="dxa"/>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272.53</w:t>
            </w:r>
          </w:p>
        </w:tc>
        <w:tc>
          <w:tcPr>
            <w:tcW w:w="700" w:type="dxa"/>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11"/>
                <w:szCs w:val="11"/>
              </w:rPr>
            </w:pPr>
          </w:p>
        </w:tc>
        <w:tc>
          <w:tcPr>
            <w:tcW w:w="638" w:type="dxa"/>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272.53</w:t>
            </w:r>
          </w:p>
        </w:tc>
        <w:tc>
          <w:tcPr>
            <w:tcW w:w="22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11"/>
                <w:szCs w:val="11"/>
              </w:rPr>
            </w:pPr>
          </w:p>
        </w:tc>
        <w:tc>
          <w:tcPr>
            <w:tcW w:w="22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272.53</w:t>
            </w:r>
          </w:p>
        </w:tc>
      </w:tr>
      <w:tr w:rsidR="00060D30">
        <w:trPr>
          <w:trHeight w:val="860"/>
        </w:trPr>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326202</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天津市东丽区渣土管理所</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1,023,215.28</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1,022,942.75</w:t>
            </w: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1,022,922.28</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1"/>
                <w:szCs w:val="11"/>
              </w:rPr>
            </w:pPr>
          </w:p>
        </w:tc>
        <w:tc>
          <w:tcPr>
            <w:tcW w:w="2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20.47</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272.53</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1"/>
                <w:szCs w:val="11"/>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272.53</w:t>
            </w: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11"/>
                <w:szCs w:val="11"/>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272.53</w:t>
            </w:r>
          </w:p>
        </w:tc>
      </w:tr>
      <w:tr w:rsidR="00060D30">
        <w:trPr>
          <w:trHeight w:val="308"/>
        </w:trPr>
        <w:tc>
          <w:tcPr>
            <w:tcW w:w="5000" w:type="pct"/>
            <w:gridSpan w:val="22"/>
            <w:tcBorders>
              <w:top w:val="nil"/>
              <w:left w:val="nil"/>
              <w:bottom w:val="nil"/>
              <w:right w:val="nil"/>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注：本表反映本年度取得的各项收入情况。财政专户管理资金是指教育收费；事业收入不含教育收费。</w:t>
            </w:r>
          </w:p>
        </w:tc>
      </w:tr>
    </w:tbl>
    <w:p w:rsidR="00060D30" w:rsidRDefault="0027759A">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060D30" w:rsidRDefault="0027759A">
      <w:pPr>
        <w:pStyle w:val="p1"/>
        <w:widowControl/>
        <w:rPr>
          <w:rFonts w:ascii="仿宋" w:eastAsia="仿宋" w:hAnsi="仿宋" w:cs="仿宋"/>
          <w:b/>
          <w:bCs/>
        </w:rPr>
      </w:pPr>
      <w:r>
        <w:rPr>
          <w:rFonts w:ascii="仿宋" w:eastAsia="仿宋" w:hAnsi="仿宋" w:cs="仿宋" w:hint="eastAsia"/>
          <w:b/>
          <w:bCs/>
        </w:rPr>
        <w:lastRenderedPageBreak/>
        <w:t>四、支出决算表</w:t>
      </w:r>
      <w:r>
        <w:rPr>
          <w:rFonts w:ascii="仿宋" w:eastAsia="仿宋" w:hAnsi="仿宋" w:cs="仿宋" w:hint="eastAsia"/>
          <w:b/>
          <w:bCs/>
        </w:rPr>
        <w:t xml:space="preserve"> </w:t>
      </w:r>
    </w:p>
    <w:tbl>
      <w:tblPr>
        <w:tblW w:w="4999" w:type="pct"/>
        <w:tblLayout w:type="fixed"/>
        <w:tblLook w:val="04A0"/>
      </w:tblPr>
      <w:tblGrid>
        <w:gridCol w:w="1323"/>
        <w:gridCol w:w="2188"/>
        <w:gridCol w:w="1844"/>
        <w:gridCol w:w="1799"/>
        <w:gridCol w:w="1799"/>
        <w:gridCol w:w="1813"/>
        <w:gridCol w:w="1634"/>
        <w:gridCol w:w="1589"/>
      </w:tblGrid>
      <w:tr w:rsidR="00060D30">
        <w:trPr>
          <w:trHeight w:val="320"/>
        </w:trPr>
        <w:tc>
          <w:tcPr>
            <w:tcW w:w="4432" w:type="pct"/>
            <w:gridSpan w:val="7"/>
            <w:tcBorders>
              <w:top w:val="nil"/>
              <w:left w:val="nil"/>
              <w:bottom w:val="nil"/>
              <w:right w:val="nil"/>
            </w:tcBorders>
            <w:shd w:val="clear" w:color="auto" w:fill="auto"/>
            <w:noWrap/>
            <w:vAlign w:val="bottom"/>
          </w:tcPr>
          <w:p w:rsidR="00060D30" w:rsidRDefault="0027759A">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部门（单位）：天津市东丽区渣土管理所</w:t>
            </w:r>
            <w:r>
              <w:rPr>
                <w:rFonts w:asciiTheme="minorEastAsia" w:hAnsiTheme="minorEastAsia" w:cstheme="minorEastAsia" w:hint="eastAsia"/>
                <w:color w:val="000000"/>
                <w:sz w:val="22"/>
                <w:szCs w:val="22"/>
                <w:lang/>
              </w:rPr>
              <w:t xml:space="preserve"> </w:t>
            </w:r>
          </w:p>
        </w:tc>
        <w:tc>
          <w:tcPr>
            <w:tcW w:w="567" w:type="pct"/>
            <w:tcBorders>
              <w:top w:val="nil"/>
              <w:left w:val="nil"/>
              <w:bottom w:val="nil"/>
              <w:right w:val="nil"/>
            </w:tcBorders>
            <w:shd w:val="clear" w:color="auto" w:fill="auto"/>
            <w:noWrap/>
            <w:vAlign w:val="bottom"/>
          </w:tcPr>
          <w:p w:rsidR="00060D30" w:rsidRDefault="0027759A">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060D30">
        <w:trPr>
          <w:trHeight w:val="308"/>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59" w:type="pct"/>
            <w:vMerge w:val="restart"/>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648" w:type="pct"/>
            <w:vMerge w:val="restart"/>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上缴上级支出</w:t>
            </w:r>
          </w:p>
        </w:tc>
        <w:tc>
          <w:tcPr>
            <w:tcW w:w="581" w:type="pct"/>
            <w:vMerge w:val="restart"/>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经营支出</w:t>
            </w:r>
          </w:p>
        </w:tc>
        <w:tc>
          <w:tcPr>
            <w:tcW w:w="567" w:type="pct"/>
            <w:vMerge w:val="restart"/>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对附属单位补助支出</w:t>
            </w:r>
          </w:p>
        </w:tc>
      </w:tr>
      <w:tr w:rsidR="00060D30">
        <w:trPr>
          <w:trHeight w:val="308"/>
        </w:trPr>
        <w:tc>
          <w:tcPr>
            <w:tcW w:w="473" w:type="pct"/>
            <w:tcBorders>
              <w:top w:val="nil"/>
              <w:left w:val="single" w:sz="4" w:space="0" w:color="000000"/>
              <w:bottom w:val="nil"/>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81" w:type="pct"/>
            <w:tcBorders>
              <w:top w:val="nil"/>
              <w:left w:val="nil"/>
              <w:bottom w:val="nil"/>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9" w:type="pct"/>
            <w:vMerge/>
            <w:tcBorders>
              <w:top w:val="single" w:sz="4" w:space="0" w:color="000000"/>
              <w:left w:val="nil"/>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22"/>
                <w:szCs w:val="22"/>
              </w:rPr>
            </w:pPr>
          </w:p>
        </w:tc>
        <w:tc>
          <w:tcPr>
            <w:tcW w:w="648" w:type="pct"/>
            <w:vMerge/>
            <w:tcBorders>
              <w:top w:val="single" w:sz="4" w:space="0" w:color="000000"/>
              <w:left w:val="nil"/>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22"/>
                <w:szCs w:val="22"/>
              </w:rPr>
            </w:pPr>
          </w:p>
        </w:tc>
        <w:tc>
          <w:tcPr>
            <w:tcW w:w="581" w:type="pct"/>
            <w:vMerge/>
            <w:tcBorders>
              <w:top w:val="single" w:sz="4" w:space="0" w:color="000000"/>
              <w:left w:val="nil"/>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22"/>
                <w:szCs w:val="22"/>
              </w:rPr>
            </w:pPr>
          </w:p>
        </w:tc>
        <w:tc>
          <w:tcPr>
            <w:tcW w:w="567" w:type="pct"/>
            <w:vMerge/>
            <w:tcBorders>
              <w:top w:val="single" w:sz="4" w:space="0" w:color="000000"/>
              <w:left w:val="nil"/>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22"/>
                <w:szCs w:val="22"/>
              </w:rPr>
            </w:pPr>
          </w:p>
        </w:tc>
      </w:tr>
      <w:tr w:rsidR="00060D30">
        <w:trPr>
          <w:trHeight w:val="700"/>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1,023,215.28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1,023,215.28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113,490.72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113,490.72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113,490.72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113,490.72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75,660.48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75,660.48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37,830.24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37,830.24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47,288.10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47,288.10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47,288.10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47,288.10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47,288.10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47,288.10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601,658.46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601,658.46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城乡社区规划与管理</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601,658.46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601,658.46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2120201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城乡社区规划与管理</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601,658.46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601,658.46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住房保障支出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260,778.00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260,778.00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22102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住房改革支出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260,778.00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260,778.00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住房公积金</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260,778.00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260,778.00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5000" w:type="pct"/>
            <w:gridSpan w:val="8"/>
            <w:tcBorders>
              <w:top w:val="nil"/>
              <w:left w:val="nil"/>
              <w:bottom w:val="nil"/>
              <w:right w:val="nil"/>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注：本表反映本年度各项支出情况。</w:t>
            </w:r>
          </w:p>
        </w:tc>
      </w:tr>
    </w:tbl>
    <w:p w:rsidR="00060D30" w:rsidRDefault="0027759A">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060D30" w:rsidRDefault="0027759A">
      <w:pPr>
        <w:pStyle w:val="p1"/>
        <w:widowControl/>
        <w:rPr>
          <w:rFonts w:ascii="仿宋" w:eastAsia="仿宋" w:hAnsi="仿宋" w:cs="仿宋"/>
          <w:b/>
          <w:bCs/>
        </w:rPr>
      </w:pPr>
      <w:r>
        <w:rPr>
          <w:rFonts w:ascii="仿宋" w:eastAsia="仿宋" w:hAnsi="仿宋" w:cs="仿宋" w:hint="eastAsia"/>
          <w:b/>
          <w:bCs/>
        </w:rPr>
        <w:lastRenderedPageBreak/>
        <w:t>五、财政拨款收入支出决算总表</w:t>
      </w:r>
    </w:p>
    <w:tbl>
      <w:tblPr>
        <w:tblW w:w="5000" w:type="pct"/>
        <w:tblLayout w:type="fixed"/>
        <w:tblLook w:val="04A0"/>
      </w:tblPr>
      <w:tblGrid>
        <w:gridCol w:w="2314"/>
        <w:gridCol w:w="1883"/>
        <w:gridCol w:w="2348"/>
        <w:gridCol w:w="1850"/>
        <w:gridCol w:w="1791"/>
        <w:gridCol w:w="1830"/>
        <w:gridCol w:w="1976"/>
      </w:tblGrid>
      <w:tr w:rsidR="00060D30">
        <w:trPr>
          <w:trHeight w:val="320"/>
        </w:trPr>
        <w:tc>
          <w:tcPr>
            <w:tcW w:w="4294" w:type="pct"/>
            <w:gridSpan w:val="6"/>
            <w:tcBorders>
              <w:top w:val="nil"/>
              <w:left w:val="nil"/>
              <w:bottom w:val="nil"/>
              <w:right w:val="nil"/>
            </w:tcBorders>
            <w:shd w:val="clear" w:color="auto" w:fill="auto"/>
            <w:noWrap/>
            <w:vAlign w:val="bottom"/>
          </w:tcPr>
          <w:p w:rsidR="00060D30" w:rsidRDefault="0027759A">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部门（单位）：天津市东丽区渣土管理所</w:t>
            </w:r>
            <w:r>
              <w:rPr>
                <w:rFonts w:asciiTheme="minorEastAsia" w:hAnsiTheme="minorEastAsia" w:cstheme="minorEastAsia" w:hint="eastAsia"/>
                <w:color w:val="000000"/>
                <w:sz w:val="22"/>
                <w:szCs w:val="22"/>
                <w:lang/>
              </w:rPr>
              <w:t xml:space="preserve"> </w:t>
            </w:r>
          </w:p>
        </w:tc>
        <w:tc>
          <w:tcPr>
            <w:tcW w:w="705" w:type="pct"/>
            <w:tcBorders>
              <w:top w:val="nil"/>
              <w:left w:val="nil"/>
              <w:bottom w:val="nil"/>
              <w:right w:val="nil"/>
            </w:tcBorders>
            <w:shd w:val="clear" w:color="auto" w:fill="auto"/>
            <w:noWrap/>
            <w:vAlign w:val="bottom"/>
          </w:tcPr>
          <w:p w:rsidR="00060D30" w:rsidRDefault="0027759A">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060D30">
        <w:trPr>
          <w:trHeight w:val="308"/>
        </w:trPr>
        <w:tc>
          <w:tcPr>
            <w:tcW w:w="150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3499" w:type="pct"/>
            <w:gridSpan w:val="5"/>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一般公共预算财政拨款</w:t>
            </w:r>
          </w:p>
        </w:tc>
        <w:tc>
          <w:tcPr>
            <w:tcW w:w="652"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政府性基金预算财政拨款</w:t>
            </w:r>
          </w:p>
        </w:tc>
        <w:tc>
          <w:tcPr>
            <w:tcW w:w="705"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国有资本经营预算财政拨款</w:t>
            </w: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1,022,922.28</w:t>
            </w: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113,490.72</w:t>
            </w:r>
          </w:p>
        </w:tc>
        <w:tc>
          <w:tcPr>
            <w:tcW w:w="64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113,490.72</w:t>
            </w: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47,288.10</w:t>
            </w:r>
          </w:p>
        </w:tc>
        <w:tc>
          <w:tcPr>
            <w:tcW w:w="64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47,288.10</w:t>
            </w: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601,365.46</w:t>
            </w:r>
          </w:p>
        </w:tc>
        <w:tc>
          <w:tcPr>
            <w:tcW w:w="64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601,365.46</w:t>
            </w: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260,778.00</w:t>
            </w:r>
          </w:p>
        </w:tc>
        <w:tc>
          <w:tcPr>
            <w:tcW w:w="64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260,778.00</w:t>
            </w: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二十三、抗疫特别国债安排的支出</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1,022,922.28</w:t>
            </w: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1,022,922.28</w:t>
            </w:r>
          </w:p>
        </w:tc>
        <w:tc>
          <w:tcPr>
            <w:tcW w:w="64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1,022,922.28</w:t>
            </w: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年初财政拨款结转和结余</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年末财政拨款结转和结余</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政府性基金预</w:t>
            </w:r>
            <w:r>
              <w:rPr>
                <w:rFonts w:asciiTheme="minorEastAsia" w:hAnsiTheme="minorEastAsia" w:cstheme="minorEastAsia" w:hint="eastAsia"/>
                <w:color w:val="000000"/>
                <w:sz w:val="22"/>
                <w:szCs w:val="22"/>
                <w:lang/>
              </w:rPr>
              <w:lastRenderedPageBreak/>
              <w:t>算财政拨款</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 xml:space="preserve">      </w:t>
            </w:r>
            <w:r>
              <w:rPr>
                <w:rFonts w:asciiTheme="minorEastAsia" w:hAnsiTheme="minorEastAsia" w:cstheme="minorEastAsia" w:hint="eastAsia"/>
                <w:color w:val="000000"/>
                <w:sz w:val="22"/>
                <w:szCs w:val="22"/>
                <w:lang/>
              </w:rPr>
              <w:t>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r>
      <w:tr w:rsidR="00060D3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1,022,922.28</w:t>
            </w:r>
          </w:p>
        </w:tc>
        <w:tc>
          <w:tcPr>
            <w:tcW w:w="839"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61"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1,022,922.28</w:t>
            </w:r>
          </w:p>
        </w:tc>
        <w:tc>
          <w:tcPr>
            <w:tcW w:w="64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1,022,922.28</w:t>
            </w:r>
          </w:p>
        </w:tc>
        <w:tc>
          <w:tcPr>
            <w:tcW w:w="65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462"/>
        </w:trPr>
        <w:tc>
          <w:tcPr>
            <w:tcW w:w="5000" w:type="pct"/>
            <w:gridSpan w:val="7"/>
            <w:tcBorders>
              <w:top w:val="nil"/>
              <w:left w:val="nil"/>
              <w:bottom w:val="nil"/>
              <w:right w:val="nil"/>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注：本表反映本年度一般公共预算财政拨款、政府性基金预算财政拨款和国有资本经营预算财政拨款的总收支和年末结转结余情况。</w:t>
            </w:r>
          </w:p>
        </w:tc>
      </w:tr>
    </w:tbl>
    <w:p w:rsidR="00060D30" w:rsidRDefault="0027759A">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060D30" w:rsidRDefault="0027759A">
      <w:pPr>
        <w:pStyle w:val="p1"/>
        <w:widowControl/>
        <w:numPr>
          <w:ilvl w:val="0"/>
          <w:numId w:val="2"/>
        </w:numPr>
        <w:rPr>
          <w:rFonts w:ascii="仿宋" w:eastAsia="仿宋" w:hAnsi="仿宋" w:cs="仿宋"/>
          <w:b/>
          <w:bCs/>
        </w:rPr>
      </w:pPr>
      <w:r>
        <w:rPr>
          <w:rFonts w:ascii="仿宋" w:eastAsia="仿宋" w:hAnsi="仿宋" w:cs="仿宋" w:hint="eastAsia"/>
          <w:b/>
          <w:bCs/>
        </w:rPr>
        <w:lastRenderedPageBreak/>
        <w:t>一般公共预算财政拨款支出决算表</w:t>
      </w:r>
      <w:r>
        <w:rPr>
          <w:rFonts w:ascii="仿宋" w:eastAsia="仿宋" w:hAnsi="仿宋" w:cs="仿宋" w:hint="eastAsia"/>
          <w:b/>
          <w:bCs/>
        </w:rPr>
        <w:t xml:space="preserve"> </w:t>
      </w:r>
    </w:p>
    <w:tbl>
      <w:tblPr>
        <w:tblW w:w="5000" w:type="pct"/>
        <w:tblLayout w:type="fixed"/>
        <w:tblLook w:val="04A0"/>
      </w:tblPr>
      <w:tblGrid>
        <w:gridCol w:w="1319"/>
        <w:gridCol w:w="4091"/>
        <w:gridCol w:w="1799"/>
        <w:gridCol w:w="1659"/>
        <w:gridCol w:w="1738"/>
        <w:gridCol w:w="1713"/>
        <w:gridCol w:w="1673"/>
      </w:tblGrid>
      <w:tr w:rsidR="00060D30">
        <w:trPr>
          <w:trHeight w:val="320"/>
        </w:trPr>
        <w:tc>
          <w:tcPr>
            <w:tcW w:w="4402" w:type="pct"/>
            <w:gridSpan w:val="6"/>
            <w:tcBorders>
              <w:top w:val="nil"/>
              <w:left w:val="nil"/>
              <w:bottom w:val="nil"/>
              <w:right w:val="nil"/>
            </w:tcBorders>
            <w:shd w:val="clear" w:color="auto" w:fill="auto"/>
            <w:noWrap/>
            <w:vAlign w:val="bottom"/>
          </w:tcPr>
          <w:p w:rsidR="00060D30" w:rsidRDefault="0027759A">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天津市东丽区渣土管理所</w:t>
            </w:r>
            <w:r>
              <w:rPr>
                <w:rFonts w:ascii="Arial" w:eastAsia="宋体-简" w:hAnsi="Arial" w:cs="Arial"/>
                <w:color w:val="000000"/>
                <w:sz w:val="20"/>
                <w:szCs w:val="20"/>
                <w:lang/>
              </w:rPr>
              <w:t xml:space="preserve"> </w:t>
            </w:r>
          </w:p>
        </w:tc>
        <w:tc>
          <w:tcPr>
            <w:tcW w:w="597" w:type="pct"/>
            <w:tcBorders>
              <w:top w:val="nil"/>
              <w:left w:val="nil"/>
              <w:bottom w:val="nil"/>
              <w:right w:val="nil"/>
            </w:tcBorders>
            <w:shd w:val="clear" w:color="auto" w:fill="auto"/>
            <w:noWrap/>
            <w:vAlign w:val="bottom"/>
          </w:tcPr>
          <w:p w:rsidR="00060D30" w:rsidRDefault="0027759A">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060D30">
        <w:trPr>
          <w:trHeight w:val="308"/>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1825" w:type="pct"/>
            <w:gridSpan w:val="3"/>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97" w:type="pct"/>
            <w:vMerge w:val="restart"/>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r>
      <w:tr w:rsidR="00060D30">
        <w:trPr>
          <w:trHeight w:val="308"/>
        </w:trPr>
        <w:tc>
          <w:tcPr>
            <w:tcW w:w="471" w:type="pct"/>
            <w:tcBorders>
              <w:top w:val="nil"/>
              <w:left w:val="single" w:sz="4" w:space="0" w:color="000000"/>
              <w:bottom w:val="nil"/>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462" w:type="pct"/>
            <w:tcBorders>
              <w:top w:val="nil"/>
              <w:left w:val="nil"/>
              <w:bottom w:val="nil"/>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22"/>
                <w:szCs w:val="22"/>
              </w:rPr>
            </w:pPr>
          </w:p>
        </w:tc>
        <w:tc>
          <w:tcPr>
            <w:tcW w:w="593" w:type="pct"/>
            <w:tcBorders>
              <w:top w:val="nil"/>
              <w:left w:val="nil"/>
              <w:bottom w:val="nil"/>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621" w:type="pct"/>
            <w:tcBorders>
              <w:top w:val="nil"/>
              <w:left w:val="nil"/>
              <w:bottom w:val="nil"/>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610" w:type="pct"/>
            <w:tcBorders>
              <w:top w:val="nil"/>
              <w:left w:val="nil"/>
              <w:bottom w:val="nil"/>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c>
          <w:tcPr>
            <w:tcW w:w="597" w:type="pct"/>
            <w:vMerge/>
            <w:tcBorders>
              <w:top w:val="single" w:sz="4" w:space="0" w:color="000000"/>
              <w:left w:val="nil"/>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22"/>
                <w:szCs w:val="22"/>
              </w:rPr>
            </w:pPr>
          </w:p>
        </w:tc>
      </w:tr>
      <w:tr w:rsidR="00060D30">
        <w:trPr>
          <w:trHeight w:val="680"/>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1,022,922.28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1,022,922.28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1,001,522.28</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21,400.00</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113,490.72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113,490.72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113,490.72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113,490.72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113,490.72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113,490.72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75,660.48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75,660.48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75,660.48</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37,830.24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37,830.24</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37,830.24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47,288.10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47,288.10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47,288.10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47,288.10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47,288.10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47,288.10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事业单位医疗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47,288.10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47,288.10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47,288.10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601,365.46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601,365.46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579,965.46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21,400.00</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城乡社区规划与管理</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601,365.46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601,365.46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579,965.46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21,400.00</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2120201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城乡社区规划与管理</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601,365.46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601,365.46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579,965.46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21,400.00</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住房保障支出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260,778.00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260,778.00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260,778.00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住房改革支出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260,778.00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260,778.00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260,778.00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住房公积金</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260,778.00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260,778.00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260,778.00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5000" w:type="pct"/>
            <w:gridSpan w:val="7"/>
            <w:tcBorders>
              <w:top w:val="nil"/>
              <w:left w:val="nil"/>
              <w:bottom w:val="nil"/>
              <w:right w:val="nil"/>
            </w:tcBorders>
            <w:shd w:val="clear" w:color="auto" w:fill="auto"/>
            <w:noWrap/>
            <w:vAlign w:val="center"/>
          </w:tcPr>
          <w:p w:rsidR="00060D30" w:rsidRDefault="0027759A">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注：本表反映本年度一般公共预算财政拨款支出情况。</w:t>
            </w:r>
          </w:p>
        </w:tc>
      </w:tr>
    </w:tbl>
    <w:p w:rsidR="00060D30" w:rsidRDefault="0027759A">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060D30" w:rsidRDefault="0027759A">
      <w:pPr>
        <w:pStyle w:val="p1"/>
        <w:widowControl/>
        <w:rPr>
          <w:rFonts w:ascii="仿宋" w:eastAsia="仿宋" w:hAnsi="仿宋" w:cs="仿宋"/>
          <w:b/>
          <w:bCs/>
        </w:rPr>
      </w:pPr>
      <w:r>
        <w:rPr>
          <w:rFonts w:ascii="仿宋" w:eastAsia="仿宋" w:hAnsi="仿宋" w:cs="仿宋" w:hint="eastAsia"/>
          <w:b/>
          <w:bCs/>
        </w:rPr>
        <w:lastRenderedPageBreak/>
        <w:t>七、一般公共预算财政拨款基本支出决算明细表</w:t>
      </w:r>
      <w:r>
        <w:rPr>
          <w:rFonts w:ascii="仿宋" w:eastAsia="仿宋" w:hAnsi="仿宋" w:cs="仿宋" w:hint="eastAsia"/>
          <w:b/>
          <w:bCs/>
        </w:rPr>
        <w:t xml:space="preserve"> </w:t>
      </w:r>
    </w:p>
    <w:tbl>
      <w:tblPr>
        <w:tblW w:w="5000" w:type="pct"/>
        <w:tblLayout w:type="fixed"/>
        <w:tblLook w:val="04A0"/>
      </w:tblPr>
      <w:tblGrid>
        <w:gridCol w:w="927"/>
        <w:gridCol w:w="1870"/>
        <w:gridCol w:w="1883"/>
        <w:gridCol w:w="876"/>
        <w:gridCol w:w="1799"/>
        <w:gridCol w:w="1830"/>
        <w:gridCol w:w="1091"/>
        <w:gridCol w:w="1987"/>
        <w:gridCol w:w="1729"/>
      </w:tblGrid>
      <w:tr w:rsidR="00060D30">
        <w:trPr>
          <w:trHeight w:val="320"/>
        </w:trPr>
        <w:tc>
          <w:tcPr>
            <w:tcW w:w="4382" w:type="pct"/>
            <w:gridSpan w:val="8"/>
            <w:tcBorders>
              <w:top w:val="nil"/>
              <w:left w:val="nil"/>
              <w:bottom w:val="nil"/>
              <w:right w:val="nil"/>
            </w:tcBorders>
            <w:shd w:val="clear" w:color="auto" w:fill="auto"/>
            <w:noWrap/>
            <w:vAlign w:val="bottom"/>
          </w:tcPr>
          <w:p w:rsidR="00060D30" w:rsidRDefault="0027759A">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部门（单位）：天津市东丽区渣土管理所</w:t>
            </w:r>
            <w:r>
              <w:rPr>
                <w:rFonts w:asciiTheme="minorEastAsia" w:hAnsiTheme="minorEastAsia" w:cstheme="minorEastAsia" w:hint="eastAsia"/>
                <w:color w:val="000000"/>
                <w:sz w:val="22"/>
                <w:szCs w:val="22"/>
                <w:lang/>
              </w:rPr>
              <w:t xml:space="preserve"> </w:t>
            </w:r>
          </w:p>
        </w:tc>
        <w:tc>
          <w:tcPr>
            <w:tcW w:w="617" w:type="pct"/>
            <w:tcBorders>
              <w:top w:val="nil"/>
              <w:left w:val="nil"/>
              <w:bottom w:val="nil"/>
              <w:right w:val="nil"/>
            </w:tcBorders>
            <w:shd w:val="clear" w:color="auto" w:fill="auto"/>
            <w:noWrap/>
            <w:vAlign w:val="bottom"/>
          </w:tcPr>
          <w:p w:rsidR="00060D30" w:rsidRDefault="0027759A">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060D30">
        <w:trPr>
          <w:trHeight w:val="308"/>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3327" w:type="pct"/>
            <w:gridSpan w:val="6"/>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工资福利支出</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979,103.08</w:t>
            </w: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21,400.00</w:t>
            </w: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30703</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国内债务发行费用</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30101</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基本工资</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233,868.00</w:t>
            </w: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30201</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办公费</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20,300.00</w:t>
            </w: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30704</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国外债务发行费用</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30102</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津贴补贴</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97,188.00</w:t>
            </w: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30202</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印刷费</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资本性支出</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30103</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奖金</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30203</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咨询费</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31001</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房屋建筑物购建</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30106</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伙食补助费</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30204</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手续费</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31002</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办公设备购置</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30107</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绩效工资</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223,180.00</w:t>
            </w: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30205</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水费</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31003</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专用设备购置</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30108</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机关事业单位基本养老保险缴费</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75,660.48</w:t>
            </w: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30206</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电费</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31005</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基础设施建设</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30109</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职业年金缴费</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37,830.24</w:t>
            </w: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30207</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邮电费</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31006</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大型修缮</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30110</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职工基本医疗保险缴费</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47,288.10</w:t>
            </w: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30208</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取暖费</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31007</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信息网络及软件购置更新</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30111</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公务员医疗补助缴费</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30209</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物业管理费</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31008</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物资储备</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30112</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其他社会保障缴费</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3,310.26</w:t>
            </w: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30211</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差旅费</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31009</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土地补偿</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30113</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住房公积金</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260,778.00</w:t>
            </w: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30212</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因公出国（境）费用</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31010</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安置补助</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30114</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30213</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维修</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护</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费</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31011</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地上附着物和青苗补偿</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30199</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其他工资福利支出</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30214</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租赁费</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31012</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拆迁补偿</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22,419.20</w:t>
            </w: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30215</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会议费</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31013</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公务用车购置</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30301</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离休费</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30216</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培训费</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w:t>
            </w: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31019</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其他交通工具购置</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30302</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退休费</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14,419.20</w:t>
            </w: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30217</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公务接待费</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31021</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文物和陈列品购置</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30303</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退职（役）费</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30218</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专用材料费</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31022</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无形资产购置</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30304</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抚恤金</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30224</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被装购置费</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31099</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其他资本性支出</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30305</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生活补助</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30225</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专用燃料费</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对企业补助</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30306</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救济费</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30226</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劳务费</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31201</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资本金注入</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30307</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医疗费补助</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30227</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委托业务费</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31203</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政府投资基金股权投资</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30308</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助学金</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30228</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工会经费</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31204</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费用补贴</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30309</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奖励金</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30229</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福利费</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31205</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利息补贴</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30310</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个人农业生产补贴</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30231</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公务用车运行维护费</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31206</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其他资本性补助</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30311</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代缴社会保险费</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30239</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其他交通费用</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31299</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其他对企业补助</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30399</w:t>
            </w:r>
          </w:p>
        </w:tc>
        <w:tc>
          <w:tcPr>
            <w:tcW w:w="66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8,000.00</w:t>
            </w: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30240</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税金及附加费用</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30299</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39907</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国家赔偿费用支出</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债务利息及费用支出</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39908</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对民间非营利组织和群众性自治组织补贴</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30701</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国内债务付息</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39909</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经常性赠与</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30702</w:t>
            </w:r>
          </w:p>
        </w:tc>
        <w:tc>
          <w:tcPr>
            <w:tcW w:w="643"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国外债务付息</w:t>
            </w: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39910</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资本性赠与</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060D30" w:rsidRDefault="00060D30">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43"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654" w:type="pct"/>
            <w:tcBorders>
              <w:top w:val="nil"/>
              <w:left w:val="nil"/>
              <w:bottom w:val="single" w:sz="4" w:space="0" w:color="000000"/>
              <w:right w:val="single" w:sz="4" w:space="0" w:color="000000"/>
            </w:tcBorders>
            <w:shd w:val="clear" w:color="auto" w:fill="auto"/>
            <w:noWrap/>
            <w:vAlign w:val="center"/>
          </w:tcPr>
          <w:p w:rsidR="00060D30" w:rsidRDefault="00060D30">
            <w:pPr>
              <w:jc w:val="left"/>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39999</w:t>
            </w:r>
          </w:p>
        </w:tc>
        <w:tc>
          <w:tcPr>
            <w:tcW w:w="708"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999" w:type="pct"/>
            <w:gridSpan w:val="2"/>
            <w:tcBorders>
              <w:top w:val="nil"/>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人员经费合计</w:t>
            </w:r>
          </w:p>
        </w:tc>
        <w:tc>
          <w:tcPr>
            <w:tcW w:w="672"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1,001,522.28</w:t>
            </w:r>
          </w:p>
        </w:tc>
        <w:tc>
          <w:tcPr>
            <w:tcW w:w="2710" w:type="pct"/>
            <w:gridSpan w:val="5"/>
            <w:tcBorders>
              <w:top w:val="nil"/>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公用经费合计</w:t>
            </w:r>
          </w:p>
        </w:tc>
        <w:tc>
          <w:tcPr>
            <w:tcW w:w="617" w:type="pct"/>
            <w:tcBorders>
              <w:top w:val="nil"/>
              <w:left w:val="nil"/>
              <w:bottom w:val="single" w:sz="4" w:space="0" w:color="000000"/>
              <w:right w:val="single" w:sz="4" w:space="0" w:color="000000"/>
            </w:tcBorders>
            <w:shd w:val="clear" w:color="auto" w:fill="auto"/>
            <w:noWrap/>
            <w:vAlign w:val="center"/>
          </w:tcPr>
          <w:p w:rsidR="00060D30" w:rsidRDefault="0027759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21,400.00</w:t>
            </w:r>
          </w:p>
        </w:tc>
      </w:tr>
      <w:tr w:rsidR="00060D30">
        <w:trPr>
          <w:trHeight w:val="308"/>
        </w:trPr>
        <w:tc>
          <w:tcPr>
            <w:tcW w:w="5000" w:type="pct"/>
            <w:gridSpan w:val="9"/>
            <w:tcBorders>
              <w:top w:val="nil"/>
              <w:left w:val="nil"/>
              <w:bottom w:val="nil"/>
              <w:right w:val="nil"/>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注：本表反映本年度一般公共预算财政拨款基本支出明细情况。</w:t>
            </w:r>
          </w:p>
        </w:tc>
      </w:tr>
    </w:tbl>
    <w:p w:rsidR="00060D30" w:rsidRDefault="0027759A">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060D30" w:rsidRDefault="0027759A">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八、政府性基金预算财政拨款收入支出决算表</w:t>
      </w:r>
      <w:r>
        <w:rPr>
          <w:rFonts w:ascii="仿宋" w:eastAsia="仿宋" w:hAnsi="仿宋" w:cs="仿宋" w:hint="eastAsia"/>
          <w:b/>
          <w:bCs/>
        </w:rPr>
        <w:t xml:space="preserve"> </w:t>
      </w:r>
    </w:p>
    <w:tbl>
      <w:tblPr>
        <w:tblW w:w="5000" w:type="pct"/>
        <w:tblLayout w:type="fixed"/>
        <w:tblLook w:val="04A0"/>
      </w:tblPr>
      <w:tblGrid>
        <w:gridCol w:w="1279"/>
        <w:gridCol w:w="3851"/>
        <w:gridCol w:w="1508"/>
        <w:gridCol w:w="1536"/>
        <w:gridCol w:w="1427"/>
        <w:gridCol w:w="1427"/>
        <w:gridCol w:w="1514"/>
        <w:gridCol w:w="1450"/>
      </w:tblGrid>
      <w:tr w:rsidR="00060D30">
        <w:trPr>
          <w:trHeight w:val="320"/>
        </w:trPr>
        <w:tc>
          <w:tcPr>
            <w:tcW w:w="4482" w:type="pct"/>
            <w:gridSpan w:val="7"/>
            <w:tcBorders>
              <w:top w:val="nil"/>
              <w:left w:val="nil"/>
              <w:bottom w:val="nil"/>
              <w:right w:val="nil"/>
            </w:tcBorders>
            <w:shd w:val="clear" w:color="auto" w:fill="auto"/>
            <w:noWrap/>
            <w:vAlign w:val="bottom"/>
          </w:tcPr>
          <w:p w:rsidR="00060D30" w:rsidRDefault="0027759A">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天津市东丽区渣土管理所</w:t>
            </w:r>
            <w:r>
              <w:rPr>
                <w:rFonts w:ascii="Arial" w:eastAsia="宋体-简" w:hAnsi="Arial" w:cs="Arial"/>
                <w:color w:val="000000"/>
                <w:sz w:val="20"/>
                <w:szCs w:val="20"/>
                <w:lang/>
              </w:rPr>
              <w:t xml:space="preserve"> </w:t>
            </w:r>
          </w:p>
        </w:tc>
        <w:tc>
          <w:tcPr>
            <w:tcW w:w="517" w:type="pct"/>
            <w:tcBorders>
              <w:top w:val="nil"/>
              <w:left w:val="nil"/>
              <w:bottom w:val="nil"/>
              <w:right w:val="nil"/>
            </w:tcBorders>
            <w:shd w:val="clear" w:color="auto" w:fill="auto"/>
            <w:noWrap/>
            <w:vAlign w:val="bottom"/>
          </w:tcPr>
          <w:p w:rsidR="00060D30" w:rsidRDefault="0027759A">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060D30">
        <w:trPr>
          <w:trHeight w:val="308"/>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39" w:type="pct"/>
            <w:vMerge w:val="restart"/>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49" w:type="pct"/>
            <w:vMerge w:val="restart"/>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560" w:type="pct"/>
            <w:gridSpan w:val="3"/>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17" w:type="pct"/>
            <w:vMerge w:val="restart"/>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060D30">
        <w:trPr>
          <w:trHeight w:val="308"/>
        </w:trPr>
        <w:tc>
          <w:tcPr>
            <w:tcW w:w="457" w:type="pct"/>
            <w:tcBorders>
              <w:top w:val="nil"/>
              <w:left w:val="single" w:sz="4" w:space="0" w:color="000000"/>
              <w:bottom w:val="nil"/>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376" w:type="pct"/>
            <w:tcBorders>
              <w:top w:val="nil"/>
              <w:left w:val="nil"/>
              <w:bottom w:val="nil"/>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39" w:type="pct"/>
            <w:vMerge/>
            <w:tcBorders>
              <w:top w:val="single" w:sz="4" w:space="0" w:color="000000"/>
              <w:left w:val="nil"/>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22"/>
                <w:szCs w:val="22"/>
              </w:rPr>
            </w:pPr>
          </w:p>
        </w:tc>
        <w:tc>
          <w:tcPr>
            <w:tcW w:w="549" w:type="pct"/>
            <w:vMerge/>
            <w:tcBorders>
              <w:top w:val="single" w:sz="4" w:space="0" w:color="000000"/>
              <w:left w:val="nil"/>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22"/>
                <w:szCs w:val="22"/>
              </w:rPr>
            </w:pPr>
          </w:p>
        </w:tc>
        <w:tc>
          <w:tcPr>
            <w:tcW w:w="510" w:type="pct"/>
            <w:tcBorders>
              <w:top w:val="nil"/>
              <w:left w:val="nil"/>
              <w:bottom w:val="nil"/>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510" w:type="pct"/>
            <w:tcBorders>
              <w:top w:val="nil"/>
              <w:left w:val="nil"/>
              <w:bottom w:val="nil"/>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39" w:type="pct"/>
            <w:tcBorders>
              <w:top w:val="nil"/>
              <w:left w:val="nil"/>
              <w:bottom w:val="nil"/>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17" w:type="pct"/>
            <w:vMerge/>
            <w:tcBorders>
              <w:top w:val="single" w:sz="4" w:space="0" w:color="000000"/>
              <w:left w:val="nil"/>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22"/>
                <w:szCs w:val="22"/>
              </w:rPr>
            </w:pPr>
          </w:p>
        </w:tc>
      </w:tr>
      <w:tr w:rsidR="00060D30">
        <w:trPr>
          <w:trHeight w:val="800"/>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5000" w:type="pct"/>
            <w:gridSpan w:val="8"/>
            <w:tcBorders>
              <w:top w:val="nil"/>
              <w:left w:val="nil"/>
              <w:bottom w:val="nil"/>
              <w:right w:val="nil"/>
            </w:tcBorders>
            <w:shd w:val="clear" w:color="auto" w:fill="auto"/>
            <w:noWrap/>
            <w:vAlign w:val="center"/>
          </w:tcPr>
          <w:p w:rsidR="00060D30" w:rsidRDefault="0027759A">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注：本表反映本年度政府性基金预算财政拨款收入、支出及结转和结余情况。</w:t>
            </w:r>
          </w:p>
        </w:tc>
      </w:tr>
    </w:tbl>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天津市东丽区渣土管理所</w:t>
      </w:r>
      <w:r>
        <w:rPr>
          <w:rFonts w:ascii="宋体" w:eastAsia="仿宋_GB2312"/>
          <w:sz w:val="30"/>
          <w:szCs w:val="30"/>
        </w:rPr>
        <w:t>2024</w:t>
      </w:r>
      <w:r>
        <w:rPr>
          <w:rFonts w:ascii="宋体" w:eastAsia="仿宋_GB2312"/>
          <w:sz w:val="30"/>
          <w:szCs w:val="30"/>
        </w:rPr>
        <w:t>年政府性基金预算财政拨款收入支出决算表为空表。</w:t>
      </w:r>
    </w:p>
    <w:p w:rsidR="00060D30" w:rsidRDefault="0027759A">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060D30" w:rsidRDefault="0027759A">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九、国有资本经营预算财政拨款支出决算表</w:t>
      </w:r>
      <w:r>
        <w:rPr>
          <w:rFonts w:ascii="仿宋" w:eastAsia="仿宋" w:hAnsi="仿宋" w:cs="仿宋" w:hint="eastAsia"/>
          <w:b/>
          <w:bCs/>
        </w:rPr>
        <w:t xml:space="preserve"> </w:t>
      </w:r>
    </w:p>
    <w:tbl>
      <w:tblPr>
        <w:tblW w:w="5000" w:type="pct"/>
        <w:tblLayout w:type="fixed"/>
        <w:tblLook w:val="04A0"/>
      </w:tblPr>
      <w:tblGrid>
        <w:gridCol w:w="1322"/>
        <w:gridCol w:w="3442"/>
        <w:gridCol w:w="1617"/>
        <w:gridCol w:w="1578"/>
        <w:gridCol w:w="1522"/>
        <w:gridCol w:w="1603"/>
        <w:gridCol w:w="1472"/>
        <w:gridCol w:w="1436"/>
      </w:tblGrid>
      <w:tr w:rsidR="00060D30">
        <w:trPr>
          <w:trHeight w:val="320"/>
        </w:trPr>
        <w:tc>
          <w:tcPr>
            <w:tcW w:w="4487" w:type="pct"/>
            <w:gridSpan w:val="7"/>
            <w:tcBorders>
              <w:top w:val="nil"/>
              <w:left w:val="nil"/>
              <w:bottom w:val="nil"/>
              <w:right w:val="nil"/>
            </w:tcBorders>
            <w:shd w:val="clear" w:color="auto" w:fill="auto"/>
            <w:noWrap/>
            <w:vAlign w:val="bottom"/>
          </w:tcPr>
          <w:p w:rsidR="00060D30" w:rsidRDefault="0027759A">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天津市东丽区渣土管理所</w:t>
            </w:r>
            <w:r>
              <w:rPr>
                <w:rFonts w:ascii="Arial" w:eastAsia="宋体-简" w:hAnsi="Arial" w:cs="Arial"/>
                <w:color w:val="000000"/>
                <w:sz w:val="20"/>
                <w:szCs w:val="20"/>
                <w:lang/>
              </w:rPr>
              <w:t xml:space="preserve"> </w:t>
            </w:r>
          </w:p>
        </w:tc>
        <w:tc>
          <w:tcPr>
            <w:tcW w:w="512" w:type="pct"/>
            <w:tcBorders>
              <w:top w:val="nil"/>
              <w:left w:val="nil"/>
              <w:bottom w:val="nil"/>
              <w:right w:val="nil"/>
            </w:tcBorders>
            <w:shd w:val="clear" w:color="auto" w:fill="auto"/>
            <w:noWrap/>
            <w:vAlign w:val="bottom"/>
          </w:tcPr>
          <w:p w:rsidR="00060D30" w:rsidRDefault="0027759A">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060D30">
        <w:trPr>
          <w:trHeight w:val="308"/>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64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060D30">
        <w:trPr>
          <w:trHeight w:val="308"/>
        </w:trPr>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22"/>
                <w:szCs w:val="22"/>
              </w:rPr>
            </w:pP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22"/>
                <w:szCs w:val="22"/>
              </w:rPr>
            </w:pPr>
          </w:p>
        </w:tc>
      </w:tr>
      <w:tr w:rsidR="00060D30">
        <w:trPr>
          <w:trHeight w:val="980"/>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5000" w:type="pct"/>
            <w:gridSpan w:val="8"/>
            <w:tcBorders>
              <w:top w:val="nil"/>
              <w:left w:val="nil"/>
              <w:bottom w:val="nil"/>
              <w:right w:val="nil"/>
            </w:tcBorders>
            <w:shd w:val="clear" w:color="auto" w:fill="auto"/>
            <w:noWrap/>
            <w:vAlign w:val="center"/>
          </w:tcPr>
          <w:p w:rsidR="00060D30" w:rsidRDefault="0027759A">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注：本表反映本年度国有资本经营预算财政拨款收入、支出及结转和结余情况。</w:t>
            </w:r>
          </w:p>
        </w:tc>
      </w:tr>
    </w:tbl>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天津市东丽区渣土管理所</w:t>
      </w:r>
      <w:r>
        <w:rPr>
          <w:rFonts w:ascii="宋体" w:eastAsia="仿宋_GB2312"/>
          <w:sz w:val="30"/>
          <w:szCs w:val="30"/>
        </w:rPr>
        <w:t>2024</w:t>
      </w:r>
      <w:r>
        <w:rPr>
          <w:rFonts w:ascii="宋体" w:eastAsia="仿宋_GB2312"/>
          <w:sz w:val="30"/>
          <w:szCs w:val="30"/>
        </w:rPr>
        <w:t>年国有资本经营预算财政拨款收入支出决算表为空表。</w:t>
      </w:r>
    </w:p>
    <w:p w:rsidR="00060D30" w:rsidRDefault="0027759A">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060D30" w:rsidRDefault="0027759A">
      <w:pPr>
        <w:pStyle w:val="p1"/>
        <w:widowControl/>
        <w:rPr>
          <w:rFonts w:ascii="仿宋" w:eastAsia="仿宋" w:hAnsi="仿宋" w:cs="仿宋"/>
          <w:b/>
          <w:bCs/>
        </w:rPr>
      </w:pPr>
      <w:r>
        <w:rPr>
          <w:rFonts w:ascii="仿宋" w:eastAsia="仿宋" w:hAnsi="仿宋" w:cs="仿宋" w:hint="eastAsia"/>
          <w:b/>
          <w:bCs/>
        </w:rPr>
        <w:lastRenderedPageBreak/>
        <w:t>十、财政拨款“三公”经费支出决算表</w:t>
      </w:r>
      <w:r>
        <w:rPr>
          <w:rFonts w:ascii="仿宋" w:eastAsia="仿宋" w:hAnsi="仿宋" w:cs="仿宋" w:hint="eastAsia"/>
          <w:b/>
          <w:bCs/>
        </w:rPr>
        <w:t xml:space="preserve"> </w:t>
      </w:r>
    </w:p>
    <w:tbl>
      <w:tblPr>
        <w:tblW w:w="13638" w:type="dxa"/>
        <w:tblInd w:w="88" w:type="dxa"/>
        <w:tblLayout w:type="fixed"/>
        <w:tblLook w:val="04A0"/>
      </w:tblPr>
      <w:tblGrid>
        <w:gridCol w:w="2169"/>
        <w:gridCol w:w="2108"/>
        <w:gridCol w:w="2400"/>
        <w:gridCol w:w="2385"/>
        <w:gridCol w:w="2430"/>
        <w:gridCol w:w="2146"/>
      </w:tblGrid>
      <w:tr w:rsidR="00060D30">
        <w:trPr>
          <w:trHeight w:val="320"/>
        </w:trPr>
        <w:tc>
          <w:tcPr>
            <w:tcW w:w="11492" w:type="dxa"/>
            <w:gridSpan w:val="5"/>
            <w:tcBorders>
              <w:top w:val="nil"/>
              <w:left w:val="nil"/>
              <w:bottom w:val="nil"/>
              <w:right w:val="nil"/>
            </w:tcBorders>
            <w:shd w:val="clear" w:color="auto" w:fill="auto"/>
            <w:noWrap/>
            <w:vAlign w:val="bottom"/>
          </w:tcPr>
          <w:p w:rsidR="00060D30" w:rsidRDefault="0027759A">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部门（单位）：天津市东丽区渣土管理所</w:t>
            </w:r>
            <w:r>
              <w:rPr>
                <w:rFonts w:asciiTheme="minorEastAsia" w:hAnsiTheme="minorEastAsia" w:cstheme="minorEastAsia" w:hint="eastAsia"/>
                <w:color w:val="000000"/>
                <w:sz w:val="22"/>
                <w:szCs w:val="22"/>
                <w:lang/>
              </w:rPr>
              <w:t xml:space="preserve"> </w:t>
            </w:r>
          </w:p>
        </w:tc>
        <w:tc>
          <w:tcPr>
            <w:tcW w:w="2146" w:type="dxa"/>
            <w:tcBorders>
              <w:top w:val="nil"/>
              <w:left w:val="nil"/>
              <w:bottom w:val="nil"/>
              <w:right w:val="nil"/>
            </w:tcBorders>
            <w:shd w:val="clear" w:color="auto" w:fill="auto"/>
            <w:noWrap/>
            <w:vAlign w:val="bottom"/>
          </w:tcPr>
          <w:p w:rsidR="00060D30" w:rsidRDefault="0027759A">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060D30">
        <w:trPr>
          <w:trHeight w:val="308"/>
        </w:trPr>
        <w:tc>
          <w:tcPr>
            <w:tcW w:w="21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2108" w:type="dxa"/>
            <w:vMerge w:val="restart"/>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因公出国（境）费</w:t>
            </w:r>
          </w:p>
        </w:tc>
        <w:tc>
          <w:tcPr>
            <w:tcW w:w="7215" w:type="dxa"/>
            <w:gridSpan w:val="3"/>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公务用车购置及运行维护费</w:t>
            </w:r>
          </w:p>
        </w:tc>
        <w:tc>
          <w:tcPr>
            <w:tcW w:w="2146" w:type="dxa"/>
            <w:vMerge w:val="restart"/>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公务接待费</w:t>
            </w:r>
          </w:p>
        </w:tc>
      </w:tr>
      <w:tr w:rsidR="00060D30">
        <w:trPr>
          <w:trHeight w:val="308"/>
        </w:trPr>
        <w:tc>
          <w:tcPr>
            <w:tcW w:w="21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22"/>
                <w:szCs w:val="22"/>
              </w:rPr>
            </w:pPr>
          </w:p>
        </w:tc>
        <w:tc>
          <w:tcPr>
            <w:tcW w:w="2108" w:type="dxa"/>
            <w:vMerge/>
            <w:tcBorders>
              <w:top w:val="single" w:sz="4" w:space="0" w:color="000000"/>
              <w:left w:val="nil"/>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22"/>
                <w:szCs w:val="22"/>
              </w:rPr>
            </w:pPr>
          </w:p>
        </w:tc>
        <w:tc>
          <w:tcPr>
            <w:tcW w:w="2400" w:type="dxa"/>
            <w:tcBorders>
              <w:top w:val="nil"/>
              <w:left w:val="nil"/>
              <w:bottom w:val="nil"/>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2385" w:type="dxa"/>
            <w:tcBorders>
              <w:top w:val="nil"/>
              <w:left w:val="nil"/>
              <w:bottom w:val="nil"/>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公务用车购置费</w:t>
            </w:r>
          </w:p>
        </w:tc>
        <w:tc>
          <w:tcPr>
            <w:tcW w:w="2430" w:type="dxa"/>
            <w:tcBorders>
              <w:top w:val="nil"/>
              <w:left w:val="nil"/>
              <w:bottom w:val="nil"/>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公务用车运行维护费</w:t>
            </w:r>
          </w:p>
        </w:tc>
        <w:tc>
          <w:tcPr>
            <w:tcW w:w="2146" w:type="dxa"/>
            <w:vMerge/>
            <w:tcBorders>
              <w:top w:val="single" w:sz="4" w:space="0" w:color="000000"/>
              <w:left w:val="nil"/>
              <w:bottom w:val="single" w:sz="4" w:space="0" w:color="000000"/>
              <w:right w:val="single" w:sz="4" w:space="0" w:color="000000"/>
            </w:tcBorders>
            <w:shd w:val="clear" w:color="auto" w:fill="auto"/>
            <w:noWrap/>
            <w:vAlign w:val="center"/>
          </w:tcPr>
          <w:p w:rsidR="00060D30" w:rsidRDefault="00060D30">
            <w:pPr>
              <w:jc w:val="center"/>
              <w:rPr>
                <w:rFonts w:asciiTheme="minorEastAsia" w:hAnsiTheme="minorEastAsia" w:cstheme="minorEastAsia"/>
                <w:color w:val="000000"/>
                <w:sz w:val="22"/>
                <w:szCs w:val="22"/>
              </w:rPr>
            </w:pPr>
          </w:p>
        </w:tc>
      </w:tr>
      <w:tr w:rsidR="00060D30">
        <w:trPr>
          <w:trHeight w:val="720"/>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13638" w:type="dxa"/>
            <w:gridSpan w:val="6"/>
            <w:tcBorders>
              <w:top w:val="nil"/>
              <w:left w:val="nil"/>
              <w:bottom w:val="nil"/>
              <w:right w:val="nil"/>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注：本表反映本年度“三公”经费支出决算情况。其中决算数是包括当年财政拨款和以前年度结转资金安排的实际支出。</w:t>
            </w:r>
          </w:p>
        </w:tc>
      </w:tr>
    </w:tbl>
    <w:p w:rsidR="00060D30" w:rsidRDefault="0027759A" w:rsidP="006A1B16">
      <w:pPr>
        <w:widowControl/>
        <w:ind w:firstLineChars="200" w:firstLine="600"/>
        <w:jc w:val="left"/>
        <w:rPr>
          <w:rFonts w:ascii="宋体" w:eastAsia="仿宋_GB2312"/>
          <w:sz w:val="30"/>
          <w:szCs w:val="30"/>
        </w:rPr>
      </w:pPr>
      <w:r>
        <w:rPr>
          <w:rFonts w:ascii="宋体" w:eastAsia="仿宋_GB2312"/>
          <w:sz w:val="30"/>
          <w:szCs w:val="30"/>
        </w:rPr>
        <w:t>天津市东丽区渣土管理所</w:t>
      </w:r>
      <w:r>
        <w:rPr>
          <w:rFonts w:ascii="宋体" w:eastAsia="仿宋_GB2312"/>
          <w:sz w:val="30"/>
          <w:szCs w:val="30"/>
        </w:rPr>
        <w:t>2024</w:t>
      </w:r>
      <w:r>
        <w:rPr>
          <w:rFonts w:ascii="宋体" w:eastAsia="仿宋_GB2312"/>
          <w:sz w:val="30"/>
          <w:szCs w:val="30"/>
        </w:rPr>
        <w:t>年财政拨款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经费支出决算表为空表。</w:t>
      </w:r>
    </w:p>
    <w:p w:rsidR="00060D30" w:rsidRDefault="0027759A">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060D30" w:rsidRDefault="0027759A">
      <w:pPr>
        <w:pStyle w:val="p1"/>
        <w:widowControl/>
        <w:rPr>
          <w:rFonts w:ascii="仿宋" w:eastAsia="仿宋" w:hAnsi="仿宋" w:cs="仿宋"/>
          <w:b/>
          <w:bCs/>
        </w:rPr>
      </w:pPr>
      <w:r>
        <w:rPr>
          <w:rFonts w:ascii="仿宋" w:eastAsia="仿宋" w:hAnsi="仿宋" w:cs="仿宋" w:hint="eastAsia"/>
          <w:b/>
          <w:bCs/>
        </w:rPr>
        <w:lastRenderedPageBreak/>
        <w:t>十一、项目支出决算表</w:t>
      </w:r>
      <w:r>
        <w:rPr>
          <w:rFonts w:ascii="仿宋" w:eastAsia="仿宋" w:hAnsi="仿宋" w:cs="仿宋" w:hint="eastAsia"/>
          <w:b/>
          <w:bCs/>
        </w:rPr>
        <w:t xml:space="preserve"> </w:t>
      </w:r>
    </w:p>
    <w:tbl>
      <w:tblPr>
        <w:tblW w:w="5000" w:type="pct"/>
        <w:tblLayout w:type="fixed"/>
        <w:tblLook w:val="04A0"/>
      </w:tblPr>
      <w:tblGrid>
        <w:gridCol w:w="1111"/>
        <w:gridCol w:w="2863"/>
        <w:gridCol w:w="1738"/>
        <w:gridCol w:w="1615"/>
        <w:gridCol w:w="1704"/>
        <w:gridCol w:w="1690"/>
        <w:gridCol w:w="1679"/>
        <w:gridCol w:w="1592"/>
      </w:tblGrid>
      <w:tr w:rsidR="00060D30">
        <w:trPr>
          <w:trHeight w:val="320"/>
        </w:trPr>
        <w:tc>
          <w:tcPr>
            <w:tcW w:w="4431" w:type="pct"/>
            <w:gridSpan w:val="7"/>
            <w:tcBorders>
              <w:top w:val="nil"/>
              <w:left w:val="nil"/>
              <w:bottom w:val="nil"/>
              <w:right w:val="nil"/>
            </w:tcBorders>
            <w:shd w:val="clear" w:color="auto" w:fill="auto"/>
            <w:noWrap/>
            <w:vAlign w:val="bottom"/>
          </w:tcPr>
          <w:p w:rsidR="00060D30" w:rsidRDefault="0027759A">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部门（单位）：天津市东丽区渣土管理所</w:t>
            </w:r>
            <w:r>
              <w:rPr>
                <w:rFonts w:asciiTheme="minorEastAsia" w:hAnsiTheme="minorEastAsia" w:cstheme="minorEastAsia" w:hint="eastAsia"/>
                <w:color w:val="000000"/>
                <w:sz w:val="22"/>
                <w:szCs w:val="22"/>
                <w:lang/>
              </w:rPr>
              <w:t xml:space="preserve"> </w:t>
            </w:r>
          </w:p>
        </w:tc>
        <w:tc>
          <w:tcPr>
            <w:tcW w:w="568" w:type="pct"/>
            <w:tcBorders>
              <w:top w:val="nil"/>
              <w:left w:val="nil"/>
              <w:bottom w:val="nil"/>
              <w:right w:val="nil"/>
            </w:tcBorders>
            <w:shd w:val="clear" w:color="auto" w:fill="auto"/>
            <w:noWrap/>
            <w:vAlign w:val="bottom"/>
          </w:tcPr>
          <w:p w:rsidR="00060D30" w:rsidRDefault="0027759A">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060D30">
        <w:trPr>
          <w:trHeight w:val="308"/>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w:t>
            </w:r>
          </w:p>
        </w:tc>
        <w:tc>
          <w:tcPr>
            <w:tcW w:w="3579" w:type="pct"/>
            <w:gridSpan w:val="6"/>
            <w:tcBorders>
              <w:top w:val="single" w:sz="4" w:space="0" w:color="000000"/>
              <w:left w:val="nil"/>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r>
      <w:tr w:rsidR="00060D30">
        <w:trPr>
          <w:trHeight w:val="308"/>
        </w:trPr>
        <w:tc>
          <w:tcPr>
            <w:tcW w:w="397" w:type="pct"/>
            <w:tcBorders>
              <w:top w:val="nil"/>
              <w:left w:val="single" w:sz="4" w:space="0" w:color="000000"/>
              <w:bottom w:val="nil"/>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022" w:type="pct"/>
            <w:tcBorders>
              <w:top w:val="nil"/>
              <w:left w:val="nil"/>
              <w:bottom w:val="nil"/>
              <w:right w:val="single" w:sz="4" w:space="0" w:color="000000"/>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科目名称（二级项目名称）</w:t>
            </w:r>
          </w:p>
        </w:tc>
        <w:tc>
          <w:tcPr>
            <w:tcW w:w="621" w:type="pct"/>
            <w:tcBorders>
              <w:top w:val="nil"/>
              <w:left w:val="nil"/>
              <w:bottom w:val="nil"/>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7" w:type="pct"/>
            <w:tcBorders>
              <w:top w:val="nil"/>
              <w:left w:val="nil"/>
              <w:bottom w:val="nil"/>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w:t>
            </w:r>
          </w:p>
        </w:tc>
        <w:tc>
          <w:tcPr>
            <w:tcW w:w="609" w:type="pct"/>
            <w:tcBorders>
              <w:top w:val="nil"/>
              <w:left w:val="nil"/>
              <w:bottom w:val="nil"/>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w:t>
            </w:r>
          </w:p>
        </w:tc>
        <w:tc>
          <w:tcPr>
            <w:tcW w:w="604" w:type="pct"/>
            <w:tcBorders>
              <w:top w:val="nil"/>
              <w:left w:val="nil"/>
              <w:bottom w:val="nil"/>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w:t>
            </w:r>
          </w:p>
        </w:tc>
        <w:tc>
          <w:tcPr>
            <w:tcW w:w="598" w:type="pct"/>
            <w:tcBorders>
              <w:top w:val="nil"/>
              <w:left w:val="nil"/>
              <w:bottom w:val="nil"/>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财政专户管理资金</w:t>
            </w:r>
          </w:p>
        </w:tc>
        <w:tc>
          <w:tcPr>
            <w:tcW w:w="568" w:type="pct"/>
            <w:tcBorders>
              <w:top w:val="nil"/>
              <w:left w:val="nil"/>
              <w:bottom w:val="nil"/>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单位资金</w:t>
            </w:r>
          </w:p>
        </w:tc>
      </w:tr>
      <w:tr w:rsidR="00060D30">
        <w:trPr>
          <w:trHeight w:val="1180"/>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60D30" w:rsidRDefault="0027759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D30" w:rsidRDefault="00060D30">
            <w:pPr>
              <w:widowControl/>
              <w:jc w:val="right"/>
              <w:textAlignment w:val="center"/>
              <w:rPr>
                <w:rFonts w:asciiTheme="minorEastAsia" w:hAnsiTheme="minorEastAsia" w:cstheme="minorEastAsia"/>
                <w:color w:val="000000"/>
                <w:sz w:val="22"/>
                <w:szCs w:val="22"/>
              </w:rPr>
            </w:pPr>
          </w:p>
        </w:tc>
      </w:tr>
      <w:tr w:rsidR="00060D30">
        <w:trPr>
          <w:trHeight w:val="308"/>
        </w:trPr>
        <w:tc>
          <w:tcPr>
            <w:tcW w:w="5000" w:type="pct"/>
            <w:gridSpan w:val="8"/>
            <w:tcBorders>
              <w:top w:val="nil"/>
              <w:left w:val="nil"/>
              <w:bottom w:val="nil"/>
              <w:right w:val="nil"/>
            </w:tcBorders>
            <w:shd w:val="clear" w:color="auto" w:fill="auto"/>
            <w:noWrap/>
            <w:vAlign w:val="center"/>
          </w:tcPr>
          <w:p w:rsidR="00060D30" w:rsidRDefault="0027759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注：本表反映本年度项目支出决算情况，其中支出数包括当年预算资金和以前年度结转资金安排的合计实际支出。</w:t>
            </w:r>
          </w:p>
        </w:tc>
      </w:tr>
    </w:tbl>
    <w:p w:rsidR="00060D30" w:rsidRDefault="0027759A" w:rsidP="006A1B16">
      <w:pPr>
        <w:widowControl/>
        <w:ind w:firstLineChars="200" w:firstLine="640"/>
        <w:jc w:val="left"/>
        <w:rPr>
          <w:rFonts w:ascii="宋体" w:eastAsia="仿宋_GB2312"/>
          <w:sz w:val="32"/>
          <w:szCs w:val="32"/>
        </w:rPr>
      </w:pPr>
      <w:r>
        <w:rPr>
          <w:rFonts w:ascii="宋体" w:eastAsia="仿宋_GB2312"/>
          <w:sz w:val="32"/>
          <w:szCs w:val="32"/>
        </w:rPr>
        <w:t>天津市东丽区渣土管理所</w:t>
      </w:r>
      <w:r>
        <w:rPr>
          <w:rFonts w:ascii="宋体" w:eastAsia="仿宋_GB2312"/>
          <w:sz w:val="32"/>
          <w:szCs w:val="32"/>
        </w:rPr>
        <w:t>2024</w:t>
      </w:r>
      <w:r>
        <w:rPr>
          <w:rFonts w:ascii="宋体" w:eastAsia="仿宋_GB2312"/>
          <w:sz w:val="32"/>
          <w:szCs w:val="32"/>
        </w:rPr>
        <w:t>年项目支出决算表为空表。</w:t>
      </w:r>
    </w:p>
    <w:p w:rsidR="00060D30" w:rsidRDefault="00060D30">
      <w:pPr>
        <w:rPr>
          <w:rFonts w:asciiTheme="minorEastAsia" w:hAnsiTheme="minorEastAsia" w:cstheme="minorEastAsia"/>
          <w:sz w:val="22"/>
          <w:szCs w:val="22"/>
        </w:rPr>
      </w:pPr>
    </w:p>
    <w:p w:rsidR="00060D30" w:rsidRDefault="00060D30">
      <w:pPr>
        <w:rPr>
          <w:rFonts w:asciiTheme="minorEastAsia" w:hAnsiTheme="minorEastAsia" w:cstheme="minorEastAsia"/>
          <w:sz w:val="22"/>
          <w:szCs w:val="22"/>
        </w:rPr>
        <w:sectPr w:rsidR="00060D30">
          <w:footerReference w:type="default" r:id="rId10"/>
          <w:pgSz w:w="16838" w:h="11906" w:orient="landscape"/>
          <w:pgMar w:top="2098" w:right="1531" w:bottom="1984" w:left="1531" w:header="851" w:footer="992" w:gutter="0"/>
          <w:cols w:space="720"/>
          <w:docGrid w:type="lines" w:linePitch="312"/>
        </w:sectPr>
      </w:pPr>
    </w:p>
    <w:p w:rsidR="00060D30" w:rsidRDefault="0027759A">
      <w:pPr>
        <w:widowControl/>
        <w:spacing w:line="360" w:lineRule="auto"/>
        <w:jc w:val="center"/>
        <w:outlineLvl w:val="0"/>
        <w:rPr>
          <w:rFonts w:ascii="黑体" w:eastAsia="黑体"/>
          <w:sz w:val="44"/>
          <w:szCs w:val="44"/>
        </w:rPr>
      </w:pPr>
      <w:r>
        <w:rPr>
          <w:rFonts w:ascii="黑体" w:eastAsia="黑体"/>
          <w:sz w:val="44"/>
          <w:szCs w:val="44"/>
        </w:rPr>
        <w:lastRenderedPageBreak/>
        <w:t>第三部分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年度部门决算情况说明</w:t>
      </w:r>
    </w:p>
    <w:p w:rsidR="00060D30" w:rsidRDefault="0027759A" w:rsidP="006A1B16">
      <w:pPr>
        <w:widowControl/>
        <w:spacing w:line="360" w:lineRule="auto"/>
        <w:ind w:firstLineChars="200" w:firstLine="602"/>
        <w:jc w:val="left"/>
        <w:outlineLvl w:val="1"/>
        <w:rPr>
          <w:rFonts w:ascii="宋体" w:eastAsia="黑体"/>
          <w:sz w:val="30"/>
          <w:szCs w:val="30"/>
        </w:rPr>
      </w:pPr>
      <w:r>
        <w:rPr>
          <w:rFonts w:ascii="宋体" w:eastAsia="黑体"/>
          <w:b/>
          <w:sz w:val="30"/>
          <w:szCs w:val="30"/>
        </w:rPr>
        <w:t>一、收入支出决算总体情况说明</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天津市东丽区渣土管理所</w:t>
      </w:r>
      <w:r>
        <w:rPr>
          <w:rFonts w:ascii="Times New Roman" w:eastAsia="仿宋_GB2312"/>
          <w:sz w:val="30"/>
          <w:szCs w:val="30"/>
        </w:rPr>
        <w:t>2024</w:t>
      </w:r>
      <w:r>
        <w:rPr>
          <w:rFonts w:ascii="Times New Roman" w:eastAsia="仿宋_GB2312"/>
          <w:sz w:val="30"/>
          <w:szCs w:val="30"/>
        </w:rPr>
        <w:t>年度收入、支出决算总计</w:t>
      </w:r>
      <w:r>
        <w:rPr>
          <w:rFonts w:ascii="Times New Roman" w:eastAsia="仿宋_GB2312"/>
          <w:sz w:val="30"/>
          <w:szCs w:val="30"/>
        </w:rPr>
        <w:t>1,023,215.28</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年度相比，收、支总计各</w:t>
      </w:r>
      <w:r>
        <w:rPr>
          <w:rFonts w:ascii="Times New Roman" w:eastAsia="仿宋_GB2312"/>
          <w:sz w:val="30"/>
          <w:szCs w:val="30"/>
        </w:rPr>
        <w:t>减少</w:t>
      </w:r>
      <w:r>
        <w:rPr>
          <w:rFonts w:ascii="Times New Roman" w:eastAsia="仿宋_GB2312"/>
          <w:sz w:val="30"/>
          <w:szCs w:val="30"/>
        </w:rPr>
        <w:t>1,337,650.01</w:t>
      </w:r>
      <w:r>
        <w:rPr>
          <w:rFonts w:ascii="Times New Roman" w:eastAsia="仿宋_GB2312"/>
          <w:sz w:val="30"/>
          <w:szCs w:val="30"/>
        </w:rPr>
        <w:t>元，下降</w:t>
      </w:r>
      <w:r>
        <w:rPr>
          <w:rFonts w:ascii="Times New Roman" w:eastAsia="仿宋_GB2312"/>
          <w:sz w:val="30"/>
          <w:szCs w:val="30"/>
        </w:rPr>
        <w:t>56.659%</w:t>
      </w:r>
      <w:r>
        <w:rPr>
          <w:rFonts w:ascii="Times New Roman" w:eastAsia="仿宋_GB2312"/>
          <w:sz w:val="30"/>
          <w:szCs w:val="30"/>
        </w:rPr>
        <w:t>，主要原因是机构改革，单位撤销。</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收入包括：一般公共预算财政拨款收入</w:t>
      </w:r>
      <w:r>
        <w:rPr>
          <w:rFonts w:ascii="Times New Roman" w:eastAsia="仿宋_GB2312"/>
          <w:sz w:val="30"/>
          <w:szCs w:val="30"/>
        </w:rPr>
        <w:t>1,022,922.28</w:t>
      </w:r>
      <w:r>
        <w:rPr>
          <w:rFonts w:ascii="Times New Roman" w:eastAsia="仿宋_GB2312"/>
          <w:sz w:val="30"/>
          <w:szCs w:val="30"/>
        </w:rPr>
        <w:t>元、其他收入</w:t>
      </w:r>
      <w:r>
        <w:rPr>
          <w:rFonts w:ascii="Times New Roman" w:eastAsia="仿宋_GB2312"/>
          <w:sz w:val="30"/>
          <w:szCs w:val="30"/>
        </w:rPr>
        <w:t>20.47</w:t>
      </w:r>
      <w:r>
        <w:rPr>
          <w:rFonts w:ascii="Times New Roman" w:eastAsia="仿宋_GB2312"/>
          <w:sz w:val="30"/>
          <w:szCs w:val="30"/>
        </w:rPr>
        <w:t>元。</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支出包括：社会保障和就业支出</w:t>
      </w:r>
      <w:r>
        <w:rPr>
          <w:rFonts w:ascii="Times New Roman" w:eastAsia="仿宋_GB2312"/>
          <w:sz w:val="30"/>
          <w:szCs w:val="30"/>
        </w:rPr>
        <w:t>113,490.72</w:t>
      </w:r>
      <w:r>
        <w:rPr>
          <w:rFonts w:ascii="Times New Roman" w:eastAsia="仿宋_GB2312"/>
          <w:sz w:val="30"/>
          <w:szCs w:val="30"/>
        </w:rPr>
        <w:t>元、卫生健康支出</w:t>
      </w:r>
      <w:r>
        <w:rPr>
          <w:rFonts w:ascii="Times New Roman" w:eastAsia="仿宋_GB2312"/>
          <w:sz w:val="30"/>
          <w:szCs w:val="30"/>
        </w:rPr>
        <w:t>47,288.10</w:t>
      </w:r>
      <w:r>
        <w:rPr>
          <w:rFonts w:ascii="Times New Roman" w:eastAsia="仿宋_GB2312"/>
          <w:sz w:val="30"/>
          <w:szCs w:val="30"/>
        </w:rPr>
        <w:t>元、城乡社区支出</w:t>
      </w:r>
      <w:r>
        <w:rPr>
          <w:rFonts w:ascii="Times New Roman" w:eastAsia="仿宋_GB2312"/>
          <w:sz w:val="30"/>
          <w:szCs w:val="30"/>
        </w:rPr>
        <w:t>601,658.46</w:t>
      </w:r>
      <w:r>
        <w:rPr>
          <w:rFonts w:ascii="Times New Roman" w:eastAsia="仿宋_GB2312"/>
          <w:sz w:val="30"/>
          <w:szCs w:val="30"/>
        </w:rPr>
        <w:t>元、住房保障支出</w:t>
      </w:r>
      <w:r>
        <w:rPr>
          <w:rFonts w:ascii="Times New Roman" w:eastAsia="仿宋_GB2312"/>
          <w:sz w:val="30"/>
          <w:szCs w:val="30"/>
        </w:rPr>
        <w:t>260,778.00</w:t>
      </w:r>
      <w:r>
        <w:rPr>
          <w:rFonts w:ascii="Times New Roman" w:eastAsia="仿宋_GB2312"/>
          <w:sz w:val="30"/>
          <w:szCs w:val="30"/>
        </w:rPr>
        <w:t>元。</w:t>
      </w:r>
    </w:p>
    <w:p w:rsidR="00060D30" w:rsidRDefault="0027759A" w:rsidP="006A1B16">
      <w:pPr>
        <w:widowControl/>
        <w:spacing w:line="360" w:lineRule="auto"/>
        <w:ind w:firstLineChars="200" w:firstLine="602"/>
        <w:jc w:val="left"/>
        <w:outlineLvl w:val="1"/>
        <w:rPr>
          <w:rFonts w:ascii="宋体" w:eastAsia="黑体"/>
          <w:sz w:val="30"/>
          <w:szCs w:val="30"/>
        </w:rPr>
      </w:pPr>
      <w:r>
        <w:rPr>
          <w:rFonts w:ascii="宋体" w:eastAsia="黑体"/>
          <w:b/>
          <w:sz w:val="30"/>
          <w:szCs w:val="30"/>
        </w:rPr>
        <w:t>二、收入决算情况说明</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天津市东丽区渣土管理所</w:t>
      </w:r>
      <w:r>
        <w:rPr>
          <w:rFonts w:ascii="Times New Roman" w:eastAsia="仿宋_GB2312"/>
          <w:sz w:val="30"/>
          <w:szCs w:val="30"/>
        </w:rPr>
        <w:t>2024</w:t>
      </w:r>
      <w:r>
        <w:rPr>
          <w:rFonts w:ascii="Times New Roman" w:eastAsia="仿宋_GB2312"/>
          <w:sz w:val="30"/>
          <w:szCs w:val="30"/>
        </w:rPr>
        <w:t>年度本年收入合计</w:t>
      </w:r>
      <w:r>
        <w:rPr>
          <w:rFonts w:ascii="Times New Roman" w:eastAsia="仿宋_GB2312"/>
          <w:sz w:val="30"/>
          <w:szCs w:val="30"/>
        </w:rPr>
        <w:t>1,022,942.75</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1,337,370.56</w:t>
      </w:r>
      <w:r>
        <w:rPr>
          <w:rFonts w:ascii="Times New Roman" w:eastAsia="仿宋_GB2312"/>
          <w:sz w:val="30"/>
          <w:szCs w:val="30"/>
        </w:rPr>
        <w:t>元，主要原因是机构改革，单位撤销。其中：</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一般公共预算财政拨款收入</w:t>
      </w:r>
      <w:r>
        <w:rPr>
          <w:rFonts w:ascii="Times New Roman" w:eastAsia="仿宋_GB2312"/>
          <w:sz w:val="30"/>
          <w:szCs w:val="30"/>
        </w:rPr>
        <w:t>1,022,922.28</w:t>
      </w:r>
      <w:r>
        <w:rPr>
          <w:rFonts w:ascii="Times New Roman" w:eastAsia="仿宋_GB2312"/>
          <w:sz w:val="30"/>
          <w:szCs w:val="30"/>
        </w:rPr>
        <w:t>元，占</w:t>
      </w:r>
      <w:r>
        <w:rPr>
          <w:rFonts w:ascii="Times New Roman" w:eastAsia="仿宋_GB2312"/>
          <w:sz w:val="30"/>
          <w:szCs w:val="30"/>
        </w:rPr>
        <w:t>99.998%</w:t>
      </w:r>
      <w:r>
        <w:rPr>
          <w:rFonts w:ascii="Times New Roman" w:eastAsia="仿宋_GB2312"/>
          <w:sz w:val="30"/>
          <w:szCs w:val="30"/>
        </w:rPr>
        <w:t>；其他收入</w:t>
      </w:r>
      <w:r>
        <w:rPr>
          <w:rFonts w:ascii="Times New Roman" w:eastAsia="仿宋_GB2312"/>
          <w:sz w:val="30"/>
          <w:szCs w:val="30"/>
        </w:rPr>
        <w:t>20.47</w:t>
      </w:r>
      <w:r>
        <w:rPr>
          <w:rFonts w:ascii="Times New Roman" w:eastAsia="仿宋_GB2312"/>
          <w:sz w:val="30"/>
          <w:szCs w:val="30"/>
        </w:rPr>
        <w:t>元，占</w:t>
      </w:r>
      <w:r>
        <w:rPr>
          <w:rFonts w:ascii="Times New Roman" w:eastAsia="仿宋_GB2312"/>
          <w:sz w:val="30"/>
          <w:szCs w:val="30"/>
        </w:rPr>
        <w:t>0.002%</w:t>
      </w:r>
      <w:r>
        <w:rPr>
          <w:rFonts w:ascii="Times New Roman" w:eastAsia="仿宋_GB2312"/>
          <w:sz w:val="30"/>
          <w:szCs w:val="30"/>
        </w:rPr>
        <w:t>。</w:t>
      </w:r>
    </w:p>
    <w:p w:rsidR="00060D30" w:rsidRDefault="0027759A" w:rsidP="006A1B16">
      <w:pPr>
        <w:widowControl/>
        <w:spacing w:line="360" w:lineRule="auto"/>
        <w:ind w:firstLineChars="200" w:firstLine="602"/>
        <w:jc w:val="left"/>
        <w:outlineLvl w:val="1"/>
        <w:rPr>
          <w:rFonts w:ascii="宋体" w:eastAsia="黑体"/>
          <w:sz w:val="30"/>
          <w:szCs w:val="30"/>
        </w:rPr>
      </w:pPr>
      <w:r>
        <w:rPr>
          <w:rFonts w:ascii="宋体" w:eastAsia="黑体"/>
          <w:b/>
          <w:sz w:val="30"/>
          <w:szCs w:val="30"/>
        </w:rPr>
        <w:t>三、支出决算情况说明</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天津市东丽区渣土管理所</w:t>
      </w:r>
      <w:r>
        <w:rPr>
          <w:rFonts w:ascii="Times New Roman" w:eastAsia="仿宋_GB2312"/>
          <w:sz w:val="30"/>
          <w:szCs w:val="30"/>
        </w:rPr>
        <w:t>2024</w:t>
      </w:r>
      <w:r>
        <w:rPr>
          <w:rFonts w:ascii="Times New Roman" w:eastAsia="仿宋_GB2312"/>
          <w:sz w:val="30"/>
          <w:szCs w:val="30"/>
        </w:rPr>
        <w:t>年度本年支出合计</w:t>
      </w:r>
      <w:r>
        <w:rPr>
          <w:rFonts w:ascii="Times New Roman" w:eastAsia="仿宋_GB2312"/>
          <w:sz w:val="30"/>
          <w:szCs w:val="30"/>
        </w:rPr>
        <w:t>1,023,215.28</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1,337,650.01</w:t>
      </w:r>
      <w:r>
        <w:rPr>
          <w:rFonts w:ascii="Times New Roman" w:eastAsia="仿宋_GB2312"/>
          <w:sz w:val="30"/>
          <w:szCs w:val="30"/>
        </w:rPr>
        <w:t>元，主要原因是机构改革，单位撤销。其中：</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基本支出</w:t>
      </w:r>
      <w:r>
        <w:rPr>
          <w:rFonts w:ascii="Times New Roman" w:eastAsia="仿宋_GB2312"/>
          <w:sz w:val="30"/>
          <w:szCs w:val="30"/>
        </w:rPr>
        <w:t>1,023,215.28</w:t>
      </w:r>
      <w:r>
        <w:rPr>
          <w:rFonts w:ascii="Times New Roman" w:eastAsia="仿宋_GB2312"/>
          <w:sz w:val="30"/>
          <w:szCs w:val="30"/>
        </w:rPr>
        <w:t>元，占</w:t>
      </w:r>
      <w:r>
        <w:rPr>
          <w:rFonts w:ascii="Times New Roman" w:eastAsia="仿宋_GB2312"/>
          <w:sz w:val="30"/>
          <w:szCs w:val="30"/>
        </w:rPr>
        <w:t>100.000%</w:t>
      </w:r>
      <w:r>
        <w:rPr>
          <w:rFonts w:ascii="Times New Roman" w:eastAsia="仿宋_GB2312"/>
          <w:sz w:val="30"/>
          <w:szCs w:val="30"/>
        </w:rPr>
        <w:t>。</w:t>
      </w:r>
    </w:p>
    <w:p w:rsidR="00060D30" w:rsidRDefault="0027759A" w:rsidP="006A1B16">
      <w:pPr>
        <w:widowControl/>
        <w:spacing w:line="360" w:lineRule="auto"/>
        <w:ind w:firstLineChars="200" w:firstLine="602"/>
        <w:jc w:val="left"/>
        <w:outlineLvl w:val="1"/>
        <w:rPr>
          <w:rFonts w:ascii="宋体" w:eastAsia="黑体"/>
          <w:sz w:val="30"/>
          <w:szCs w:val="30"/>
        </w:rPr>
      </w:pPr>
      <w:r>
        <w:rPr>
          <w:rFonts w:ascii="宋体" w:eastAsia="黑体"/>
          <w:b/>
          <w:sz w:val="30"/>
          <w:szCs w:val="30"/>
        </w:rPr>
        <w:t>四、财政拨款收支决算总体情况说明</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天津市东丽区渣土管理所</w:t>
      </w:r>
      <w:r>
        <w:rPr>
          <w:rFonts w:ascii="Times New Roman" w:eastAsia="仿宋_GB2312"/>
          <w:sz w:val="30"/>
          <w:szCs w:val="30"/>
        </w:rPr>
        <w:t>2024</w:t>
      </w:r>
      <w:r>
        <w:rPr>
          <w:rFonts w:ascii="Times New Roman" w:eastAsia="仿宋_GB2312"/>
          <w:sz w:val="30"/>
          <w:szCs w:val="30"/>
        </w:rPr>
        <w:t>年度财政拨款收入、支出决算总计</w:t>
      </w:r>
      <w:r>
        <w:rPr>
          <w:rFonts w:ascii="Times New Roman" w:eastAsia="仿宋_GB2312"/>
          <w:sz w:val="30"/>
          <w:szCs w:val="30"/>
        </w:rPr>
        <w:t>1,022,922.28</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年度相比，财政拨款收、支总计各减少</w:t>
      </w:r>
      <w:r>
        <w:rPr>
          <w:rFonts w:ascii="Times New Roman" w:eastAsia="仿宋_GB2312"/>
          <w:sz w:val="30"/>
          <w:szCs w:val="30"/>
        </w:rPr>
        <w:t>1,337,248.11</w:t>
      </w:r>
      <w:r>
        <w:rPr>
          <w:rFonts w:ascii="Times New Roman" w:eastAsia="仿宋_GB2312"/>
          <w:sz w:val="30"/>
          <w:szCs w:val="30"/>
        </w:rPr>
        <w:t>元，下降</w:t>
      </w:r>
      <w:r>
        <w:rPr>
          <w:rFonts w:ascii="Times New Roman" w:eastAsia="仿宋_GB2312"/>
          <w:sz w:val="30"/>
          <w:szCs w:val="30"/>
        </w:rPr>
        <w:t>56.659%</w:t>
      </w:r>
      <w:r>
        <w:rPr>
          <w:rFonts w:ascii="Times New Roman" w:eastAsia="仿宋_GB2312"/>
          <w:sz w:val="30"/>
          <w:szCs w:val="30"/>
        </w:rPr>
        <w:t>，主要原因是机构改革，单位撤销。</w:t>
      </w:r>
    </w:p>
    <w:p w:rsidR="00060D30" w:rsidRDefault="0027759A" w:rsidP="006A1B16">
      <w:pPr>
        <w:widowControl/>
        <w:spacing w:line="360" w:lineRule="auto"/>
        <w:ind w:firstLineChars="200" w:firstLine="600"/>
        <w:jc w:val="left"/>
        <w:outlineLvl w:val="1"/>
        <w:rPr>
          <w:rFonts w:ascii="Times New Roman" w:eastAsia="仿宋_GB2312"/>
          <w:sz w:val="30"/>
          <w:szCs w:val="30"/>
        </w:rPr>
      </w:pPr>
      <w:r>
        <w:rPr>
          <w:rFonts w:ascii="Times New Roman" w:eastAsia="仿宋_GB2312"/>
          <w:sz w:val="30"/>
          <w:szCs w:val="30"/>
        </w:rPr>
        <w:t>收入包括：一般公共预算财政拨款</w:t>
      </w:r>
      <w:r>
        <w:rPr>
          <w:rFonts w:ascii="Times New Roman" w:eastAsia="仿宋_GB2312"/>
          <w:sz w:val="30"/>
          <w:szCs w:val="30"/>
        </w:rPr>
        <w:t>1,022,922.28</w:t>
      </w:r>
      <w:r>
        <w:rPr>
          <w:rFonts w:ascii="Times New Roman" w:eastAsia="仿宋_GB2312"/>
          <w:sz w:val="30"/>
          <w:szCs w:val="30"/>
        </w:rPr>
        <w:t>元。</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支出包括：社会保障和就业支出</w:t>
      </w:r>
      <w:r>
        <w:rPr>
          <w:rFonts w:ascii="Times New Roman" w:eastAsia="仿宋_GB2312"/>
          <w:sz w:val="30"/>
          <w:szCs w:val="30"/>
        </w:rPr>
        <w:t>113,490.72</w:t>
      </w:r>
      <w:r>
        <w:rPr>
          <w:rFonts w:ascii="Times New Roman" w:eastAsia="仿宋_GB2312"/>
          <w:sz w:val="30"/>
          <w:szCs w:val="30"/>
        </w:rPr>
        <w:t>元、卫生健康支出</w:t>
      </w:r>
      <w:r>
        <w:rPr>
          <w:rFonts w:ascii="Times New Roman" w:eastAsia="仿宋_GB2312"/>
          <w:sz w:val="30"/>
          <w:szCs w:val="30"/>
        </w:rPr>
        <w:t>47,288.10</w:t>
      </w:r>
      <w:r>
        <w:rPr>
          <w:rFonts w:ascii="Times New Roman" w:eastAsia="仿宋_GB2312"/>
          <w:sz w:val="30"/>
          <w:szCs w:val="30"/>
        </w:rPr>
        <w:t>元、城乡社区支出</w:t>
      </w:r>
      <w:r>
        <w:rPr>
          <w:rFonts w:ascii="Times New Roman" w:eastAsia="仿宋_GB2312"/>
          <w:sz w:val="30"/>
          <w:szCs w:val="30"/>
        </w:rPr>
        <w:t>601,365.46</w:t>
      </w:r>
      <w:r>
        <w:rPr>
          <w:rFonts w:ascii="Times New Roman" w:eastAsia="仿宋_GB2312"/>
          <w:sz w:val="30"/>
          <w:szCs w:val="30"/>
        </w:rPr>
        <w:t>元、住房保障支出</w:t>
      </w:r>
      <w:r>
        <w:rPr>
          <w:rFonts w:ascii="Times New Roman" w:eastAsia="仿宋_GB2312"/>
          <w:sz w:val="30"/>
          <w:szCs w:val="30"/>
        </w:rPr>
        <w:t>260,778.00</w:t>
      </w:r>
      <w:r>
        <w:rPr>
          <w:rFonts w:ascii="Times New Roman" w:eastAsia="仿宋_GB2312"/>
          <w:sz w:val="30"/>
          <w:szCs w:val="30"/>
        </w:rPr>
        <w:t>元。</w:t>
      </w:r>
    </w:p>
    <w:p w:rsidR="00060D30" w:rsidRDefault="0027759A" w:rsidP="006A1B16">
      <w:pPr>
        <w:widowControl/>
        <w:spacing w:line="360" w:lineRule="auto"/>
        <w:ind w:firstLineChars="200" w:firstLine="602"/>
        <w:jc w:val="left"/>
        <w:outlineLvl w:val="1"/>
        <w:rPr>
          <w:rFonts w:ascii="宋体" w:eastAsia="黑体"/>
          <w:sz w:val="30"/>
          <w:szCs w:val="30"/>
        </w:rPr>
      </w:pPr>
      <w:r>
        <w:rPr>
          <w:rFonts w:ascii="宋体" w:eastAsia="黑体"/>
          <w:b/>
          <w:sz w:val="30"/>
          <w:szCs w:val="30"/>
        </w:rPr>
        <w:t>五、一般公共预算财政拨款支出决算情况说明</w:t>
      </w:r>
    </w:p>
    <w:p w:rsidR="00060D30" w:rsidRDefault="0027759A" w:rsidP="006A1B16">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天津市东丽区渣土管理所</w:t>
      </w:r>
      <w:r>
        <w:rPr>
          <w:rFonts w:ascii="Times New Roman" w:eastAsia="仿宋_GB2312"/>
          <w:sz w:val="30"/>
          <w:szCs w:val="30"/>
        </w:rPr>
        <w:t>2024</w:t>
      </w:r>
      <w:r>
        <w:rPr>
          <w:rFonts w:ascii="Times New Roman" w:eastAsia="仿宋_GB2312"/>
          <w:sz w:val="30"/>
          <w:szCs w:val="30"/>
        </w:rPr>
        <w:t>年度部门决算一般公共预算财政拨款支出合计</w:t>
      </w:r>
      <w:r>
        <w:rPr>
          <w:rFonts w:ascii="Times New Roman" w:eastAsia="仿宋_GB2312"/>
          <w:sz w:val="30"/>
          <w:szCs w:val="30"/>
        </w:rPr>
        <w:t>1,022,922.28</w:t>
      </w:r>
      <w:r>
        <w:rPr>
          <w:rFonts w:ascii="Times New Roman" w:eastAsia="仿宋_GB2312"/>
          <w:sz w:val="30"/>
          <w:szCs w:val="30"/>
        </w:rPr>
        <w:t>元，占本年支</w:t>
      </w:r>
      <w:r>
        <w:rPr>
          <w:rFonts w:ascii="Times New Roman" w:eastAsia="仿宋_GB2312"/>
          <w:sz w:val="30"/>
          <w:szCs w:val="30"/>
        </w:rPr>
        <w:t>出合计的</w:t>
      </w:r>
      <w:r>
        <w:rPr>
          <w:rFonts w:ascii="Times New Roman" w:eastAsia="仿宋_GB2312"/>
          <w:sz w:val="30"/>
          <w:szCs w:val="30"/>
        </w:rPr>
        <w:t>99.971%</w:t>
      </w:r>
      <w:r>
        <w:rPr>
          <w:rFonts w:ascii="Times New Roman" w:eastAsia="仿宋_GB2312"/>
          <w:sz w:val="30"/>
          <w:szCs w:val="30"/>
        </w:rPr>
        <w:t>。与</w:t>
      </w:r>
      <w:r>
        <w:rPr>
          <w:rFonts w:ascii="Times New Roman" w:eastAsia="仿宋_GB2312"/>
          <w:sz w:val="30"/>
          <w:szCs w:val="30"/>
        </w:rPr>
        <w:t>2023</w:t>
      </w:r>
      <w:r>
        <w:rPr>
          <w:rFonts w:ascii="Times New Roman" w:eastAsia="仿宋_GB2312"/>
          <w:sz w:val="30"/>
          <w:szCs w:val="30"/>
        </w:rPr>
        <w:t>年度相比，一般公共预算财政拨款支出减少</w:t>
      </w:r>
      <w:r>
        <w:rPr>
          <w:rFonts w:ascii="Times New Roman" w:eastAsia="仿宋_GB2312"/>
          <w:sz w:val="30"/>
          <w:szCs w:val="30"/>
        </w:rPr>
        <w:t>1,337,248.11</w:t>
      </w:r>
      <w:r>
        <w:rPr>
          <w:rFonts w:ascii="Times New Roman" w:eastAsia="仿宋_GB2312"/>
          <w:sz w:val="30"/>
          <w:szCs w:val="30"/>
        </w:rPr>
        <w:t>元，下降</w:t>
      </w:r>
      <w:r>
        <w:rPr>
          <w:rFonts w:ascii="Times New Roman" w:eastAsia="仿宋_GB2312"/>
          <w:sz w:val="30"/>
          <w:szCs w:val="30"/>
        </w:rPr>
        <w:t>56.659%</w:t>
      </w:r>
      <w:r>
        <w:rPr>
          <w:rFonts w:ascii="Times New Roman" w:eastAsia="仿宋_GB2312"/>
          <w:sz w:val="30"/>
          <w:szCs w:val="30"/>
        </w:rPr>
        <w:t>，主要原因是机构改革，单位撤销。</w:t>
      </w:r>
    </w:p>
    <w:p w:rsidR="00060D30" w:rsidRDefault="0027759A" w:rsidP="006A1B16">
      <w:pPr>
        <w:widowControl/>
        <w:spacing w:line="360" w:lineRule="auto"/>
        <w:ind w:firstLineChars="200" w:firstLine="602"/>
        <w:jc w:val="left"/>
        <w:rPr>
          <w:rFonts w:ascii="楷体" w:eastAsia="楷体"/>
          <w:sz w:val="30"/>
          <w:szCs w:val="30"/>
        </w:rPr>
      </w:pPr>
      <w:r>
        <w:rPr>
          <w:rFonts w:ascii="楷体" w:eastAsia="楷体"/>
          <w:b/>
          <w:sz w:val="30"/>
          <w:szCs w:val="30"/>
        </w:rPr>
        <w:t>（二）支出结构情况</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2024</w:t>
      </w:r>
      <w:r>
        <w:rPr>
          <w:rFonts w:ascii="Times New Roman" w:eastAsia="仿宋_GB2312"/>
          <w:sz w:val="30"/>
          <w:szCs w:val="30"/>
        </w:rPr>
        <w:t>年度一般公共预算财政拨款支出</w:t>
      </w:r>
      <w:r>
        <w:rPr>
          <w:rFonts w:ascii="Times New Roman" w:eastAsia="仿宋_GB2312"/>
          <w:sz w:val="30"/>
          <w:szCs w:val="30"/>
        </w:rPr>
        <w:t>1,022,922.28</w:t>
      </w:r>
      <w:r>
        <w:rPr>
          <w:rFonts w:ascii="Times New Roman" w:eastAsia="仿宋_GB2312"/>
          <w:sz w:val="30"/>
          <w:szCs w:val="30"/>
        </w:rPr>
        <w:t>元，主要用于以下方面：社会保障和就业支出（类）</w:t>
      </w:r>
      <w:r>
        <w:rPr>
          <w:rFonts w:ascii="Times New Roman" w:eastAsia="仿宋_GB2312"/>
          <w:sz w:val="30"/>
          <w:szCs w:val="30"/>
        </w:rPr>
        <w:t>113,490.72</w:t>
      </w:r>
      <w:r>
        <w:rPr>
          <w:rFonts w:ascii="Times New Roman" w:eastAsia="仿宋_GB2312"/>
          <w:sz w:val="30"/>
          <w:szCs w:val="30"/>
        </w:rPr>
        <w:t>元，占</w:t>
      </w:r>
      <w:r>
        <w:rPr>
          <w:rFonts w:ascii="Times New Roman" w:eastAsia="仿宋_GB2312"/>
          <w:sz w:val="30"/>
          <w:szCs w:val="30"/>
        </w:rPr>
        <w:t>11.095%</w:t>
      </w:r>
      <w:r>
        <w:rPr>
          <w:rFonts w:ascii="Times New Roman" w:eastAsia="仿宋_GB2312"/>
          <w:sz w:val="30"/>
          <w:szCs w:val="30"/>
        </w:rPr>
        <w:t>；卫生健康支出（类）</w:t>
      </w:r>
      <w:r>
        <w:rPr>
          <w:rFonts w:ascii="Times New Roman" w:eastAsia="仿宋_GB2312"/>
          <w:sz w:val="30"/>
          <w:szCs w:val="30"/>
        </w:rPr>
        <w:t>47,288.10</w:t>
      </w:r>
      <w:r>
        <w:rPr>
          <w:rFonts w:ascii="Times New Roman" w:eastAsia="仿宋_GB2312"/>
          <w:sz w:val="30"/>
          <w:szCs w:val="30"/>
        </w:rPr>
        <w:t>元，占</w:t>
      </w:r>
      <w:r>
        <w:rPr>
          <w:rFonts w:ascii="Times New Roman" w:eastAsia="仿宋_GB2312"/>
          <w:sz w:val="30"/>
          <w:szCs w:val="30"/>
        </w:rPr>
        <w:t>4.623%</w:t>
      </w:r>
      <w:r>
        <w:rPr>
          <w:rFonts w:ascii="Times New Roman" w:eastAsia="仿宋_GB2312"/>
          <w:sz w:val="30"/>
          <w:szCs w:val="30"/>
        </w:rPr>
        <w:t>；城乡社区支出（类）</w:t>
      </w:r>
      <w:r>
        <w:rPr>
          <w:rFonts w:ascii="Times New Roman" w:eastAsia="仿宋_GB2312"/>
          <w:sz w:val="30"/>
          <w:szCs w:val="30"/>
        </w:rPr>
        <w:t>601,365.46</w:t>
      </w:r>
      <w:r>
        <w:rPr>
          <w:rFonts w:ascii="Times New Roman" w:eastAsia="仿宋_GB2312"/>
          <w:sz w:val="30"/>
          <w:szCs w:val="30"/>
        </w:rPr>
        <w:t>元，占</w:t>
      </w:r>
      <w:r>
        <w:rPr>
          <w:rFonts w:ascii="Times New Roman" w:eastAsia="仿宋_GB2312"/>
          <w:sz w:val="30"/>
          <w:szCs w:val="30"/>
        </w:rPr>
        <w:t>58.789%</w:t>
      </w:r>
      <w:r>
        <w:rPr>
          <w:rFonts w:ascii="Times New Roman" w:eastAsia="仿宋_GB2312"/>
          <w:sz w:val="30"/>
          <w:szCs w:val="30"/>
        </w:rPr>
        <w:t>；住房保障支出（类）</w:t>
      </w:r>
      <w:r>
        <w:rPr>
          <w:rFonts w:ascii="Times New Roman" w:eastAsia="仿宋_GB2312"/>
          <w:sz w:val="30"/>
          <w:szCs w:val="30"/>
        </w:rPr>
        <w:t>260,778.00</w:t>
      </w:r>
      <w:r>
        <w:rPr>
          <w:rFonts w:ascii="Times New Roman" w:eastAsia="仿宋_GB2312"/>
          <w:sz w:val="30"/>
          <w:szCs w:val="30"/>
        </w:rPr>
        <w:t>元，占</w:t>
      </w:r>
      <w:r>
        <w:rPr>
          <w:rFonts w:ascii="Times New Roman" w:eastAsia="仿宋_GB2312"/>
          <w:sz w:val="30"/>
          <w:szCs w:val="30"/>
        </w:rPr>
        <w:t>25.493%</w:t>
      </w:r>
      <w:r>
        <w:rPr>
          <w:rFonts w:ascii="Times New Roman" w:eastAsia="仿宋_GB2312"/>
          <w:sz w:val="30"/>
          <w:szCs w:val="30"/>
        </w:rPr>
        <w:t>。</w:t>
      </w:r>
    </w:p>
    <w:p w:rsidR="00060D30" w:rsidRDefault="0027759A" w:rsidP="006A1B16">
      <w:pPr>
        <w:widowControl/>
        <w:spacing w:line="360" w:lineRule="auto"/>
        <w:ind w:firstLineChars="200" w:firstLine="602"/>
        <w:jc w:val="left"/>
        <w:rPr>
          <w:rFonts w:ascii="楷体" w:eastAsia="楷体"/>
          <w:sz w:val="30"/>
          <w:szCs w:val="30"/>
        </w:rPr>
      </w:pPr>
      <w:r>
        <w:rPr>
          <w:rFonts w:ascii="楷体" w:eastAsia="楷体"/>
          <w:b/>
          <w:sz w:val="30"/>
          <w:szCs w:val="30"/>
        </w:rPr>
        <w:t>（三）具体情况</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年度一般公共预算财政拨款支出年初预算为</w:t>
      </w:r>
      <w:r>
        <w:rPr>
          <w:rFonts w:ascii="Times New Roman" w:eastAsia="仿宋_GB2312"/>
          <w:sz w:val="30"/>
          <w:szCs w:val="30"/>
        </w:rPr>
        <w:t>2,243,484.09</w:t>
      </w:r>
      <w:r>
        <w:rPr>
          <w:rFonts w:ascii="Times New Roman" w:eastAsia="仿宋_GB2312"/>
          <w:sz w:val="30"/>
          <w:szCs w:val="30"/>
        </w:rPr>
        <w:t>元，支出决算为</w:t>
      </w:r>
      <w:r>
        <w:rPr>
          <w:rFonts w:ascii="Times New Roman" w:eastAsia="仿宋_GB2312"/>
          <w:sz w:val="30"/>
          <w:szCs w:val="30"/>
        </w:rPr>
        <w:t>1,022,922.28</w:t>
      </w:r>
      <w:r>
        <w:rPr>
          <w:rFonts w:ascii="Times New Roman" w:eastAsia="仿宋_GB2312"/>
          <w:sz w:val="30"/>
          <w:szCs w:val="30"/>
        </w:rPr>
        <w:t>元，完成年初预算的</w:t>
      </w:r>
      <w:r>
        <w:rPr>
          <w:rFonts w:ascii="Times New Roman" w:eastAsia="仿宋_GB2312"/>
          <w:sz w:val="30"/>
          <w:szCs w:val="30"/>
        </w:rPr>
        <w:t>45.595%</w:t>
      </w:r>
      <w:r>
        <w:rPr>
          <w:rFonts w:ascii="Times New Roman" w:eastAsia="仿宋_GB2312"/>
          <w:sz w:val="30"/>
          <w:szCs w:val="30"/>
        </w:rPr>
        <w:t>。其中：</w:t>
      </w:r>
      <w:r>
        <w:rPr>
          <w:rFonts w:ascii="Times New Roman" w:eastAsia="仿宋_GB2312"/>
          <w:sz w:val="30"/>
          <w:szCs w:val="30"/>
        </w:rPr>
        <w:t> </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机关事业单位基本养老保险缴费支出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150,900.00</w:t>
      </w:r>
      <w:r>
        <w:rPr>
          <w:rFonts w:ascii="Times New Roman" w:eastAsia="仿宋_GB2312"/>
          <w:sz w:val="30"/>
          <w:szCs w:val="30"/>
        </w:rPr>
        <w:t>元，支出决算为</w:t>
      </w:r>
      <w:r>
        <w:rPr>
          <w:rFonts w:ascii="Times New Roman" w:eastAsia="仿宋_GB2312"/>
          <w:sz w:val="30"/>
          <w:szCs w:val="30"/>
        </w:rPr>
        <w:t>75,660.48</w:t>
      </w:r>
      <w:r>
        <w:rPr>
          <w:rFonts w:ascii="Times New Roman" w:eastAsia="仿宋_GB2312"/>
          <w:sz w:val="30"/>
          <w:szCs w:val="30"/>
        </w:rPr>
        <w:t>元，完成年初预算的</w:t>
      </w:r>
      <w:r>
        <w:rPr>
          <w:rFonts w:ascii="Times New Roman" w:eastAsia="仿宋_GB2312"/>
          <w:sz w:val="30"/>
          <w:szCs w:val="30"/>
        </w:rPr>
        <w:t>50.139%</w:t>
      </w:r>
      <w:r>
        <w:rPr>
          <w:rFonts w:ascii="Times New Roman" w:eastAsia="仿宋_GB2312"/>
          <w:sz w:val="30"/>
          <w:szCs w:val="30"/>
        </w:rPr>
        <w:t>，决算数小于年初预算数的主要原因是：机构改革，单位撤销。</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机关事业单位职业年金缴费支出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75,400</w:t>
      </w:r>
      <w:r>
        <w:rPr>
          <w:rFonts w:ascii="Times New Roman" w:eastAsia="仿宋_GB2312"/>
          <w:sz w:val="30"/>
          <w:szCs w:val="30"/>
        </w:rPr>
        <w:t>.00</w:t>
      </w:r>
      <w:r>
        <w:rPr>
          <w:rFonts w:ascii="Times New Roman" w:eastAsia="仿宋_GB2312"/>
          <w:sz w:val="30"/>
          <w:szCs w:val="30"/>
        </w:rPr>
        <w:t>元，支出决算为</w:t>
      </w:r>
      <w:r>
        <w:rPr>
          <w:rFonts w:ascii="Times New Roman" w:eastAsia="仿宋_GB2312"/>
          <w:sz w:val="30"/>
          <w:szCs w:val="30"/>
        </w:rPr>
        <w:t>37,830.24</w:t>
      </w:r>
      <w:r>
        <w:rPr>
          <w:rFonts w:ascii="Times New Roman" w:eastAsia="仿宋_GB2312"/>
          <w:sz w:val="30"/>
          <w:szCs w:val="30"/>
        </w:rPr>
        <w:t>元，完成年初预算的</w:t>
      </w:r>
      <w:r>
        <w:rPr>
          <w:rFonts w:ascii="Times New Roman" w:eastAsia="仿宋_GB2312"/>
          <w:sz w:val="30"/>
          <w:szCs w:val="30"/>
        </w:rPr>
        <w:t>50.173%</w:t>
      </w:r>
      <w:r>
        <w:rPr>
          <w:rFonts w:ascii="Times New Roman" w:eastAsia="仿宋_GB2312"/>
          <w:sz w:val="30"/>
          <w:szCs w:val="30"/>
        </w:rPr>
        <w:t>，决算数小于年初预算数的主要原因是：机构改革，单位撤销。</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事业单位医疗</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109,800.00</w:t>
      </w:r>
      <w:r>
        <w:rPr>
          <w:rFonts w:ascii="Times New Roman" w:eastAsia="仿宋_GB2312"/>
          <w:sz w:val="30"/>
          <w:szCs w:val="30"/>
        </w:rPr>
        <w:t>元，支出决算为</w:t>
      </w:r>
      <w:r>
        <w:rPr>
          <w:rFonts w:ascii="Times New Roman" w:eastAsia="仿宋_GB2312"/>
          <w:sz w:val="30"/>
          <w:szCs w:val="30"/>
        </w:rPr>
        <w:t>47,288.10</w:t>
      </w:r>
      <w:r>
        <w:rPr>
          <w:rFonts w:ascii="Times New Roman" w:eastAsia="仿宋_GB2312"/>
          <w:sz w:val="30"/>
          <w:szCs w:val="30"/>
        </w:rPr>
        <w:t>元，完成年初预算的</w:t>
      </w:r>
      <w:r>
        <w:rPr>
          <w:rFonts w:ascii="Times New Roman" w:eastAsia="仿宋_GB2312"/>
          <w:sz w:val="30"/>
          <w:szCs w:val="30"/>
        </w:rPr>
        <w:t>43.067%</w:t>
      </w:r>
      <w:r>
        <w:rPr>
          <w:rFonts w:ascii="Times New Roman" w:eastAsia="仿宋_GB2312"/>
          <w:sz w:val="30"/>
          <w:szCs w:val="30"/>
        </w:rPr>
        <w:t>，决算数小于年初预算数的主要原因是：机构改革，单位撤销。</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4.</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城乡社区规划与管理</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城乡社区规划与管理</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1,384,300.00</w:t>
      </w:r>
      <w:r>
        <w:rPr>
          <w:rFonts w:ascii="Times New Roman" w:eastAsia="仿宋_GB2312"/>
          <w:sz w:val="30"/>
          <w:szCs w:val="30"/>
        </w:rPr>
        <w:t>元，支出决算为</w:t>
      </w:r>
      <w:r>
        <w:rPr>
          <w:rFonts w:ascii="Times New Roman" w:eastAsia="仿宋_GB2312"/>
          <w:sz w:val="30"/>
          <w:szCs w:val="30"/>
        </w:rPr>
        <w:t>601,365.46</w:t>
      </w:r>
      <w:r>
        <w:rPr>
          <w:rFonts w:ascii="Times New Roman" w:eastAsia="仿宋_GB2312"/>
          <w:sz w:val="30"/>
          <w:szCs w:val="30"/>
        </w:rPr>
        <w:t>元，完成年初预算的</w:t>
      </w:r>
      <w:r>
        <w:rPr>
          <w:rFonts w:ascii="Times New Roman" w:eastAsia="仿宋_GB2312"/>
          <w:sz w:val="30"/>
          <w:szCs w:val="30"/>
        </w:rPr>
        <w:t>43.44</w:t>
      </w:r>
      <w:r>
        <w:rPr>
          <w:rFonts w:ascii="Times New Roman" w:eastAsia="仿宋_GB2312"/>
          <w:sz w:val="30"/>
          <w:szCs w:val="30"/>
        </w:rPr>
        <w:t>2%</w:t>
      </w:r>
      <w:r>
        <w:rPr>
          <w:rFonts w:ascii="Times New Roman" w:eastAsia="仿宋_GB2312"/>
          <w:sz w:val="30"/>
          <w:szCs w:val="30"/>
        </w:rPr>
        <w:t>，决算数小于年初预算数的主要原因是：机构改革，单位撤销。</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5.</w:t>
      </w:r>
      <w:r>
        <w:rPr>
          <w:rFonts w:ascii="Times New Roman" w:eastAsia="仿宋_GB2312"/>
          <w:sz w:val="30"/>
          <w:szCs w:val="30"/>
        </w:rPr>
        <w:t>​</w:t>
      </w:r>
      <w:r>
        <w:rPr>
          <w:rFonts w:ascii="Times New Roman" w:eastAsia="仿宋_GB2312"/>
          <w:sz w:val="30"/>
          <w:szCs w:val="30"/>
        </w:rPr>
        <w:t>住房保障支出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住房改革支出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住房公积金</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521,600.00</w:t>
      </w:r>
      <w:r>
        <w:rPr>
          <w:rFonts w:ascii="Times New Roman" w:eastAsia="仿宋_GB2312"/>
          <w:sz w:val="30"/>
          <w:szCs w:val="30"/>
        </w:rPr>
        <w:t>元，支出决算为</w:t>
      </w:r>
      <w:r>
        <w:rPr>
          <w:rFonts w:ascii="Times New Roman" w:eastAsia="仿宋_GB2312"/>
          <w:sz w:val="30"/>
          <w:szCs w:val="30"/>
        </w:rPr>
        <w:t>260,778.00</w:t>
      </w:r>
      <w:r>
        <w:rPr>
          <w:rFonts w:ascii="Times New Roman" w:eastAsia="仿宋_GB2312"/>
          <w:sz w:val="30"/>
          <w:szCs w:val="30"/>
        </w:rPr>
        <w:t>元，完成年初预算的</w:t>
      </w:r>
      <w:r>
        <w:rPr>
          <w:rFonts w:ascii="Times New Roman" w:eastAsia="仿宋_GB2312"/>
          <w:sz w:val="30"/>
          <w:szCs w:val="30"/>
        </w:rPr>
        <w:t>49.996%</w:t>
      </w:r>
      <w:r>
        <w:rPr>
          <w:rFonts w:ascii="Times New Roman" w:eastAsia="仿宋_GB2312"/>
          <w:sz w:val="30"/>
          <w:szCs w:val="30"/>
        </w:rPr>
        <w:t>，决算数小于年初预算数的主要原因是：机构改革，单位撤销。</w:t>
      </w:r>
    </w:p>
    <w:p w:rsidR="00060D30" w:rsidRDefault="0027759A" w:rsidP="006A1B16">
      <w:pPr>
        <w:widowControl/>
        <w:spacing w:line="360" w:lineRule="auto"/>
        <w:ind w:firstLineChars="200" w:firstLine="602"/>
        <w:jc w:val="left"/>
        <w:outlineLvl w:val="1"/>
        <w:rPr>
          <w:rFonts w:ascii="宋体" w:eastAsia="黑体"/>
          <w:sz w:val="30"/>
          <w:szCs w:val="30"/>
        </w:rPr>
      </w:pPr>
      <w:r>
        <w:rPr>
          <w:rFonts w:ascii="宋体" w:eastAsia="黑体"/>
          <w:b/>
          <w:sz w:val="30"/>
          <w:szCs w:val="30"/>
        </w:rPr>
        <w:t>六、一般公共预算财政拨款基本支出决算情况说明</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天津市东丽区渣土管理所</w:t>
      </w:r>
      <w:r>
        <w:rPr>
          <w:rFonts w:ascii="Times New Roman" w:eastAsia="仿宋_GB2312"/>
          <w:sz w:val="30"/>
          <w:szCs w:val="30"/>
        </w:rPr>
        <w:t>2024</w:t>
      </w:r>
      <w:r>
        <w:rPr>
          <w:rFonts w:ascii="Times New Roman" w:eastAsia="仿宋_GB2312"/>
          <w:sz w:val="30"/>
          <w:szCs w:val="30"/>
        </w:rPr>
        <w:t>年度部门决算一般公共预算财政拨款基本支出合计</w:t>
      </w:r>
      <w:r>
        <w:rPr>
          <w:rFonts w:ascii="Times New Roman" w:eastAsia="仿宋_GB2312"/>
          <w:sz w:val="30"/>
          <w:szCs w:val="30"/>
        </w:rPr>
        <w:t>1,022,922.28</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1,337,248.11</w:t>
      </w:r>
      <w:r>
        <w:rPr>
          <w:rFonts w:ascii="Times New Roman" w:eastAsia="仿宋_GB2312"/>
          <w:sz w:val="30"/>
          <w:szCs w:val="30"/>
        </w:rPr>
        <w:t>元，主要原因是机构改革，单位撤销。其中：</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人</w:t>
      </w:r>
      <w:r>
        <w:rPr>
          <w:rFonts w:ascii="Times New Roman" w:eastAsia="仿宋_GB2312"/>
          <w:sz w:val="30"/>
          <w:szCs w:val="30"/>
        </w:rPr>
        <w:t>员经费</w:t>
      </w:r>
      <w:r>
        <w:rPr>
          <w:rFonts w:ascii="Times New Roman" w:eastAsia="仿宋_GB2312"/>
          <w:sz w:val="30"/>
          <w:szCs w:val="30"/>
        </w:rPr>
        <w:t>1,001,522.28</w:t>
      </w:r>
      <w:r>
        <w:rPr>
          <w:rFonts w:ascii="Times New Roman" w:eastAsia="仿宋_GB2312"/>
          <w:sz w:val="30"/>
          <w:szCs w:val="30"/>
        </w:rPr>
        <w:t>元，主要包括基本工资、津贴补贴、绩效工资、机关事业单位基本养老保险缴费、职业年金缴费、职工基本医疗保险缴费、其他社会保障缴费、住房公积金、退休费和其他对个人和家庭的补助。</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公用经费</w:t>
      </w:r>
      <w:r>
        <w:rPr>
          <w:rFonts w:ascii="Times New Roman" w:eastAsia="仿宋_GB2312"/>
          <w:sz w:val="30"/>
          <w:szCs w:val="30"/>
        </w:rPr>
        <w:t>21,400.00</w:t>
      </w:r>
      <w:r>
        <w:rPr>
          <w:rFonts w:ascii="Times New Roman" w:eastAsia="仿宋_GB2312"/>
          <w:sz w:val="30"/>
          <w:szCs w:val="30"/>
        </w:rPr>
        <w:t>元，主要包括办公费和培训费。</w:t>
      </w:r>
    </w:p>
    <w:p w:rsidR="00060D30" w:rsidRDefault="0027759A" w:rsidP="006A1B16">
      <w:pPr>
        <w:widowControl/>
        <w:spacing w:line="360" w:lineRule="auto"/>
        <w:ind w:firstLineChars="200" w:firstLine="602"/>
        <w:jc w:val="left"/>
        <w:outlineLvl w:val="1"/>
        <w:rPr>
          <w:rFonts w:ascii="宋体" w:eastAsia="黑体"/>
          <w:sz w:val="30"/>
          <w:szCs w:val="30"/>
        </w:rPr>
      </w:pPr>
      <w:r>
        <w:rPr>
          <w:rFonts w:ascii="宋体" w:eastAsia="黑体"/>
          <w:b/>
          <w:sz w:val="30"/>
          <w:szCs w:val="30"/>
        </w:rPr>
        <w:t>七、政府性基金预算财政拨款收支决算情况说明</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天津市东丽区渣土管理所</w:t>
      </w:r>
      <w:r>
        <w:rPr>
          <w:rFonts w:ascii="Times New Roman" w:eastAsia="仿宋_GB2312"/>
          <w:sz w:val="30"/>
          <w:szCs w:val="30"/>
        </w:rPr>
        <w:t>2024</w:t>
      </w:r>
      <w:r>
        <w:rPr>
          <w:rFonts w:ascii="Times New Roman" w:eastAsia="仿宋_GB2312"/>
          <w:sz w:val="30"/>
          <w:szCs w:val="30"/>
        </w:rPr>
        <w:t>年度无政府性基金预算财政拨款收入、支出和结转结余。</w:t>
      </w:r>
    </w:p>
    <w:p w:rsidR="00060D30" w:rsidRDefault="0027759A" w:rsidP="006A1B16">
      <w:pPr>
        <w:widowControl/>
        <w:spacing w:line="360" w:lineRule="auto"/>
        <w:ind w:firstLineChars="200" w:firstLine="602"/>
        <w:jc w:val="left"/>
        <w:outlineLvl w:val="1"/>
        <w:rPr>
          <w:rFonts w:ascii="宋体" w:eastAsia="黑体"/>
          <w:sz w:val="30"/>
          <w:szCs w:val="30"/>
        </w:rPr>
      </w:pPr>
      <w:r>
        <w:rPr>
          <w:rFonts w:ascii="宋体" w:eastAsia="黑体"/>
          <w:b/>
          <w:sz w:val="30"/>
          <w:szCs w:val="30"/>
        </w:rPr>
        <w:lastRenderedPageBreak/>
        <w:t>八、国有资本经营预算财政拨款收支决算情况说明</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天津市东丽区渣土管理所</w:t>
      </w:r>
      <w:r>
        <w:rPr>
          <w:rFonts w:ascii="Times New Roman" w:eastAsia="仿宋_GB2312"/>
          <w:sz w:val="30"/>
          <w:szCs w:val="30"/>
        </w:rPr>
        <w:t>2024</w:t>
      </w:r>
      <w:r>
        <w:rPr>
          <w:rFonts w:ascii="Times New Roman" w:eastAsia="仿宋_GB2312"/>
          <w:sz w:val="30"/>
          <w:szCs w:val="30"/>
        </w:rPr>
        <w:t>年度无国有资本经营预算财政拨款收入、支出和结转结余。</w:t>
      </w:r>
    </w:p>
    <w:p w:rsidR="00060D30" w:rsidRDefault="0027759A" w:rsidP="006A1B16">
      <w:pPr>
        <w:widowControl/>
        <w:spacing w:line="360" w:lineRule="auto"/>
        <w:ind w:firstLineChars="200" w:firstLine="602"/>
        <w:jc w:val="left"/>
        <w:outlineLvl w:val="1"/>
        <w:rPr>
          <w:rFonts w:ascii="宋体" w:eastAsia="黑体"/>
          <w:sz w:val="30"/>
          <w:szCs w:val="30"/>
        </w:rPr>
      </w:pPr>
      <w:r>
        <w:rPr>
          <w:rFonts w:ascii="宋体" w:eastAsia="黑体"/>
          <w:b/>
          <w:sz w:val="30"/>
          <w:szCs w:val="30"/>
        </w:rPr>
        <w:t>九、财政拨款</w:t>
      </w:r>
      <w:r>
        <w:rPr>
          <w:rFonts w:ascii="宋体" w:eastAsia="黑体"/>
          <w:b/>
          <w:sz w:val="30"/>
          <w:szCs w:val="30"/>
        </w:rPr>
        <w:t>“</w:t>
      </w:r>
      <w:r>
        <w:rPr>
          <w:rFonts w:ascii="宋体" w:eastAsia="黑体"/>
          <w:b/>
          <w:sz w:val="30"/>
          <w:szCs w:val="30"/>
        </w:rPr>
        <w:t>三公</w:t>
      </w:r>
      <w:r>
        <w:rPr>
          <w:rFonts w:ascii="宋体" w:eastAsia="黑体"/>
          <w:b/>
          <w:sz w:val="30"/>
          <w:szCs w:val="30"/>
        </w:rPr>
        <w:t>”</w:t>
      </w:r>
      <w:r>
        <w:rPr>
          <w:rFonts w:ascii="宋体" w:eastAsia="黑体"/>
          <w:b/>
          <w:sz w:val="30"/>
          <w:szCs w:val="30"/>
        </w:rPr>
        <w:t>经费支出决算情况说明</w:t>
      </w:r>
    </w:p>
    <w:p w:rsidR="00060D30" w:rsidRDefault="0027759A" w:rsidP="006A1B16">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年财政拨款</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w:t>
      </w:r>
      <w:r>
        <w:rPr>
          <w:rFonts w:ascii="Times New Roman" w:eastAsia="仿宋_GB2312"/>
          <w:sz w:val="30"/>
          <w:szCs w:val="30"/>
        </w:rPr>
        <w:t>2024</w:t>
      </w:r>
      <w:r>
        <w:rPr>
          <w:rFonts w:ascii="Times New Roman" w:eastAsia="仿宋_GB2312"/>
          <w:sz w:val="30"/>
          <w:szCs w:val="30"/>
        </w:rPr>
        <w:t>年预算相比持平；支出决算较上年持平；决算数与预算数持平的主要原因是本年未用财政拨款列支</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经费；决算数较上年持平的主要原因是本年未用财政拨款列支</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w:t>
      </w:r>
    </w:p>
    <w:p w:rsidR="00060D30" w:rsidRDefault="0027759A" w:rsidP="006A1B16">
      <w:pPr>
        <w:widowControl/>
        <w:spacing w:line="360" w:lineRule="auto"/>
        <w:ind w:firstLineChars="200" w:firstLine="602"/>
        <w:jc w:val="left"/>
        <w:rPr>
          <w:rFonts w:ascii="楷体" w:eastAsia="楷体"/>
          <w:sz w:val="30"/>
          <w:szCs w:val="30"/>
        </w:rPr>
      </w:pPr>
      <w:r>
        <w:rPr>
          <w:rFonts w:ascii="楷体" w:eastAsia="楷体"/>
          <w:b/>
          <w:sz w:val="30"/>
          <w:szCs w:val="30"/>
        </w:rPr>
        <w:t>（二）具体情况</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因公出国（境）费预算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元，与预算相比持平；支出决算较上年持平；决算数与预算数持平的主要原因是本年未用财政拨款列支因公出国（境）费；决算数较上年持平的主要原因是本年未用</w:t>
      </w:r>
      <w:r>
        <w:rPr>
          <w:rFonts w:ascii="Times New Roman" w:eastAsia="仿宋_GB2312"/>
          <w:sz w:val="30"/>
          <w:szCs w:val="30"/>
        </w:rPr>
        <w:t>财政拨款列支因公出国（境）费。</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年本单位组织的出国团组</w:t>
      </w:r>
      <w:r>
        <w:rPr>
          <w:rFonts w:ascii="Times New Roman" w:eastAsia="仿宋_GB2312"/>
          <w:sz w:val="30"/>
          <w:szCs w:val="30"/>
        </w:rPr>
        <w:t>0</w:t>
      </w:r>
      <w:r>
        <w:rPr>
          <w:rFonts w:ascii="Times New Roman" w:eastAsia="仿宋_GB2312"/>
          <w:sz w:val="30"/>
          <w:szCs w:val="30"/>
        </w:rPr>
        <w:t>个，出国</w:t>
      </w:r>
      <w:r>
        <w:rPr>
          <w:rFonts w:ascii="Times New Roman" w:eastAsia="仿宋_GB2312"/>
          <w:sz w:val="30"/>
          <w:szCs w:val="30"/>
        </w:rPr>
        <w:t>0</w:t>
      </w:r>
      <w:r>
        <w:rPr>
          <w:rFonts w:ascii="Times New Roman" w:eastAsia="仿宋_GB2312"/>
          <w:sz w:val="30"/>
          <w:szCs w:val="30"/>
        </w:rPr>
        <w:t>人次。</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公务用车购置及运行维护费预算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元，与预算相比持平；支出决算较上年持平；决算数与预算数持平的主要原因是本年未用财政拨款列支公务用车购置及运行维护费；决算数较上</w:t>
      </w:r>
      <w:r>
        <w:rPr>
          <w:rFonts w:ascii="Times New Roman" w:eastAsia="仿宋_GB2312"/>
          <w:sz w:val="30"/>
          <w:szCs w:val="30"/>
        </w:rPr>
        <w:lastRenderedPageBreak/>
        <w:t>年持平的主要原因是本年未用财政拨款列支公务用车购置及运行维护费。其中：</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公务用车运行维护费预算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元，与预算相比持平；支出决算较上年持平；决算数与预算数持平的主要原因是本年未用财政拨款列支公务用车运行维护费；</w:t>
      </w:r>
      <w:r>
        <w:rPr>
          <w:rFonts w:ascii="Times New Roman" w:eastAsia="仿宋_GB2312"/>
          <w:sz w:val="30"/>
          <w:szCs w:val="30"/>
        </w:rPr>
        <w:t>决算数较上年持平的主要原因是本年未用财政拨款列支公务用车运行维护费。</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日，使用财政拨款开支运行维护费的公务用车保有量为</w:t>
      </w:r>
      <w:r>
        <w:rPr>
          <w:rFonts w:ascii="Times New Roman" w:eastAsia="仿宋_GB2312"/>
          <w:sz w:val="30"/>
          <w:szCs w:val="30"/>
        </w:rPr>
        <w:t>0</w:t>
      </w:r>
      <w:r>
        <w:rPr>
          <w:rFonts w:ascii="Times New Roman" w:eastAsia="仿宋_GB2312"/>
          <w:sz w:val="30"/>
          <w:szCs w:val="30"/>
        </w:rPr>
        <w:t>辆。</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公务用车购置费预算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元，与预算相比持平；支出决算较上年持平；决算数与预算数持平的主要原因是本年未用财政拨款列支公务用车购置费；决算数较上年持平的主要原因是本年未用财政拨款列支公务用车购置费。</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年购置公务用车</w:t>
      </w:r>
      <w:r>
        <w:rPr>
          <w:rFonts w:ascii="Times New Roman" w:eastAsia="仿宋_GB2312"/>
          <w:sz w:val="30"/>
          <w:szCs w:val="30"/>
        </w:rPr>
        <w:t>0</w:t>
      </w:r>
      <w:r>
        <w:rPr>
          <w:rFonts w:ascii="Times New Roman" w:eastAsia="仿宋_GB2312"/>
          <w:sz w:val="30"/>
          <w:szCs w:val="30"/>
        </w:rPr>
        <w:t>辆。</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公务接待费预算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w:t>
      </w:r>
      <w:r>
        <w:rPr>
          <w:rFonts w:ascii="Times New Roman" w:eastAsia="仿宋_GB2312"/>
          <w:sz w:val="30"/>
          <w:szCs w:val="30"/>
        </w:rPr>
        <w:t>是本年未用财政拨款列支公务接待费；决算数较上年持平的主要原因是本年未用财政拨款列支公务接待费。</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年本单位国内公务接待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人次；其中，外事接待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w:t>
      </w:r>
    </w:p>
    <w:p w:rsidR="00060D30" w:rsidRDefault="0027759A" w:rsidP="006A1B16">
      <w:pPr>
        <w:widowControl/>
        <w:spacing w:line="360" w:lineRule="auto"/>
        <w:ind w:firstLineChars="200" w:firstLine="602"/>
        <w:jc w:val="left"/>
        <w:outlineLvl w:val="1"/>
        <w:rPr>
          <w:rFonts w:ascii="宋体" w:eastAsia="黑体"/>
          <w:sz w:val="30"/>
          <w:szCs w:val="30"/>
        </w:rPr>
      </w:pPr>
      <w:r>
        <w:rPr>
          <w:rFonts w:ascii="宋体" w:eastAsia="黑体"/>
          <w:b/>
          <w:sz w:val="30"/>
          <w:szCs w:val="30"/>
        </w:rPr>
        <w:lastRenderedPageBreak/>
        <w:t>十、机关运行经费支出情况说明</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天津市东丽区渣土管理所</w:t>
      </w:r>
      <w:r>
        <w:rPr>
          <w:rFonts w:ascii="Times New Roman" w:eastAsia="仿宋_GB2312"/>
          <w:sz w:val="30"/>
          <w:szCs w:val="30"/>
        </w:rPr>
        <w:t>2024</w:t>
      </w:r>
      <w:r>
        <w:rPr>
          <w:rFonts w:ascii="Times New Roman" w:eastAsia="仿宋_GB2312"/>
          <w:sz w:val="30"/>
          <w:szCs w:val="30"/>
        </w:rPr>
        <w:t>年度无机关运行经费。</w:t>
      </w:r>
    </w:p>
    <w:p w:rsidR="00060D30" w:rsidRDefault="0027759A" w:rsidP="006A1B16">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十一、政府采购支出情况说明</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天津市东丽区渣土管理所</w:t>
      </w:r>
      <w:r>
        <w:rPr>
          <w:rFonts w:ascii="Times New Roman" w:eastAsia="仿宋_GB2312"/>
          <w:sz w:val="30"/>
          <w:szCs w:val="30"/>
        </w:rPr>
        <w:t>2024</w:t>
      </w:r>
      <w:r>
        <w:rPr>
          <w:rFonts w:ascii="Times New Roman" w:eastAsia="仿宋_GB2312"/>
          <w:sz w:val="30"/>
          <w:szCs w:val="30"/>
        </w:rPr>
        <w:t>年度无政府采购支出。</w:t>
      </w:r>
    </w:p>
    <w:p w:rsidR="00060D30" w:rsidRDefault="0027759A" w:rsidP="006A1B16">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十二、国有资产占有使用情况说明</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天津市东丽区渣土管理所</w:t>
      </w:r>
      <w:r>
        <w:rPr>
          <w:rFonts w:ascii="Times New Roman" w:eastAsia="仿宋_GB2312"/>
          <w:sz w:val="30"/>
          <w:szCs w:val="30"/>
        </w:rPr>
        <w:t>2024</w:t>
      </w:r>
      <w:r>
        <w:rPr>
          <w:rFonts w:ascii="Times New Roman" w:eastAsia="仿宋_GB2312"/>
          <w:sz w:val="30"/>
          <w:szCs w:val="30"/>
        </w:rPr>
        <w:t>年度无国有资产占有使用情况。</w:t>
      </w:r>
    </w:p>
    <w:p w:rsidR="00060D30" w:rsidRDefault="0027759A" w:rsidP="006A1B16">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十三、预算绩效情况说明</w:t>
      </w:r>
    </w:p>
    <w:p w:rsidR="00060D30" w:rsidRDefault="0027759A" w:rsidP="006A1B16">
      <w:pPr>
        <w:widowControl/>
        <w:ind w:firstLineChars="200" w:firstLine="600"/>
        <w:jc w:val="left"/>
        <w:rPr>
          <w:rFonts w:ascii="Times New Roman" w:eastAsia="仿宋_GB2312"/>
          <w:sz w:val="30"/>
          <w:szCs w:val="30"/>
        </w:rPr>
      </w:pPr>
      <w:r>
        <w:rPr>
          <w:rFonts w:ascii="Times New Roman" w:eastAsia="仿宋_GB2312"/>
          <w:sz w:val="30"/>
          <w:szCs w:val="30"/>
        </w:rPr>
        <w:t>天津市东丽区渣土管理所</w:t>
      </w:r>
      <w:r>
        <w:rPr>
          <w:rFonts w:ascii="Times New Roman" w:eastAsia="仿宋_GB2312"/>
          <w:sz w:val="30"/>
          <w:szCs w:val="30"/>
        </w:rPr>
        <w:t>2024</w:t>
      </w:r>
      <w:r>
        <w:rPr>
          <w:rFonts w:ascii="Times New Roman" w:eastAsia="仿宋_GB2312"/>
          <w:sz w:val="30"/>
          <w:szCs w:val="30"/>
        </w:rPr>
        <w:t>年度没有项目支出，无需开展绩效自</w:t>
      </w:r>
      <w:r>
        <w:rPr>
          <w:rFonts w:ascii="Times New Roman" w:eastAsia="仿宋_GB2312"/>
          <w:sz w:val="30"/>
          <w:szCs w:val="30"/>
        </w:rPr>
        <w:t>评。</w:t>
      </w:r>
    </w:p>
    <w:p w:rsidR="00060D30" w:rsidRDefault="0027759A" w:rsidP="006A1B16">
      <w:pPr>
        <w:widowControl/>
        <w:spacing w:line="360" w:lineRule="auto"/>
        <w:ind w:firstLineChars="200" w:firstLine="602"/>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rsidR="00060D30" w:rsidRDefault="0027759A" w:rsidP="006A1B16">
      <w:pPr>
        <w:widowControl/>
        <w:ind w:firstLineChars="200" w:firstLine="600"/>
        <w:jc w:val="left"/>
        <w:rPr>
          <w:rFonts w:ascii="Times New Roman" w:eastAsia="仿宋_GB2312"/>
          <w:sz w:val="30"/>
          <w:szCs w:val="30"/>
        </w:rPr>
      </w:pPr>
      <w:r>
        <w:rPr>
          <w:rFonts w:ascii="Times New Roman" w:eastAsia="仿宋_GB2312"/>
          <w:sz w:val="30"/>
          <w:szCs w:val="30"/>
        </w:rPr>
        <w:t>天津市东丽区渣土管理所不属于乡、镇、街级单位，不涉及公开</w:t>
      </w:r>
      <w:r>
        <w:rPr>
          <w:rFonts w:ascii="Times New Roman" w:eastAsia="仿宋_GB2312"/>
          <w:sz w:val="30"/>
          <w:szCs w:val="30"/>
        </w:rPr>
        <w:t>2024</w:t>
      </w:r>
      <w:r>
        <w:rPr>
          <w:rFonts w:ascii="Times New Roman" w:eastAsia="仿宋_GB2312"/>
          <w:sz w:val="30"/>
          <w:szCs w:val="30"/>
        </w:rPr>
        <w:t>年度教育、医疗卫生、社会保障和就业、住房保障、涉农补贴等民生支出情况。</w:t>
      </w:r>
    </w:p>
    <w:p w:rsidR="006A1B16" w:rsidRDefault="006A1B16">
      <w:pPr>
        <w:widowControl/>
        <w:spacing w:line="360" w:lineRule="auto"/>
        <w:jc w:val="center"/>
        <w:outlineLvl w:val="0"/>
        <w:rPr>
          <w:rFonts w:ascii="黑体" w:eastAsia="黑体" w:hint="eastAsia"/>
          <w:sz w:val="44"/>
          <w:szCs w:val="44"/>
        </w:rPr>
      </w:pPr>
    </w:p>
    <w:p w:rsidR="006A1B16" w:rsidRDefault="006A1B16">
      <w:pPr>
        <w:widowControl/>
        <w:spacing w:line="360" w:lineRule="auto"/>
        <w:jc w:val="center"/>
        <w:outlineLvl w:val="0"/>
        <w:rPr>
          <w:rFonts w:ascii="黑体" w:eastAsia="黑体" w:hint="eastAsia"/>
          <w:sz w:val="44"/>
          <w:szCs w:val="44"/>
        </w:rPr>
      </w:pPr>
    </w:p>
    <w:p w:rsidR="006A1B16" w:rsidRDefault="006A1B16">
      <w:pPr>
        <w:widowControl/>
        <w:spacing w:line="360" w:lineRule="auto"/>
        <w:jc w:val="center"/>
        <w:outlineLvl w:val="0"/>
        <w:rPr>
          <w:rFonts w:ascii="黑体" w:eastAsia="黑体" w:hint="eastAsia"/>
          <w:sz w:val="44"/>
          <w:szCs w:val="44"/>
        </w:rPr>
      </w:pPr>
    </w:p>
    <w:p w:rsidR="006A1B16" w:rsidRDefault="006A1B16">
      <w:pPr>
        <w:widowControl/>
        <w:spacing w:line="360" w:lineRule="auto"/>
        <w:jc w:val="center"/>
        <w:outlineLvl w:val="0"/>
        <w:rPr>
          <w:rFonts w:ascii="黑体" w:eastAsia="黑体" w:hint="eastAsia"/>
          <w:sz w:val="44"/>
          <w:szCs w:val="44"/>
        </w:rPr>
      </w:pPr>
    </w:p>
    <w:p w:rsidR="006A1B16" w:rsidRDefault="006A1B16">
      <w:pPr>
        <w:widowControl/>
        <w:spacing w:line="360" w:lineRule="auto"/>
        <w:jc w:val="center"/>
        <w:outlineLvl w:val="0"/>
        <w:rPr>
          <w:rFonts w:ascii="黑体" w:eastAsia="黑体" w:hint="eastAsia"/>
          <w:sz w:val="44"/>
          <w:szCs w:val="44"/>
        </w:rPr>
      </w:pPr>
    </w:p>
    <w:p w:rsidR="00060D30" w:rsidRDefault="0027759A">
      <w:pPr>
        <w:widowControl/>
        <w:spacing w:line="360" w:lineRule="auto"/>
        <w:jc w:val="center"/>
        <w:outlineLvl w:val="0"/>
        <w:rPr>
          <w:rFonts w:ascii="黑体" w:eastAsia="黑体"/>
          <w:sz w:val="44"/>
          <w:szCs w:val="44"/>
        </w:rPr>
      </w:pPr>
      <w:r>
        <w:rPr>
          <w:rFonts w:ascii="黑体" w:eastAsia="黑体"/>
          <w:sz w:val="44"/>
          <w:szCs w:val="44"/>
        </w:rPr>
        <w:lastRenderedPageBreak/>
        <w:t>第四部分</w:t>
      </w:r>
      <w:r>
        <w:rPr>
          <w:rFonts w:ascii="黑体" w:eastAsia="黑体"/>
          <w:sz w:val="44"/>
          <w:szCs w:val="44"/>
        </w:rPr>
        <w:t xml:space="preserve"> </w:t>
      </w:r>
      <w:r>
        <w:rPr>
          <w:rFonts w:ascii="黑体" w:eastAsia="黑体"/>
          <w:sz w:val="44"/>
          <w:szCs w:val="44"/>
        </w:rPr>
        <w:t>名词解释</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060D30" w:rsidRDefault="0027759A" w:rsidP="006A1B1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w:t>
      </w:r>
      <w:r>
        <w:rPr>
          <w:rFonts w:ascii="Times New Roman" w:eastAsia="仿宋_GB2312"/>
          <w:sz w:val="30"/>
          <w:szCs w:val="30"/>
        </w:rPr>
        <w:t>映单位公务用车车辆购置支出（含车辆购置税）及燃料费、维修费、过桥过路费、保险费、安全奖励费用等支出；公务接待费反映单位按规定开支的各类公务接待（含外宾接待）支出。</w:t>
      </w:r>
    </w:p>
    <w:p w:rsidR="00060D30" w:rsidRDefault="00060D30">
      <w:pPr>
        <w:rPr>
          <w:rFonts w:asciiTheme="minorEastAsia" w:hAnsiTheme="minorEastAsia" w:cstheme="minorEastAsia"/>
          <w:color w:val="333333"/>
          <w:sz w:val="22"/>
          <w:szCs w:val="22"/>
          <w:shd w:val="clear" w:color="auto" w:fill="FFFFFF"/>
        </w:rPr>
      </w:pPr>
    </w:p>
    <w:sectPr w:rsidR="00060D30" w:rsidSect="00060D30">
      <w:pgSz w:w="11906" w:h="16838"/>
      <w:pgMar w:top="2098" w:right="1417" w:bottom="1871" w:left="1417" w:header="851" w:footer="992" w:gutter="0"/>
      <w:cols w:space="0"/>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59A" w:rsidRDefault="0027759A" w:rsidP="00060D30">
      <w:r>
        <w:separator/>
      </w:r>
    </w:p>
  </w:endnote>
  <w:endnote w:type="continuationSeparator" w:id="1">
    <w:p w:rsidR="0027759A" w:rsidRDefault="0027759A" w:rsidP="00060D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69B03AE3-332F-4389-AB9A-A69CE30EB367}"/>
    <w:embedBold r:id="rId2" w:subsetted="1" w:fontKey="{19F4FF5C-4592-447A-BC04-B822E197CA4C}"/>
  </w:font>
  <w:font w:name="仿宋">
    <w:charset w:val="86"/>
    <w:family w:val="modern"/>
    <w:pitch w:val="default"/>
    <w:sig w:usb0="800002BF" w:usb1="38CF7CFA" w:usb2="00000016" w:usb3="00000000" w:csb0="00040001" w:csb1="00000000"/>
    <w:embedBold r:id="rId3" w:subsetted="1" w:fontKey="{7A09FA57-00DD-4885-8595-0EFD38601CB8}"/>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z_S_BiaoSong_J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390752E7-F3AF-43E2-9114-A226C0276680}"/>
    <w:embedBold r:id="rId5" w:subsetted="1" w:fontKey="{4850ADA3-2D00-44D0-9264-DE2E5609E520}"/>
  </w:font>
  <w:font w:name="仿宋_GB2312">
    <w:panose1 w:val="02010609030101010101"/>
    <w:charset w:val="86"/>
    <w:family w:val="modern"/>
    <w:pitch w:val="fixed"/>
    <w:sig w:usb0="00000001" w:usb1="080E0000" w:usb2="00000010" w:usb3="00000000" w:csb0="00040000" w:csb1="00000000"/>
    <w:embedRegular r:id="rId6" w:subsetted="1" w:fontKey="{C6EF1B89-D80B-4E6C-9AF7-F49F1A9161A8}"/>
  </w:font>
  <w:font w:name="宋体-简">
    <w:altName w:val="宋体"/>
    <w:charset w:val="86"/>
    <w:family w:val="auto"/>
    <w:pitch w:val="default"/>
    <w:sig w:usb0="00000000" w:usb1="00000000" w:usb2="00000000" w:usb3="00000000" w:csb0="00040000" w:csb1="00000000"/>
    <w:embedRegular r:id="rId7" w:subsetted="1" w:fontKey="{D0A0A2ED-E470-40A5-9872-B754EB9E72FD}"/>
  </w:font>
  <w:font w:name="楷体">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D30" w:rsidRDefault="00060D30">
    <w:pPr>
      <w:pStyle w:val="a5"/>
      <w:jc w:val="center"/>
    </w:pPr>
  </w:p>
  <w:p w:rsidR="00060D30" w:rsidRDefault="00060D3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D30" w:rsidRDefault="00060D30">
    <w:pPr>
      <w:jc w:val="center"/>
    </w:pPr>
    <w:r>
      <w:fldChar w:fldCharType="begin"/>
    </w:r>
    <w:r w:rsidR="0027759A">
      <w:instrText>PAGE</w:instrText>
    </w:r>
    <w:r>
      <w:fldChar w:fldCharType="separate"/>
    </w:r>
    <w:r w:rsidR="006A1B16">
      <w:rPr>
        <w:noProof/>
      </w:rPr>
      <w:t>1</w:t>
    </w:r>
    <w:r>
      <w:fldChar w:fldCharType="end"/>
    </w:r>
  </w:p>
  <w:p w:rsidR="00000000" w:rsidRDefault="0027759A"/>
  <w:p w:rsidR="00060D30" w:rsidRDefault="00060D3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D30" w:rsidRDefault="00060D30">
    <w:pPr>
      <w:jc w:val="center"/>
    </w:pPr>
    <w:r>
      <w:fldChar w:fldCharType="begin"/>
    </w:r>
    <w:r w:rsidR="0027759A">
      <w:instrText>PAGE</w:instrText>
    </w:r>
    <w:r>
      <w:fldChar w:fldCharType="separate"/>
    </w:r>
    <w:r w:rsidR="006A1B16">
      <w:rPr>
        <w:noProof/>
      </w:rPr>
      <w:t>28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59A" w:rsidRDefault="0027759A" w:rsidP="00060D30">
      <w:r>
        <w:separator/>
      </w:r>
    </w:p>
  </w:footnote>
  <w:footnote w:type="continuationSeparator" w:id="1">
    <w:p w:rsidR="0027759A" w:rsidRDefault="0027759A" w:rsidP="00060D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D30" w:rsidRDefault="00060D3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F1D044"/>
    <w:multiLevelType w:val="singleLevel"/>
    <w:tmpl w:val="EBF1D044"/>
    <w:lvl w:ilvl="0">
      <w:start w:val="6"/>
      <w:numFmt w:val="chineseCounting"/>
      <w:suff w:val="nothing"/>
      <w:lvlText w:val="%1、"/>
      <w:lvlJc w:val="left"/>
      <w:rPr>
        <w:rFonts w:hint="eastAsia"/>
      </w:rPr>
    </w:lvl>
  </w:abstractNum>
  <w:abstractNum w:abstractNumId="1">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defaultTabStop w:val="420"/>
  <w:drawingGridVerticalSpacing w:val="165"/>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jb3VudCI6NjksImhkaWQiOiJiMzk2N2EzZjUyYWViODRjZjJhMDZjM2YyYjk4MTExMiIsInVzZXJDb3VudCI6MX0="/>
  </w:docVars>
  <w:rsids>
    <w:rsidRoot w:val="00060D30"/>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 w:val="00060D30"/>
    <w:rsid w:val="00086151"/>
    <w:rsid w:val="00236F8C"/>
    <w:rsid w:val="0027759A"/>
    <w:rsid w:val="006A1B16"/>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D30"/>
    <w:pPr>
      <w:widowControl w:val="0"/>
      <w:jc w:val="both"/>
    </w:pPr>
    <w:rPr>
      <w:rFonts w:asciiTheme="minorHAnsi" w:eastAsiaTheme="minorEastAsia" w:hAnsiTheme="minorHAnsi" w:cs="宋体"/>
      <w:sz w:val="24"/>
      <w:szCs w:val="24"/>
    </w:rPr>
  </w:style>
  <w:style w:type="paragraph" w:styleId="1">
    <w:name w:val="heading 1"/>
    <w:basedOn w:val="a"/>
    <w:next w:val="a"/>
    <w:qFormat/>
    <w:rsid w:val="00060D30"/>
    <w:pPr>
      <w:keepNext/>
      <w:keepLines/>
      <w:numPr>
        <w:numId w:val="1"/>
      </w:numPr>
      <w:adjustRightInd w:val="0"/>
      <w:snapToGrid w:val="0"/>
      <w:spacing w:before="340" w:afterLines="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Char"/>
    <w:uiPriority w:val="9"/>
    <w:semiHidden/>
    <w:unhideWhenUsed/>
    <w:qFormat/>
    <w:rsid w:val="00060D30"/>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rsid w:val="00060D30"/>
    <w:pPr>
      <w:keepNext/>
      <w:keepLines/>
      <w:numPr>
        <w:ilvl w:val="2"/>
        <w:numId w:val="1"/>
      </w:numPr>
      <w:spacing w:beforeLines="50" w:afterLines="50" w:line="416" w:lineRule="auto"/>
      <w:outlineLvl w:val="2"/>
    </w:pPr>
    <w:rPr>
      <w:rFonts w:ascii="宋体" w:eastAsia="宋体" w:hAnsi="宋体"/>
      <w:b/>
      <w:bCs/>
      <w:sz w:val="32"/>
    </w:rPr>
  </w:style>
  <w:style w:type="paragraph" w:styleId="4">
    <w:name w:val="heading 4"/>
    <w:basedOn w:val="a"/>
    <w:next w:val="a"/>
    <w:uiPriority w:val="9"/>
    <w:semiHidden/>
    <w:unhideWhenUsed/>
    <w:qFormat/>
    <w:rsid w:val="00060D30"/>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060D30"/>
    <w:pPr>
      <w:jc w:val="left"/>
    </w:pPr>
  </w:style>
  <w:style w:type="paragraph" w:styleId="a4">
    <w:name w:val="Balloon Text"/>
    <w:basedOn w:val="a"/>
    <w:link w:val="Char"/>
    <w:uiPriority w:val="99"/>
    <w:unhideWhenUsed/>
    <w:qFormat/>
    <w:rsid w:val="00060D30"/>
    <w:rPr>
      <w:rFonts w:cstheme="minorBidi"/>
      <w:kern w:val="2"/>
      <w:sz w:val="18"/>
      <w:szCs w:val="18"/>
    </w:rPr>
  </w:style>
  <w:style w:type="paragraph" w:styleId="a5">
    <w:name w:val="footer"/>
    <w:basedOn w:val="a"/>
    <w:link w:val="Char0"/>
    <w:uiPriority w:val="99"/>
    <w:qFormat/>
    <w:rsid w:val="00060D30"/>
    <w:pPr>
      <w:tabs>
        <w:tab w:val="center" w:pos="4153"/>
        <w:tab w:val="right" w:pos="8306"/>
      </w:tabs>
      <w:snapToGrid w:val="0"/>
      <w:jc w:val="left"/>
    </w:pPr>
    <w:rPr>
      <w:rFonts w:cstheme="minorBidi"/>
      <w:kern w:val="2"/>
      <w:sz w:val="18"/>
      <w:szCs w:val="18"/>
    </w:rPr>
  </w:style>
  <w:style w:type="paragraph" w:styleId="a6">
    <w:name w:val="header"/>
    <w:basedOn w:val="a"/>
    <w:link w:val="Char1"/>
    <w:qFormat/>
    <w:rsid w:val="00060D30"/>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7">
    <w:name w:val="Normal (Web)"/>
    <w:basedOn w:val="a"/>
    <w:uiPriority w:val="99"/>
    <w:semiHidden/>
    <w:unhideWhenUsed/>
    <w:qFormat/>
    <w:rsid w:val="00060D30"/>
    <w:pPr>
      <w:spacing w:beforeAutospacing="1" w:afterAutospacing="1"/>
      <w:jc w:val="left"/>
    </w:pPr>
    <w:rPr>
      <w:rFonts w:cs="Times New Roman"/>
    </w:rPr>
  </w:style>
  <w:style w:type="table" w:styleId="a8">
    <w:name w:val="Table Grid"/>
    <w:qFormat/>
    <w:rsid w:val="00060D30"/>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sid w:val="00060D30"/>
    <w:rPr>
      <w:b/>
    </w:rPr>
  </w:style>
  <w:style w:type="character" w:customStyle="1" w:styleId="2Char">
    <w:name w:val="标题 2 Char"/>
    <w:link w:val="2"/>
    <w:qFormat/>
    <w:rsid w:val="00060D30"/>
    <w:rPr>
      <w:rFonts w:ascii="Calibri Light" w:eastAsia="宋体" w:hAnsi="Calibri Light" w:cs="Times New Roman"/>
      <w:b/>
      <w:bCs/>
      <w:sz w:val="28"/>
      <w:szCs w:val="32"/>
    </w:rPr>
  </w:style>
  <w:style w:type="character" w:customStyle="1" w:styleId="Char0">
    <w:name w:val="页脚 Char"/>
    <w:basedOn w:val="a0"/>
    <w:link w:val="a5"/>
    <w:uiPriority w:val="99"/>
    <w:qFormat/>
    <w:rsid w:val="00060D30"/>
    <w:rPr>
      <w:rFonts w:asciiTheme="minorHAnsi" w:eastAsiaTheme="minorEastAsia" w:hAnsiTheme="minorHAnsi" w:cstheme="minorBidi"/>
      <w:sz w:val="18"/>
      <w:szCs w:val="18"/>
      <w:lang w:val="en-US" w:eastAsia="zh-CN" w:bidi="ar-SA"/>
    </w:rPr>
  </w:style>
  <w:style w:type="character" w:customStyle="1" w:styleId="Char1">
    <w:name w:val="页眉 Char"/>
    <w:basedOn w:val="a0"/>
    <w:link w:val="a6"/>
    <w:qFormat/>
    <w:rsid w:val="00060D30"/>
    <w:rPr>
      <w:rFonts w:asciiTheme="minorHAnsi" w:eastAsiaTheme="minorEastAsia" w:hAnsiTheme="minorHAnsi" w:cstheme="minorBidi"/>
      <w:sz w:val="18"/>
      <w:szCs w:val="18"/>
      <w:lang w:val="en-US" w:eastAsia="zh-CN" w:bidi="ar-SA"/>
    </w:rPr>
  </w:style>
  <w:style w:type="character" w:customStyle="1" w:styleId="font11">
    <w:name w:val="font11"/>
    <w:basedOn w:val="a0"/>
    <w:qFormat/>
    <w:rsid w:val="00060D30"/>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sid w:val="00060D30"/>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sid w:val="00060D30"/>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sid w:val="00060D30"/>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sid w:val="00060D30"/>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sid w:val="00060D30"/>
    <w:rPr>
      <w:rFonts w:ascii="宋体" w:eastAsia="宋体" w:hAnsi="宋体" w:cs="宋体" w:hint="eastAsia"/>
      <w:color w:val="000000"/>
      <w:sz w:val="24"/>
      <w:szCs w:val="24"/>
      <w:u w:val="none"/>
      <w:lang w:val="en-US" w:eastAsia="zh-CN" w:bidi="ar-SA"/>
    </w:rPr>
  </w:style>
  <w:style w:type="character" w:customStyle="1" w:styleId="Char">
    <w:name w:val="批注框文本 Char"/>
    <w:basedOn w:val="a0"/>
    <w:link w:val="a4"/>
    <w:uiPriority w:val="99"/>
    <w:semiHidden/>
    <w:qFormat/>
    <w:rsid w:val="00060D30"/>
    <w:rPr>
      <w:rFonts w:asciiTheme="minorHAnsi" w:eastAsiaTheme="minorEastAsia" w:hAnsiTheme="minorHAnsi" w:cstheme="minorBidi"/>
      <w:sz w:val="18"/>
      <w:szCs w:val="18"/>
      <w:lang w:val="en-US" w:eastAsia="zh-CN" w:bidi="ar-SA"/>
    </w:rPr>
  </w:style>
  <w:style w:type="character" w:customStyle="1" w:styleId="font71">
    <w:name w:val="font71"/>
    <w:basedOn w:val="a0"/>
    <w:qFormat/>
    <w:rsid w:val="00060D30"/>
    <w:rPr>
      <w:rFonts w:ascii="Arial" w:hAnsi="Arial" w:cs="Arial"/>
      <w:color w:val="000000"/>
      <w:sz w:val="20"/>
      <w:szCs w:val="20"/>
      <w:u w:val="none"/>
    </w:rPr>
  </w:style>
  <w:style w:type="character" w:customStyle="1" w:styleId="font61">
    <w:name w:val="font61"/>
    <w:basedOn w:val="a0"/>
    <w:qFormat/>
    <w:rsid w:val="00060D30"/>
    <w:rPr>
      <w:rFonts w:ascii="宋体" w:eastAsia="宋体" w:hAnsi="宋体" w:cs="宋体" w:hint="eastAsia"/>
      <w:color w:val="000000"/>
      <w:sz w:val="20"/>
      <w:szCs w:val="20"/>
      <w:u w:val="none"/>
    </w:rPr>
  </w:style>
  <w:style w:type="character" w:customStyle="1" w:styleId="font21">
    <w:name w:val="font21"/>
    <w:basedOn w:val="a0"/>
    <w:qFormat/>
    <w:rsid w:val="00060D30"/>
    <w:rPr>
      <w:rFonts w:ascii="宋体" w:eastAsia="宋体" w:hAnsi="宋体" w:cs="宋体" w:hint="eastAsia"/>
      <w:color w:val="000000"/>
      <w:sz w:val="20"/>
      <w:szCs w:val="20"/>
      <w:u w:val="none"/>
    </w:rPr>
  </w:style>
  <w:style w:type="paragraph" w:customStyle="1" w:styleId="p1">
    <w:name w:val="p1"/>
    <w:basedOn w:val="a"/>
    <w:qFormat/>
    <w:rsid w:val="00060D30"/>
    <w:pPr>
      <w:jc w:val="left"/>
    </w:pPr>
    <w:rPr>
      <w:rFonts w:ascii="Helvetica" w:eastAsia="Helvetica" w:hAnsi="Helvetica" w:cs="Times New Roman"/>
      <w:color w:val="00000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31</Pages>
  <Words>1715</Words>
  <Characters>9776</Characters>
  <Application>Microsoft Office Word</Application>
  <DocSecurity>0</DocSecurity>
  <Lines>81</Lines>
  <Paragraphs>22</Paragraphs>
  <ScaleCrop>false</ScaleCrop>
  <Company>神州网信技术有限公司</Company>
  <LinksUpToDate>false</LinksUpToDate>
  <CharactersWithSpaces>11469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微软用户</cp:lastModifiedBy>
  <cp:revision>16</cp:revision>
  <cp:lastPrinted>2023-08-07T01:00:00Z</cp:lastPrinted>
  <dcterms:created xsi:type="dcterms:W3CDTF">2023-08-07T07:55:00Z</dcterms:created>
  <dcterms:modified xsi:type="dcterms:W3CDTF">2025-09-22T08:12:00Z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