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ind w:firstLine="0" w:firstLineChars="0"/>
        <w:jc w:val="center"/>
        <w:rPr>
          <w:rFonts w:hint="eastAsia" w:ascii="仿宋" w:hAnsi="仿宋" w:eastAsia="仿宋" w:cs="仿宋"/>
          <w:color w:val="auto"/>
          <w:kern w:val="0"/>
          <w:sz w:val="48"/>
          <w:szCs w:val="48"/>
          <w:highlight w:val="none"/>
        </w:rPr>
      </w:pPr>
      <w:bookmarkStart w:id="0" w:name="_Hlk112485582"/>
      <w:r>
        <w:rPr>
          <w:rFonts w:hint="eastAsia" w:ascii="仿宋" w:hAnsi="仿宋" w:eastAsia="仿宋" w:cs="仿宋"/>
          <w:color w:val="auto"/>
          <w:kern w:val="0"/>
          <w:sz w:val="48"/>
          <w:szCs w:val="48"/>
          <w:highlight w:val="none"/>
        </w:rPr>
        <w:t>天津市东丽区大毕庄供热站烟气余热回收系统合同能源管理</w:t>
      </w:r>
      <w:bookmarkEnd w:id="0"/>
      <w:r>
        <w:rPr>
          <w:rFonts w:hint="eastAsia" w:ascii="仿宋" w:hAnsi="仿宋" w:eastAsia="仿宋" w:cs="仿宋"/>
          <w:color w:val="auto"/>
          <w:kern w:val="0"/>
          <w:sz w:val="48"/>
          <w:szCs w:val="48"/>
          <w:highlight w:val="none"/>
        </w:rPr>
        <w:t>项目</w:t>
      </w:r>
    </w:p>
    <w:p>
      <w:pPr>
        <w:pStyle w:val="5"/>
        <w:widowControl/>
        <w:ind w:firstLine="0" w:firstLineChars="0"/>
        <w:jc w:val="center"/>
        <w:rPr>
          <w:rFonts w:hint="eastAsia" w:ascii="仿宋" w:hAnsi="仿宋" w:eastAsia="仿宋" w:cs="仿宋"/>
          <w:color w:val="auto"/>
          <w:kern w:val="0"/>
          <w:sz w:val="48"/>
          <w:szCs w:val="48"/>
          <w:highlight w:val="none"/>
        </w:rPr>
      </w:pPr>
    </w:p>
    <w:p>
      <w:pPr>
        <w:pStyle w:val="5"/>
        <w:widowControl/>
        <w:ind w:firstLine="0" w:firstLineChars="0"/>
        <w:jc w:val="center"/>
        <w:rPr>
          <w:rFonts w:hint="eastAsia" w:ascii="仿宋" w:hAnsi="仿宋" w:eastAsia="仿宋" w:cs="仿宋"/>
          <w:color w:val="auto"/>
          <w:kern w:val="0"/>
          <w:sz w:val="72"/>
          <w:szCs w:val="72"/>
          <w:highlight w:val="none"/>
        </w:rPr>
      </w:pPr>
      <w:r>
        <w:rPr>
          <w:rFonts w:hint="eastAsia" w:ascii="仿宋" w:hAnsi="仿宋" w:eastAsia="仿宋" w:cs="仿宋"/>
          <w:color w:val="auto"/>
          <w:kern w:val="0"/>
          <w:sz w:val="72"/>
          <w:szCs w:val="72"/>
          <w:highlight w:val="none"/>
        </w:rPr>
        <w:t>合同能源管理项目合同</w:t>
      </w:r>
    </w:p>
    <w:p>
      <w:pPr>
        <w:pStyle w:val="5"/>
        <w:widowControl/>
        <w:ind w:firstLine="560"/>
        <w:jc w:val="center"/>
        <w:rPr>
          <w:rFonts w:hint="eastAsia" w:ascii="仿宋" w:hAnsi="仿宋" w:eastAsia="仿宋" w:cs="仿宋"/>
          <w:color w:val="auto"/>
          <w:kern w:val="0"/>
          <w:sz w:val="36"/>
          <w:szCs w:val="32"/>
          <w:highlight w:val="none"/>
        </w:rPr>
      </w:pPr>
      <w:r>
        <w:rPr>
          <w:rFonts w:hint="eastAsia" w:ascii="仿宋" w:hAnsi="仿宋" w:eastAsia="仿宋" w:cs="仿宋"/>
          <w:color w:val="auto"/>
          <w:kern w:val="0"/>
          <w:sz w:val="36"/>
          <w:szCs w:val="32"/>
          <w:highlight w:val="none"/>
        </w:rPr>
        <w:t>（合同编号：）</w:t>
      </w: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Cs w:val="20"/>
          <w:highlight w:val="none"/>
        </w:rPr>
      </w:pPr>
    </w:p>
    <w:p>
      <w:pPr>
        <w:pStyle w:val="5"/>
        <w:widowControl/>
        <w:ind w:firstLine="560"/>
        <w:jc w:val="left"/>
        <w:rPr>
          <w:rFonts w:hint="eastAsia" w:ascii="仿宋" w:hAnsi="仿宋" w:eastAsia="仿宋" w:cs="仿宋"/>
          <w:color w:val="auto"/>
          <w:kern w:val="0"/>
          <w:sz w:val="32"/>
          <w:szCs w:val="28"/>
          <w:highlight w:val="none"/>
        </w:rPr>
      </w:pPr>
      <w:r>
        <w:rPr>
          <w:rFonts w:hint="eastAsia" w:ascii="仿宋" w:hAnsi="仿宋" w:eastAsia="仿宋" w:cs="仿宋"/>
          <w:color w:val="auto"/>
          <w:kern w:val="0"/>
          <w:sz w:val="32"/>
          <w:szCs w:val="28"/>
          <w:highlight w:val="none"/>
        </w:rPr>
        <w:t>甲方：</w:t>
      </w:r>
    </w:p>
    <w:p>
      <w:pPr>
        <w:pStyle w:val="5"/>
        <w:widowControl/>
        <w:ind w:firstLine="560"/>
        <w:jc w:val="left"/>
        <w:rPr>
          <w:rFonts w:hint="eastAsia" w:ascii="仿宋" w:hAnsi="仿宋" w:eastAsia="仿宋"/>
          <w:b/>
          <w:sz w:val="32"/>
          <w:szCs w:val="22"/>
          <w:highlight w:val="none"/>
        </w:rPr>
      </w:pPr>
      <w:r>
        <w:rPr>
          <w:rFonts w:hint="eastAsia" w:ascii="仿宋" w:hAnsi="仿宋" w:eastAsia="仿宋" w:cs="仿宋"/>
          <w:color w:val="auto"/>
          <w:kern w:val="0"/>
          <w:sz w:val="32"/>
          <w:szCs w:val="28"/>
          <w:highlight w:val="none"/>
        </w:rPr>
        <w:t>乙方（联合体）：</w:t>
      </w:r>
    </w:p>
    <w:p>
      <w:pPr>
        <w:pStyle w:val="5"/>
        <w:widowControl/>
        <w:ind w:firstLine="560"/>
        <w:jc w:val="center"/>
        <w:rPr>
          <w:rFonts w:hint="eastAsia" w:ascii="仿宋" w:hAnsi="仿宋" w:eastAsia="仿宋"/>
          <w:b/>
          <w:sz w:val="32"/>
          <w:szCs w:val="22"/>
          <w:highlight w:val="none"/>
        </w:rPr>
      </w:pPr>
      <w:r>
        <w:rPr>
          <w:rFonts w:hint="eastAsia" w:ascii="仿宋" w:hAnsi="仿宋" w:eastAsia="仿宋"/>
          <w:b/>
          <w:sz w:val="32"/>
          <w:szCs w:val="22"/>
          <w:highlight w:val="none"/>
          <w:lang w:val="en-US" w:eastAsia="zh-CN"/>
        </w:rPr>
        <w:t xml:space="preserve">    </w:t>
      </w:r>
    </w:p>
    <w:p>
      <w:pPr>
        <w:pStyle w:val="5"/>
        <w:widowControl/>
        <w:ind w:firstLine="560"/>
        <w:jc w:val="center"/>
        <w:rPr>
          <w:rFonts w:hint="eastAsia" w:ascii="仿宋" w:hAnsi="仿宋" w:eastAsia="仿宋" w:cs="仿宋"/>
          <w:color w:val="auto"/>
          <w:kern w:val="0"/>
          <w:sz w:val="32"/>
          <w:szCs w:val="28"/>
          <w:highlight w:val="none"/>
        </w:rPr>
      </w:pPr>
      <w:r>
        <w:rPr>
          <w:rFonts w:hint="eastAsia" w:ascii="仿宋" w:hAnsi="仿宋" w:eastAsia="仿宋"/>
          <w:b w:val="0"/>
          <w:bCs/>
          <w:sz w:val="32"/>
          <w:szCs w:val="22"/>
          <w:highlight w:val="none"/>
        </w:rPr>
        <w:t>时间：年</w:t>
      </w:r>
      <w:r>
        <w:rPr>
          <w:rFonts w:hint="eastAsia" w:ascii="仿宋" w:hAnsi="仿宋" w:eastAsia="仿宋" w:cs="仿宋"/>
          <w:color w:val="auto"/>
          <w:kern w:val="0"/>
          <w:sz w:val="32"/>
          <w:szCs w:val="28"/>
          <w:highlight w:val="none"/>
        </w:rPr>
        <w:t>月</w:t>
      </w:r>
    </w:p>
    <w:p>
      <w:pPr>
        <w:pStyle w:val="5"/>
        <w:widowControl/>
        <w:ind w:firstLine="560"/>
        <w:jc w:val="left"/>
        <w:rPr>
          <w:rFonts w:hint="eastAsia" w:ascii="仿宋" w:hAnsi="仿宋" w:eastAsia="仿宋" w:cs="仿宋"/>
          <w:color w:val="auto"/>
          <w:kern w:val="0"/>
          <w:szCs w:val="20"/>
          <w:highlight w:val="none"/>
        </w:rPr>
      </w:pPr>
    </w:p>
    <w:p>
      <w:pPr>
        <w:widowControl/>
        <w:jc w:val="left"/>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br w:type="page"/>
      </w:r>
    </w:p>
    <w:tbl>
      <w:tblPr>
        <w:tblStyle w:val="3"/>
        <w:tblW w:w="0" w:type="auto"/>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770"/>
        <w:gridCol w:w="3612"/>
        <w:gridCol w:w="4133"/>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bookmarkStart w:id="1" w:name="_Hlk112484262"/>
            <w:r>
              <w:rPr>
                <w:rFonts w:hint="eastAsia" w:ascii="仿宋" w:hAnsi="仿宋" w:eastAsia="仿宋" w:cs="仿宋"/>
                <w:bCs/>
                <w:color w:val="auto"/>
                <w:kern w:val="0"/>
                <w:sz w:val="24"/>
                <w:szCs w:val="24"/>
                <w:highlight w:val="none"/>
              </w:rPr>
              <w:t>甲方</w:t>
            </w:r>
          </w:p>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（用能单位）</w:t>
            </w: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单位名称：</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p>
        </w:tc>
        <w:tc>
          <w:tcPr>
            <w:tcW w:w="3612"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法定代表人：</w:t>
            </w:r>
          </w:p>
        </w:tc>
        <w:tc>
          <w:tcPr>
            <w:tcW w:w="4133"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委托代理人：</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联系人：</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通讯地址</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p>
        </w:tc>
        <w:tc>
          <w:tcPr>
            <w:tcW w:w="3612"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电话：</w:t>
            </w:r>
          </w:p>
        </w:tc>
        <w:tc>
          <w:tcPr>
            <w:tcW w:w="4133"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传真：</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电子邮箱：</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开户银行</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帐号：</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restart"/>
            <w:tcBorders>
              <w:top w:val="single" w:color="000000" w:sz="8" w:space="0"/>
              <w:left w:val="single" w:color="000000" w:sz="8" w:space="0"/>
              <w:right w:val="single" w:color="000000" w:sz="8" w:space="0"/>
            </w:tcBorders>
            <w:noWrap w:val="0"/>
            <w:vAlign w:val="center"/>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乙方</w:t>
            </w:r>
          </w:p>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（联合体）</w:t>
            </w:r>
          </w:p>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（牵头人）</w:t>
            </w: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单位名称：</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3612"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法定代表人：</w:t>
            </w:r>
          </w:p>
        </w:tc>
        <w:tc>
          <w:tcPr>
            <w:tcW w:w="4133"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委托代理人：</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联系人</w:t>
            </w:r>
            <w:r>
              <w:rPr>
                <w:rFonts w:hint="eastAsia" w:ascii="仿宋" w:hAnsi="仿宋" w:eastAsia="仿宋" w:cs="仿宋"/>
                <w:bCs/>
                <w:color w:val="auto"/>
                <w:kern w:val="0"/>
                <w:sz w:val="24"/>
                <w:szCs w:val="24"/>
                <w:highlight w:val="none"/>
                <w:lang w:eastAsia="zh-CN"/>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通讯地址：</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3612"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电话：</w:t>
            </w:r>
          </w:p>
        </w:tc>
        <w:tc>
          <w:tcPr>
            <w:tcW w:w="4133"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传真</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电子邮箱：</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开户银行：</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帐号</w:t>
            </w:r>
            <w:r>
              <w:rPr>
                <w:rFonts w:hint="eastAsia" w:ascii="仿宋" w:hAnsi="仿宋" w:eastAsia="仿宋" w:cs="仿宋"/>
                <w:bCs/>
                <w:color w:val="auto"/>
                <w:kern w:val="0"/>
                <w:sz w:val="24"/>
                <w:szCs w:val="24"/>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restart"/>
            <w:tcBorders>
              <w:top w:val="single" w:color="000000" w:sz="8" w:space="0"/>
              <w:left w:val="single" w:color="000000" w:sz="8" w:space="0"/>
              <w:right w:val="single" w:color="000000" w:sz="8" w:space="0"/>
            </w:tcBorders>
            <w:noWrap w:val="0"/>
            <w:vAlign w:val="center"/>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乙方</w:t>
            </w:r>
          </w:p>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（联合体）（成员）</w:t>
            </w: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单位名称：</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3612"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法定代表人：</w:t>
            </w:r>
          </w:p>
        </w:tc>
        <w:tc>
          <w:tcPr>
            <w:tcW w:w="4133"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委托代理人：</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联系人</w:t>
            </w:r>
            <w:r>
              <w:rPr>
                <w:rFonts w:hint="eastAsia" w:ascii="仿宋" w:hAnsi="仿宋" w:eastAsia="仿宋" w:cs="仿宋"/>
                <w:bCs/>
                <w:color w:val="auto"/>
                <w:kern w:val="0"/>
                <w:sz w:val="24"/>
                <w:szCs w:val="24"/>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通讯地址</w:t>
            </w:r>
            <w:r>
              <w:rPr>
                <w:rFonts w:hint="eastAsia" w:ascii="仿宋" w:hAnsi="仿宋" w:eastAsia="仿宋" w:cs="仿宋"/>
                <w:bCs/>
                <w:color w:val="auto"/>
                <w:kern w:val="0"/>
                <w:sz w:val="24"/>
                <w:szCs w:val="24"/>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3612"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电话：</w:t>
            </w:r>
          </w:p>
        </w:tc>
        <w:tc>
          <w:tcPr>
            <w:tcW w:w="4133" w:type="dxa"/>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传真</w:t>
            </w:r>
            <w:r>
              <w:rPr>
                <w:rFonts w:hint="eastAsia" w:ascii="仿宋" w:hAnsi="仿宋" w:eastAsia="仿宋" w:cs="仿宋"/>
                <w:bCs/>
                <w:color w:val="auto"/>
                <w:kern w:val="0"/>
                <w:sz w:val="24"/>
                <w:szCs w:val="24"/>
                <w:highlight w:val="none"/>
                <w:lang w:eastAsia="zh-CN"/>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电子邮箱：</w:t>
            </w:r>
            <w:r>
              <w:rPr>
                <w:rFonts w:hint="eastAsia" w:ascii="仿宋" w:hAnsi="仿宋" w:eastAsia="仿宋" w:cs="仿宋"/>
                <w:bCs/>
                <w:color w:val="auto"/>
                <w:kern w:val="0"/>
                <w:sz w:val="24"/>
                <w:szCs w:val="24"/>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开户银行：</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0" w:type="dxa"/>
            <w:vMerge w:val="continue"/>
            <w:tcBorders>
              <w:left w:val="single" w:color="000000" w:sz="8" w:space="0"/>
              <w:right w:val="single" w:color="000000" w:sz="8" w:space="0"/>
            </w:tcBorders>
            <w:noWrap w:val="0"/>
            <w:vAlign w:val="top"/>
          </w:tcPr>
          <w:p>
            <w:pPr>
              <w:widowControl/>
              <w:autoSpaceDE w:val="0"/>
              <w:autoSpaceDN w:val="0"/>
              <w:adjustRightInd w:val="0"/>
              <w:spacing w:line="360" w:lineRule="auto"/>
              <w:jc w:val="center"/>
              <w:rPr>
                <w:rFonts w:hint="eastAsia" w:ascii="仿宋" w:hAnsi="仿宋" w:eastAsia="仿宋" w:cs="仿宋"/>
                <w:bCs/>
                <w:color w:val="auto"/>
                <w:kern w:val="0"/>
                <w:sz w:val="24"/>
                <w:szCs w:val="24"/>
                <w:highlight w:val="none"/>
              </w:rPr>
            </w:pPr>
          </w:p>
        </w:tc>
        <w:tc>
          <w:tcPr>
            <w:tcW w:w="7745" w:type="dxa"/>
            <w:gridSpan w:val="2"/>
            <w:tcBorders>
              <w:top w:val="single" w:color="000000" w:sz="8" w:space="0"/>
              <w:left w:val="single" w:color="000000" w:sz="8" w:space="0"/>
              <w:bottom w:val="single" w:color="000000" w:sz="8" w:space="0"/>
              <w:right w:val="single" w:color="000000" w:sz="8" w:space="0"/>
            </w:tcBorders>
            <w:noWrap w:val="0"/>
            <w:vAlign w:val="top"/>
          </w:tcPr>
          <w:p>
            <w:pPr>
              <w:widowControl/>
              <w:autoSpaceDE w:val="0"/>
              <w:autoSpaceDN w:val="0"/>
              <w:adjustRightInd w:val="0"/>
              <w:spacing w:line="360" w:lineRule="auto"/>
              <w:jc w:val="left"/>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帐号</w:t>
            </w:r>
            <w:r>
              <w:rPr>
                <w:rFonts w:hint="eastAsia" w:ascii="仿宋" w:hAnsi="仿宋" w:eastAsia="仿宋" w:cs="仿宋"/>
                <w:bCs/>
                <w:color w:val="auto"/>
                <w:kern w:val="0"/>
                <w:sz w:val="24"/>
                <w:szCs w:val="24"/>
                <w:highlight w:val="none"/>
                <w:lang w:eastAsia="zh-CN"/>
              </w:rPr>
              <w:t>：</w:t>
            </w:r>
          </w:p>
        </w:tc>
      </w:tr>
    </w:tbl>
    <w:p>
      <w:pPr>
        <w:widowControl/>
        <w:jc w:val="left"/>
        <w:rPr>
          <w:rFonts w:hint="eastAsia" w:ascii="仿宋" w:hAnsi="仿宋" w:eastAsia="仿宋" w:cs="仿宋"/>
          <w:color w:val="auto"/>
          <w:kern w:val="0"/>
          <w:szCs w:val="20"/>
          <w:highlight w:val="none"/>
        </w:rPr>
      </w:pPr>
    </w:p>
    <w:p>
      <w:pPr>
        <w:widowControl/>
        <w:jc w:val="left"/>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br w:type="page"/>
      </w:r>
    </w:p>
    <w:bookmarkEnd w:id="1"/>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鉴于本合同甲、乙双方同意按“合同能源管理”模式就天津市东丽区大毕庄供热站烟气余热回收系统合同能源管理项目（以下简称“项目”或“本项目”）进行余热回收专项节能服务，并支付相应的节能服务费用。双方经过平等协商，在真实、充分地表达各自意愿的基础上，根据《中华人民共和国民法典》及其他相关法律法规的规定，达成如下协议，并由双方共同恪守。</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术语和定义</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双方确定：本合同及相关附件中所涉及的有关名词和技术术语，其定义和解释如下：</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合同能源管理的定义：节能服务公司与用能单位以契约形式约定节能项目的节能目标，节能服务公司为实现节能目标向用能单位提供必要的服务，用能单位以节能效益支付节能服务公司的投入及其合理利润的节能服务机制。</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1.2节能服务公司</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提供用能状况诊断、节能项目设计、融资、改造（施工、设备安装、调试）、运行管理等服务的专业化公司。</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1.3合同能源管理项目：以合同能源管理机制实施的节能项目。</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1.4项目节能量</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在满足同等需求或达到同等目标的前提下，通过合同能源管理项目实施，用能单位或用能设备、环节的能源消耗相对于能耗基准的减少量。</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1.5能耗基准</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由用能单位和节能服务公司共同确认的，用能单位或用能设备、环节在实施合同能源管理项目前某一时间段内的能源消耗状况。</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 采暖季</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根据《天津市供热用热条例》，天津市供热期为当年11月15日至次年3月15日，鉴于天津市从2016年开始延长供热期，本合同项下采暖季为每年的11月1日至下一年的3月31日。</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 乙方（联合体）：为完成本项目的投资运营，乙方（牵头人）</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与乙方（成员）</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签订联合体协议组成的联合体。</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项目期限</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2.1本合同期限为自合同生效之日起始，至双方权利义务履行完毕之日止。</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2.2本项目的改造建设期为  天</w:t>
      </w:r>
      <w:r>
        <w:rPr>
          <w:rFonts w:hint="eastAsia" w:ascii="仿宋" w:hAnsi="仿宋" w:eastAsia="仿宋" w:cs="仿宋"/>
          <w:color w:val="auto"/>
          <w:kern w:val="2"/>
          <w:sz w:val="24"/>
          <w:szCs w:val="24"/>
          <w:highlight w:val="none"/>
          <w:lang w:val="en-US" w:eastAsia="zh-CN" w:bidi="ar-SA"/>
        </w:rPr>
        <w:t>，自合同生效之日起始。</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2.3本项目的节能效益分享期的起始日自项目验收结束后投运之日起，效益分享期为</w:t>
      </w:r>
      <w:r>
        <w:rPr>
          <w:rFonts w:hint="eastAsia" w:ascii="仿宋" w:hAnsi="仿宋" w:eastAsia="仿宋" w:cs="仿宋"/>
          <w:color w:val="auto"/>
          <w:kern w:val="2"/>
          <w:sz w:val="24"/>
          <w:szCs w:val="24"/>
          <w:highlight w:val="none"/>
          <w:u w:val="single"/>
          <w:lang w:val="en-US" w:eastAsia="zh-CN" w:bidi="ar-SA"/>
        </w:rPr>
        <w:t xml:space="preserve"> 八 </w:t>
      </w:r>
      <w:r>
        <w:rPr>
          <w:rFonts w:hint="eastAsia" w:ascii="仿宋" w:hAnsi="仿宋" w:eastAsia="仿宋" w:cs="仿宋"/>
          <w:color w:val="auto"/>
          <w:kern w:val="2"/>
          <w:sz w:val="24"/>
          <w:szCs w:val="24"/>
          <w:highlight w:val="none"/>
          <w:lang w:val="en-US" w:eastAsia="zh-CN" w:bidi="ar-SA"/>
        </w:rPr>
        <w:t>个完整采暖季。</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2.4如项目的设计、建设、调试、验收等因故发生延迟，节能效益分享期相应顺延。</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项目方案设计、实施和项目的验收</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3.1甲乙双方应当按照本合同附件（乙方投标时提报）所列的项目方案文件的要求以及本合同的规定进行本项目的实施。</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3.2项目方案一经甲方批准，除非双方另行同意，或者依照本合同第7节的规定修改之外，不得修改。</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3.3乙方（联合体）应当依照第2.2条规定的时间依照项目方案的规定开始项目的建设、实施和运行。</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3.4甲乙双方应当按照乙方投标时投报的设计方案和相关标准进行项目验收。</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节能效益的分享</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4.1 效益分享期内项目总节能量预计为</w:t>
      </w:r>
      <w:r>
        <w:rPr>
          <w:rFonts w:hint="eastAsia" w:ascii="仿宋" w:hAnsi="仿宋" w:eastAsia="仿宋" w:cs="仿宋"/>
          <w:color w:val="auto"/>
          <w:kern w:val="2"/>
          <w:sz w:val="24"/>
          <w:szCs w:val="24"/>
          <w:highlight w:val="none"/>
          <w:u w:val="single"/>
          <w:lang w:val="en-US" w:eastAsia="zh-CN" w:bidi="ar-SA"/>
        </w:rPr>
        <w:t>6.2612</w:t>
      </w:r>
      <w:r>
        <w:rPr>
          <w:rFonts w:hint="eastAsia" w:ascii="仿宋" w:hAnsi="仿宋" w:eastAsia="仿宋" w:cs="仿宋"/>
          <w:color w:val="auto"/>
          <w:kern w:val="2"/>
          <w:sz w:val="24"/>
          <w:szCs w:val="24"/>
          <w:highlight w:val="none"/>
          <w:lang w:val="en-US" w:eastAsia="zh-CN" w:bidi="ar-SA"/>
        </w:rPr>
        <w:t>万G</w:t>
      </w:r>
      <w:r>
        <w:rPr>
          <w:rFonts w:hint="eastAsia" w:ascii="仿宋" w:hAnsi="仿宋" w:eastAsia="仿宋" w:cs="仿宋"/>
          <w:color w:val="auto"/>
          <w:kern w:val="2"/>
          <w:sz w:val="24"/>
          <w:szCs w:val="24"/>
          <w:highlight w:val="none"/>
          <w:lang w:val="en-US" w:eastAsia="zh-CN" w:bidi="ar-SA"/>
        </w:rPr>
        <w:t>J/年，节省天然气量</w:t>
      </w:r>
      <w:r>
        <w:rPr>
          <w:rFonts w:hint="eastAsia" w:ascii="仿宋" w:hAnsi="仿宋" w:eastAsia="仿宋" w:cs="仿宋"/>
          <w:color w:val="auto"/>
          <w:kern w:val="2"/>
          <w:sz w:val="24"/>
          <w:szCs w:val="24"/>
          <w:highlight w:val="none"/>
          <w:u w:val="single"/>
          <w:lang w:val="en-US" w:eastAsia="zh-CN" w:bidi="ar-SA"/>
        </w:rPr>
        <w:t>185</w:t>
      </w:r>
      <w:r>
        <w:rPr>
          <w:rFonts w:hint="eastAsia" w:ascii="仿宋" w:hAnsi="仿宋" w:eastAsia="仿宋" w:cs="仿宋"/>
          <w:color w:val="auto"/>
          <w:kern w:val="2"/>
          <w:sz w:val="24"/>
          <w:szCs w:val="24"/>
          <w:highlight w:val="none"/>
          <w:lang w:val="en-US" w:eastAsia="zh-CN" w:bidi="ar-SA"/>
        </w:rPr>
        <w:t>万Nm</w:t>
      </w:r>
      <w:r>
        <w:rPr>
          <w:rFonts w:hint="eastAsia" w:ascii="仿宋" w:hAnsi="仿宋" w:eastAsia="仿宋" w:cs="仿宋"/>
          <w:color w:val="auto"/>
          <w:kern w:val="2"/>
          <w:sz w:val="24"/>
          <w:szCs w:val="24"/>
          <w:highlight w:val="none"/>
          <w:lang w:val="en-US" w:eastAsia="zh-CN" w:bidi="ar-SA"/>
        </w:rPr>
        <w:t>³/年，预计的节能效益为</w:t>
      </w:r>
      <w:r>
        <w:rPr>
          <w:rFonts w:hint="eastAsia" w:ascii="仿宋" w:hAnsi="仿宋" w:eastAsia="仿宋" w:cs="仿宋"/>
          <w:color w:val="auto"/>
          <w:kern w:val="2"/>
          <w:sz w:val="24"/>
          <w:szCs w:val="24"/>
          <w:highlight w:val="none"/>
          <w:u w:val="single"/>
          <w:lang w:val="en-US" w:eastAsia="zh-CN" w:bidi="ar-SA"/>
        </w:rPr>
        <w:t>438.45</w:t>
      </w:r>
      <w:r>
        <w:rPr>
          <w:rFonts w:hint="eastAsia" w:ascii="仿宋" w:hAnsi="仿宋" w:eastAsia="仿宋" w:cs="仿宋"/>
          <w:color w:val="auto"/>
          <w:kern w:val="2"/>
          <w:sz w:val="24"/>
          <w:szCs w:val="24"/>
          <w:highlight w:val="none"/>
          <w:lang w:val="en-US" w:eastAsia="zh-CN" w:bidi="ar-SA"/>
        </w:rPr>
        <w:t>万元/年。</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本项目余热回收系统根据甲方提供的实际工况、项目设备运行负荷和运行时间情况进行设计，甲方应保证余热回收系统运行条件和运行时间，若因甲方锅炉房燃气耗量未能达到</w:t>
      </w:r>
      <w:r>
        <w:rPr>
          <w:rFonts w:hint="eastAsia" w:ascii="仿宋" w:hAnsi="仿宋" w:eastAsia="仿宋" w:cs="仿宋"/>
          <w:color w:val="auto"/>
          <w:kern w:val="2"/>
          <w:sz w:val="24"/>
          <w:szCs w:val="24"/>
          <w:highlight w:val="none"/>
          <w:u w:val="single"/>
          <w:lang w:val="en-US" w:eastAsia="zh-CN" w:bidi="ar-SA"/>
        </w:rPr>
        <w:t>2400</w:t>
      </w:r>
      <w:r>
        <w:rPr>
          <w:rFonts w:hint="eastAsia" w:ascii="仿宋" w:hAnsi="仿宋" w:eastAsia="仿宋" w:cs="仿宋"/>
          <w:color w:val="auto"/>
          <w:kern w:val="2"/>
          <w:sz w:val="24"/>
          <w:szCs w:val="24"/>
          <w:highlight w:val="none"/>
          <w:lang w:val="en-US" w:eastAsia="zh-CN" w:bidi="ar-SA"/>
        </w:rPr>
        <w:t>万N m</w:t>
      </w:r>
      <w:r>
        <w:rPr>
          <w:rFonts w:hint="eastAsia" w:ascii="仿宋" w:hAnsi="仿宋" w:eastAsia="仿宋" w:cs="仿宋"/>
          <w:color w:val="auto"/>
          <w:kern w:val="2"/>
          <w:sz w:val="24"/>
          <w:szCs w:val="24"/>
          <w:highlight w:val="none"/>
          <w:lang w:val="en-US" w:eastAsia="zh-CN" w:bidi="ar-SA"/>
        </w:rPr>
        <w:t>³/年时，双方按照净节气量</w:t>
      </w:r>
      <w:r>
        <w:rPr>
          <w:rFonts w:hint="eastAsia" w:ascii="仿宋" w:hAnsi="仿宋" w:eastAsia="仿宋" w:cs="仿宋"/>
          <w:color w:val="auto"/>
          <w:kern w:val="2"/>
          <w:sz w:val="24"/>
          <w:szCs w:val="24"/>
          <w:highlight w:val="none"/>
          <w:u w:val="single"/>
          <w:lang w:val="en-US" w:eastAsia="zh-CN" w:bidi="ar-SA"/>
        </w:rPr>
        <w:t>185</w:t>
      </w:r>
      <w:r>
        <w:rPr>
          <w:rFonts w:hint="eastAsia" w:ascii="仿宋" w:hAnsi="仿宋" w:eastAsia="仿宋" w:cs="仿宋"/>
          <w:color w:val="auto"/>
          <w:kern w:val="2"/>
          <w:sz w:val="24"/>
          <w:szCs w:val="24"/>
          <w:highlight w:val="none"/>
          <w:lang w:val="en-US" w:eastAsia="zh-CN" w:bidi="ar-SA"/>
        </w:rPr>
        <w:t>万Nm³/</w:t>
      </w:r>
      <w:r>
        <w:rPr>
          <w:rFonts w:hint="eastAsia" w:ascii="仿宋" w:hAnsi="仿宋" w:eastAsia="仿宋" w:cs="仿宋"/>
          <w:color w:val="auto"/>
          <w:kern w:val="2"/>
          <w:sz w:val="24"/>
          <w:szCs w:val="24"/>
          <w:highlight w:val="none"/>
          <w:lang w:val="en-US" w:eastAsia="zh-CN" w:bidi="ar-SA"/>
        </w:rPr>
        <w:t>年进行结算费用。</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效益分享期内，甲乙双方按表1节能效益分配表中约定比例分配节能效益。其中，第1个采暖季为系统试用期，乙方不分享任何收益（节能收益归供热站实际运营方享有），自第2个采暖季开始，乙方按约定分享收益。</w:t>
      </w:r>
    </w:p>
    <w:p>
      <w:pPr>
        <w:widowControl w:val="0"/>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表1 节能效益分配表</w:t>
      </w:r>
    </w:p>
    <w:tbl>
      <w:tblPr>
        <w:tblStyle w:val="3"/>
        <w:tblpPr w:leftFromText="180" w:rightFromText="180" w:vertAnchor="text" w:horzAnchor="page" w:tblpX="1787" w:tblpY="44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575"/>
        <w:gridCol w:w="2730"/>
        <w:gridCol w:w="27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3030" w:type="dxa"/>
            <w:gridSpan w:val="2"/>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分享年期</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甲方分享比例及收益</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乙方分享比例及收益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第一年</w:t>
            </w:r>
          </w:p>
        </w:tc>
        <w:tc>
          <w:tcPr>
            <w:tcW w:w="1575" w:type="dxa"/>
            <w:tcBorders>
              <w:tl2br w:val="nil"/>
              <w:tr2bl w:val="nil"/>
            </w:tcBorders>
            <w:noWrap w:val="0"/>
            <w:vAlign w:val="center"/>
          </w:tcPr>
          <w:p>
            <w:pPr>
              <w:widowControl w:val="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第二年</w:t>
            </w:r>
          </w:p>
        </w:tc>
        <w:tc>
          <w:tcPr>
            <w:tcW w:w="1575" w:type="dxa"/>
            <w:tcBorders>
              <w:tl2br w:val="nil"/>
              <w:tr2bl w:val="nil"/>
            </w:tcBorders>
            <w:noWrap w:val="0"/>
            <w:vAlign w:val="center"/>
          </w:tcPr>
          <w:p>
            <w:pPr>
              <w:widowControl w:val="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第三年</w:t>
            </w:r>
          </w:p>
        </w:tc>
        <w:tc>
          <w:tcPr>
            <w:tcW w:w="1575" w:type="dxa"/>
            <w:tcBorders>
              <w:tl2br w:val="nil"/>
              <w:tr2bl w:val="nil"/>
            </w:tcBorders>
            <w:noWrap w:val="0"/>
            <w:vAlign w:val="center"/>
          </w:tcPr>
          <w:p>
            <w:pPr>
              <w:widowControl w:val="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第四年</w:t>
            </w:r>
          </w:p>
        </w:tc>
        <w:tc>
          <w:tcPr>
            <w:tcW w:w="1575" w:type="dxa"/>
            <w:tcBorders>
              <w:tl2br w:val="nil"/>
              <w:tr2bl w:val="nil"/>
            </w:tcBorders>
            <w:noWrap w:val="0"/>
            <w:vAlign w:val="center"/>
          </w:tcPr>
          <w:p>
            <w:pPr>
              <w:widowControl w:val="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第五年</w:t>
            </w:r>
          </w:p>
        </w:tc>
        <w:tc>
          <w:tcPr>
            <w:tcW w:w="1575" w:type="dxa"/>
            <w:tcBorders>
              <w:tl2br w:val="nil"/>
              <w:tr2bl w:val="nil"/>
            </w:tcBorders>
            <w:noWrap w:val="0"/>
            <w:vAlign w:val="center"/>
          </w:tcPr>
          <w:p>
            <w:pPr>
              <w:widowControl w:val="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第六年</w:t>
            </w: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第七年</w:t>
            </w: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restart"/>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第八年</w:t>
            </w: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比例</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w:t>
            </w: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455" w:type="dxa"/>
            <w:vMerge w:val="continue"/>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1575"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3030" w:type="dxa"/>
            <w:gridSpan w:val="2"/>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总收益额</w:t>
            </w:r>
          </w:p>
        </w:tc>
        <w:tc>
          <w:tcPr>
            <w:tcW w:w="2730"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c>
          <w:tcPr>
            <w:tcW w:w="2762" w:type="dxa"/>
            <w:tcBorders>
              <w:tl2br w:val="nil"/>
              <w:tr2bl w:val="nil"/>
            </w:tcBorders>
            <w:noWrap w:val="0"/>
            <w:vAlign w:val="center"/>
          </w:tcPr>
          <w:p>
            <w:pPr>
              <w:widowControl w:val="0"/>
              <w:ind w:left="840" w:hanging="840"/>
              <w:jc w:val="center"/>
              <w:rPr>
                <w:rFonts w:hint="eastAsia" w:ascii="仿宋" w:hAnsi="仿宋" w:eastAsia="仿宋" w:cs="仿宋"/>
                <w:color w:val="auto"/>
                <w:kern w:val="2"/>
                <w:sz w:val="24"/>
                <w:szCs w:val="24"/>
                <w:highlight w:val="none"/>
              </w:rPr>
            </w:pPr>
          </w:p>
        </w:tc>
      </w:tr>
    </w:tbl>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4.3节能收益计算方法：</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项目节能收益（元）=余热水热量表计量值（GJ）×折算燃气系数（m³/GJ）×燃气单价(元/m³)+热泵系统供水水表计量值（t）×水价（元/t）</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烟气回收系统运维费用由乙方自行承担。</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1）天然气单价（含税）：2.37元/m³；</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2）天然气热值：8300kcal/m3，锅炉计算热效率：96%，燃气折算系数29.98m3/GJ。</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3）电单价：0.85元/kwh；</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4）水单价：7.9元/吨；</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当天然气价格、水价、电价调整时，不启动调价机制，价格固定不变。</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4.4甲乙双方可以共同对项目节能量进行测量和确认，并签发节能量确认单。</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4.5节能效益由甲方按照第4.2条的规定在每年支付两次，节能收益的具体支付流程与方式如下：</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(a)每年12月31日和4月25日，由乙方申请，甲乙双方共同于五个工作日内对此次申请日前未结算的项目节能量进行测量和确认，并签发节能量确认单。</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(b)在相应的节能量确认后，乙方（联合体）应当根据双方确认的节能量向甲方发出书面的付款请求和正式发票，付款请求应标明付款的金额，方式以及对应的节能量；</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甲方应当在收到上述付款请求和正式发票之后的十日内，通过以下两种方式之一相应款项：①由甲方将相应的款项直接支付给乙方（联合体）；②由甲方协调供热站实际运营方将相应的款项支付给乙方（联合体），此支付方式并不免除甲方的其他责任。</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4.6如甲乙双方对任何一期节能效益的部分存在争议，该部分的争议不影响对无争议部分的节能效益的分享和相应款项的支付。</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4.7节能效益分享期内，如甲方生产经营状况、产业结构、能源结构等发生改变而无法使用乙方（联合体）所供余热回收系统或者甲方的违约责任致使本合同无法继续履行的，若前期已付给的节能服务费未达到乙方（联合体）总节能分享额（上表1中内容），则应在甲乙双方共同确认后由甲方在三十日内一次性补齐，付齐后，本合同“项目财产”归甲方所有，双方权利义务终止；若达到乙方（联合体）总节能分享额，本合同“项目财产”归甲方所有，双方权利义务终止。</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甲方的义务</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如根据相关的法律法规，或者是基于任何有权的第三方的要求，本项目的实施必须由甲方向相应的政府机构或者其它第三方申请许可、同意或者批准，甲方应当根据乙方（联合体）的请求，及时申请该等许可、同意或者是批准，并在本合同期间保持其有效性。甲方也应当根据乙方（联合体）的合理要求，协助其获得其他为实施本项目所必需的许可、同意或者是批准。</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5.2甲方应当根据乙方（联合体）的合理要求，及时提供节能项目设计和实施所必须的资料和数据，并确保其真实、准确、完整。</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5.3提供节能项目实施所需要的现场条件和必要的协助，如清理施工现场、合理调整生产、设备试运行等。</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5.4甲方应提供必要的资料和协助，配合乙方（联合体）或双方同意的第三方机构开展节能量测量和验证。</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5.5甲方应根据相关规定，及时协助乙方（联合体）完成项目的试运行和验收，并提供确认安装完成和试运行正常的验收文件。</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5.6甲方应当根据项目方案的规定，为乙方（联合体）或者乙方（联合体）聘请的第三方进行项目的建设、维护、运营及检测、修理项目设施和设备提供合理的协助，保证乙方（联合体）或者乙方（联合体）聘请的第三方可合理地接近与本项目有关的设施和设备。</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5.7节能效益分享期间，如设备发生故障、损坏和丢失，甲方应在得知此情况后及时书面通知乙方（联合体），配合乙方（联合体）对设备进行维修和监管。</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5.8甲方应保证与项目相关的设备、设施的运行符合国家法律法规及产业政策要求。</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5.9甲方应保证与项目相关的设备、设施连续稳定运行且运行状况良好。</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5.10甲方应当按照本合同的规定，按期向乙方（联合体）付款，如通过供热站实际运营方向乙方（联合体）付款，甲方应负责协调供热站实际运营方与甲乙方共同签订三方合同，以落实支出责任。</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5.12甲方应当将与项目有关的其内部规章制度和特殊安全规定要求及时提前告知乙方（联合体）、乙方（联合体）的工作人员或其聘请的第三方，并根据需要提供防护用品。</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5.13甲方应当协助乙方（联合体）向有关政府机构或者组织申请与项目相关的补助、奖励或其他可适用的优惠政策。</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5.14其他：无。</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乙方（联合体）的义务</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6.1乙方（联合体）应当按照投标时的项目方案文件规定的技术标准和要求以及本合同的规定，自行或者通过经甲方批准的第三方按时完成本项目的方案设计、建设、运营以及维护。</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 乙方（联合体）分工：</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6.2.1乙方（联合体）牵头人：6.2.2 乙方（联合体）成员：</w:t>
      </w:r>
      <w:r>
        <w:rPr>
          <w:rFonts w:hint="eastAsia" w:ascii="仿宋" w:hAnsi="仿宋" w:eastAsia="仿宋" w:cs="仿宋"/>
          <w:color w:val="auto"/>
          <w:kern w:val="2"/>
          <w:sz w:val="24"/>
          <w:szCs w:val="24"/>
          <w:highlight w:val="none"/>
          <w:u w:val="none"/>
          <w:lang w:val="en-US" w:eastAsia="zh-CN" w:bidi="ar-SA"/>
        </w:rPr>
        <w:t>6.2.3乙方（</w:t>
      </w:r>
      <w:r>
        <w:rPr>
          <w:rFonts w:hint="eastAsia" w:ascii="仿宋" w:hAnsi="仿宋" w:eastAsia="仿宋" w:cs="仿宋"/>
          <w:color w:val="auto"/>
          <w:kern w:val="2"/>
          <w:sz w:val="24"/>
          <w:szCs w:val="24"/>
          <w:highlight w:val="none"/>
          <w:lang w:val="en-US" w:eastAsia="zh-CN" w:bidi="ar-SA"/>
        </w:rPr>
        <w:t>联合体）内部将遵守以下规定：</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a.联合体牵头方和成员共同与采购人签订合同并履行合同，且就成交项目共同承担连带责任;</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b.联合体牵头方合法代表联合体各成员负责本项目响应文件编制和采购活动，并代表联合体提交和接收相关的资料、信息及指示，并处理与之有关的一切事物，负责合同实施阶段的主办、组织和协调工作；</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c.联合体各成员单位内部的职责分工如下：</w:t>
      </w:r>
    </w:p>
    <w:p>
      <w:pPr>
        <w:widowControl w:val="0"/>
        <w:ind w:firstLine="480" w:firstLineChars="200"/>
        <w:jc w:val="both"/>
        <w:rPr>
          <w:rFonts w:hint="default"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（联合体）牵头方：1）负责本项目的资金投资，并享有节能收益；</w:t>
      </w:r>
    </w:p>
    <w:p>
      <w:pPr>
        <w:widowControl w:val="0"/>
        <w:ind w:firstLine="480" w:firstLineChars="200"/>
        <w:jc w:val="both"/>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2）按照节能收益的约定，负责向甲方收取每期节能收益款，甲方的节能收益款支付至乙方（联合体）牵头人的账户上；</w:t>
      </w:r>
    </w:p>
    <w:p>
      <w:pPr>
        <w:widowControl w:val="0"/>
        <w:ind w:firstLine="480" w:firstLineChars="200"/>
        <w:jc w:val="both"/>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3）负责与甲方进行节能收益的确认，签订节能收益确认单；</w:t>
      </w:r>
    </w:p>
    <w:p>
      <w:pPr>
        <w:widowControl w:val="0"/>
        <w:ind w:firstLine="480" w:firstLineChars="200"/>
        <w:jc w:val="both"/>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4）负责向有关政府机构或者组织申请与本项目相关的节能补贴</w:t>
      </w:r>
    </w:p>
    <w:p>
      <w:pPr>
        <w:widowControl w:val="0"/>
        <w:ind w:firstLine="480" w:firstLineChars="200"/>
        <w:jc w:val="both"/>
        <w:rPr>
          <w:rFonts w:hint="default"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5）负责在节能分享期内的烟气余热回收系统运行管理，包括系统运行、维护、保养、维修等工作；</w:t>
      </w:r>
    </w:p>
    <w:p>
      <w:pPr>
        <w:widowControl w:val="0"/>
        <w:ind w:firstLine="480" w:firstLineChars="200"/>
        <w:jc w:val="both"/>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6）参与本项目工程验收工作：</w:t>
      </w:r>
    </w:p>
    <w:p>
      <w:pPr>
        <w:widowControl w:val="0"/>
        <w:ind w:firstLine="480" w:firstLineChars="200"/>
        <w:jc w:val="both"/>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（联合体）成员：1）负责本项目的设计、施工、设备供货、系统调试等与本项目有关的一切建设工程事宜；</w:t>
      </w:r>
    </w:p>
    <w:p>
      <w:pPr>
        <w:widowControl w:val="0"/>
        <w:ind w:firstLine="480" w:firstLineChars="200"/>
        <w:jc w:val="both"/>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2）负责本项目工程消缺和整体验收工作；</w:t>
      </w:r>
    </w:p>
    <w:p>
      <w:pPr>
        <w:widowControl w:val="0"/>
        <w:ind w:firstLine="480" w:firstLineChars="200"/>
        <w:jc w:val="both"/>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3）负责提供本项目的售前支持、售后服务和技术培训；</w:t>
      </w:r>
    </w:p>
    <w:p>
      <w:pPr>
        <w:widowControl w:val="0"/>
        <w:ind w:firstLine="480" w:firstLineChars="200"/>
        <w:jc w:val="both"/>
        <w:rPr>
          <w:rFonts w:hint="default"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4）不享有节能收益。</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none"/>
          <w:lang w:val="en-US" w:eastAsia="zh-CN" w:bidi="ar-SA"/>
        </w:rPr>
        <w:t>6.3乙方（联合体）应当确保其工作人员和其聘请的</w:t>
      </w:r>
      <w:r>
        <w:rPr>
          <w:rFonts w:hint="eastAsia" w:ascii="仿宋" w:hAnsi="仿宋" w:eastAsia="仿宋" w:cs="仿宋"/>
          <w:color w:val="auto"/>
          <w:kern w:val="2"/>
          <w:sz w:val="24"/>
          <w:szCs w:val="24"/>
          <w:highlight w:val="none"/>
          <w:lang w:val="en-US" w:eastAsia="zh-CN" w:bidi="ar-SA"/>
        </w:rPr>
        <w:t>第三方严格遵守甲方有关施工场地安全和卫生等方面的规定，并听从甲方合理的现场指挥。</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6.4乙方（联合体）应当根据相应的法律法规的要求，申请除必须由甲方申请之外的有关项目的许可、批准和同意。</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6.5乙方（联合体）安装和调试相关设备、设施应符合国家、行业有关施工管理法律法规和与项目相对应的技术标准规范要求，以及甲方合理的特有的施工、管理要求。</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6.6乙方（联合体）应在合同有效期内，对设备运行、维修和保养，定期作出记录并妥善保存两年。乙方（联合体）根据甲方的合理要求及时向其提供该等记录。</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6.7在接到甲方关于项目运行故障的通知之后，乙方（联合体）应根据系统设计的相关规定和要求，及时完成相关维修或设备更换。</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6.8乙方（联合体）应当确保其工作人员或者其聘请的第三方在项目实施、运行的整个过程中遵守相关法律法规，以及甲方的相关规章制度。</w:t>
      </w:r>
    </w:p>
    <w:p>
      <w:pPr>
        <w:autoSpaceDE w:val="0"/>
        <w:autoSpaceDN w:val="0"/>
        <w:adjustRightInd w:val="0"/>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6.9乙方（联合体）应配合甲乙双方同意的第三方机构或甲方开展节能量测量和验证。</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6.10其他：无</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项目的更改与提前回购</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7.1项目开始运行之后，甲方和乙方（联合体）的项目负责人应当至少每采暖季进行一次工作会议，讨论与项目运行和维护有关的事宜。</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如在项目的建设期间出现乙方（联合体）作为专业的节能服务提供者能够合理预料之外的情况，从而导致原有项目方案需要修改，则乙方（联合体）有权对原有项目方案进行修改并实施修改的方案，但前提是不会对原有项目方案设定的主要节能目标和技术指标造成重大不利影响。除非该情况的出现是由甲方的过错造成，因乙方（联合体）原因造成的费用由乙方（联合体）承担。</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7.3在本项目运行期间，乙方（联合体）有权为优化项目方案、提高节能效益对项目进行改造，包括但不限于对相关设备或设施进行添加、替换、去除、改造，或者是对相关操作、维护程序和方法进行修改。乙方（联合体）应当预先将项目改造方案提交甲方审核，所有的改造费用由乙方（联合体）承担。</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7.4在本项目运行期间，甲方拆除、更换、更改、添加或移动现有设备、设施、场地，以致对本项目的节能效益产生不利影响，甲方应赔偿乙方（联合体）由此节能效益下降造成的相应的损失。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7.5甲方可通过提前回购方式解除合同。提前回购指，甲方在效益分享期内某个采暖季开始前，按照提前回购金额一次性回购余热回收系统，回购资金全部支付中标人后合同自动解除。提前回购金额按以下方式计算：</w:t>
      </w:r>
    </w:p>
    <w:p>
      <w:pPr>
        <w:widowControl w:val="0"/>
        <w:ind w:firstLine="420" w:firstLineChars="200"/>
        <w:jc w:val="both"/>
        <w:rPr>
          <w:rFonts w:hint="eastAsia" w:ascii="仿宋" w:hAnsi="仿宋" w:eastAsia="仿宋" w:cs="仿宋"/>
          <w:color w:val="auto"/>
          <w:kern w:val="2"/>
          <w:sz w:val="24"/>
          <w:szCs w:val="24"/>
          <w:highlight w:val="none"/>
          <w:lang w:val="en-US" w:eastAsia="zh-CN" w:bidi="ar-SA"/>
        </w:rPr>
      </w:pPr>
      <w:bookmarkStart w:id="2" w:name="_Hlk112580300"/>
      <m:oMathPara>
        <m:oMath>
          <m:r>
            <m:rPr>
              <m:sty m:val="p"/>
            </m:rPr>
            <w:rPr>
              <w:rFonts w:hint="eastAsia" w:ascii="Cambria Math" w:hAnsi="Cambria Math"/>
              <w:color w:val="auto"/>
            </w:rPr>
            <m:t>回购金额</m:t>
          </m:r>
          <m:r>
            <m:rPr>
              <m:sty m:val="p"/>
            </m:rPr>
            <w:rPr>
              <w:rFonts w:hint="default" w:ascii="Cambria Math" w:hAnsi="Cambria Math"/>
              <w:color w:val="auto"/>
            </w:rPr>
            <m:t>A</m:t>
          </m:r>
          <m:r>
            <m:rPr>
              <m:sty m:val="p"/>
            </m:rPr>
            <w:rPr>
              <w:rFonts w:hint="eastAsia" w:ascii="Cambria Math" w:hAnsi="Cambria Math"/>
              <w:color w:val="auto"/>
            </w:rPr>
            <m:t>=</m:t>
          </m:r>
          <m:r>
            <m:rPr>
              <m:sty m:val="p"/>
            </m:rPr>
            <w:rPr>
              <w:rFonts w:hint="default" w:ascii="Cambria Math" w:hAnsi="Cambria Math"/>
              <w:color w:val="auto"/>
            </w:rPr>
            <m:t>P−P×</m:t>
          </m:r>
          <m:f>
            <m:fPr>
              <m:ctrlPr>
                <w:rPr>
                  <w:rFonts w:hint="default" w:ascii="Cambria Math" w:hAnsi="Cambria Math"/>
                  <w:color w:val="auto"/>
                </w:rPr>
              </m:ctrlPr>
            </m:fPr>
            <m:num>
              <m:r>
                <m:rPr>
                  <m:sty m:val="p"/>
                </m:rPr>
                <w:rPr>
                  <w:rFonts w:hint="default" w:ascii="Cambria Math" w:hAnsi="Cambria Math"/>
                  <w:color w:val="auto"/>
                </w:rPr>
                <m:t>M−1</m:t>
              </m:r>
              <m:ctrlPr>
                <w:rPr>
                  <w:rFonts w:hint="default" w:ascii="Cambria Math" w:hAnsi="Cambria Math"/>
                  <w:color w:val="auto"/>
                </w:rPr>
              </m:ctrlPr>
            </m:num>
            <m:den>
              <m:r>
                <m:rPr>
                  <m:sty m:val="p"/>
                </m:rPr>
                <w:rPr>
                  <w:rFonts w:hint="default" w:ascii="Cambria Math" w:hAnsi="Cambria Math"/>
                  <w:color w:val="auto"/>
                </w:rPr>
                <m:t>N−1</m:t>
              </m:r>
              <m:ctrlPr>
                <w:rPr>
                  <w:rFonts w:hint="default" w:ascii="Cambria Math" w:hAnsi="Cambria Math"/>
                  <w:color w:val="auto"/>
                </w:rPr>
              </m:ctrlPr>
            </m:den>
          </m:f>
        </m:oMath>
      </m:oMathPara>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其中：P为乙方投标时投报的投资总概算；</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M为已运行期限（首个采暖季不足一季按一季计算）；</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N为总效益分享期（首个采暖季不足一季按一季计算）。</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采暖季不足一季，按照该采暖季实际结算天数/该采暖季总天数计算。</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举例说明：如余热回收系统使用2个采暖季后（首个采暖季试运行不足1季按1季计算），甲方决定回购或终止合同，则回购金额=乙方投标时投报的投资总概算-乙方投标时投报的投资总概算÷[总效益分享期-1]×（2-1）。</w:t>
      </w:r>
    </w:p>
    <w:bookmarkEnd w:id="2"/>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所有权和风险分担</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8.1乙方（联合体）应保证该等项目财产正常运行。在本合同到期并且甲方付清本合同下全部款项之前，本项目下的所有由乙方（联合体）采购并安装的设备、设施和仪器等财产（简称“项目财产”）的所有权属于乙方（联合体）。本合同顺利履行完毕之后，该等项目财产的所有权将无偿转让给甲方。</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8.2项目财产的所有权由乙方（联合体）移交给甲方时，应同时移交本项目继续运行所必需的资料。如该项目财产的继续使用需要乙方（联合体）的相关技术和／或相关知识产权的授权，乙方（联合体）应当无偿向甲方提供该等授权。如该项目财产的继续使用涉及第三方的服务和／或相关知识产权的授权，该等服务和授权的费用由乙方（联合体）承担。</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8.3项目财产的所有权因甲方违约或者本合同的提前解除而需要发生转移时，则按照4.6执行。</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8.4在本合同期间，项目财产灭失、被窃、人为损坏的风险及由此产生的损失由甲方承担。</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违约责任</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9.1如甲方未按照本合同的规定及时向乙方（联合体）支付款项，则应当按照每日的比率千分之三向乙方（联合体）支付滞纳金。付款延时超过90天，乙方（联合体）有权要求甲方一次性支付该项目总投资回报的剩余部分（即按照4.1约定的最低天然气量   m³/年的节能量，所得的X个采暖季节能分享总额   万元，扣除至此节点已支付的节能分享总额后的剩余金额），而后本合同“项目财产”归甲方所有，合同终止。</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9.2如甲方违反除第9.1条外的其他义务，乙方（联合体）对由此而造成的损失有权选择以下任一种方式要求甲方承担相应的违约赔偿责任：</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(a)按照以下标准延长节能效益分享的时间：</w:t>
      </w:r>
      <w:r>
        <w:rPr>
          <w:rFonts w:hint="eastAsia" w:ascii="仿宋" w:hAnsi="仿宋" w:eastAsia="仿宋" w:cs="仿宋"/>
          <w:color w:val="auto"/>
          <w:kern w:val="2"/>
          <w:sz w:val="24"/>
          <w:szCs w:val="24"/>
          <w:highlight w:val="none"/>
          <w:u w:val="single"/>
          <w:lang w:val="en-US" w:eastAsia="zh-CN" w:bidi="ar-SA"/>
        </w:rPr>
        <w:t>无。</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(b)按照以下标准增加乙方（联合体）节能效益分享的比例：</w:t>
      </w:r>
      <w:r>
        <w:rPr>
          <w:rFonts w:hint="eastAsia" w:ascii="仿宋" w:hAnsi="仿宋" w:eastAsia="仿宋" w:cs="仿宋"/>
          <w:color w:val="auto"/>
          <w:kern w:val="2"/>
          <w:sz w:val="24"/>
          <w:szCs w:val="24"/>
          <w:highlight w:val="none"/>
          <w:u w:val="single"/>
          <w:lang w:val="en-US" w:eastAsia="zh-CN" w:bidi="ar-SA"/>
        </w:rPr>
        <w:t>无。</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(c)直接要求甲方赔偿损失；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(d)依照第11.5条的规定解除合同，并要求甲方赔偿全部损失。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9.3如果乙方（联合体）未能按照项目方案规定的时间和要求完成项目的建设，且因乙方（联合体）原因造成，则乙方（联合体）应当按照每日千分之三的比率，向甲方支付误工的赔偿金，赔偿总金额最高不超过项目合同额的10%。</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9.4如果乙方（联合体）违反除9.3条外的其他义务，甲方有权对由此造成的损失选择以下任一种方式要求乙方（联合体）承担相应的违约赔偿责任。</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(a)按照以下标准降低乙方（联合体）节能效益分享的比例：</w:t>
      </w:r>
      <w:r>
        <w:rPr>
          <w:rFonts w:hint="eastAsia" w:ascii="仿宋" w:hAnsi="仿宋" w:eastAsia="仿宋" w:cs="仿宋"/>
          <w:color w:val="auto"/>
          <w:kern w:val="2"/>
          <w:sz w:val="24"/>
          <w:szCs w:val="24"/>
          <w:highlight w:val="none"/>
          <w:u w:val="single"/>
          <w:lang w:val="en-US" w:eastAsia="zh-CN" w:bidi="ar-SA"/>
        </w:rPr>
        <w:t>无。</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(b)按照以下标准缩短乙方（联合体）节能效益分享的时间：</w:t>
      </w:r>
      <w:r>
        <w:rPr>
          <w:rFonts w:hint="eastAsia" w:ascii="仿宋" w:hAnsi="仿宋" w:eastAsia="仿宋" w:cs="仿宋"/>
          <w:color w:val="auto"/>
          <w:kern w:val="2"/>
          <w:sz w:val="24"/>
          <w:szCs w:val="24"/>
          <w:highlight w:val="none"/>
          <w:u w:val="single"/>
          <w:lang w:val="en-US" w:eastAsia="zh-CN" w:bidi="ar-SA"/>
        </w:rPr>
        <w:t>无。</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(c)直接要求乙方（联合体）赔偿损失；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(d)依照第11.5条的规定，解除合同，并要求乙方（联合体）赔偿损失。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9.5本条规定的违约责任方式不影响甲乙双方依照法律法规可获得的其他救济手段。</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9.6 一方违约后，另一方应采取适当措施，防止损失的扩大，否则不能就扩大部分的损失要求赔偿。</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不可抗力</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10.1本合同下的不可抗力是指超出了相关方合理控制范围的任何行为、事件或原因，包括但不限于：</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雷电、洪水、风暴、地震、滑坡、暴雨等自然灾害、海上危险、航行事故、战争、骚乱、暴动、全国紧急状态（无论是实际情况或法律规定的情况）、戒严令、火灾或劳工纠纷（无论是否涉及相关方的雇员）、流行病、隔离、辐射或放射性污染；或</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10.2如果一方（“受影响方”）由于不可抗力事件的发生，无法或预计无法履行合同下的义务，受影响方就必须在知晓不可抗力的有关事件的5日内向另一方（“非影响方”）提交书面通知，提供不可抗力事件的细节。</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10.3受影响方必须采取一切合理的措施，以消除或减轻不可抗力事件有关的影响。</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10.4在不可抗力事件持续期间，受影响方的履行义务暂时中止，相应的义务履行期限相应顺延，并将不会对由此造成的损失或损坏对非影响万承担责任。在不可抗力事件结束后，受影响方应该尽快恢复履行本合同下的义务。</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10.5如果因为不可抗力事件的影响，受影响方不能履行本合同项下的任何义务，而且非影响方在收到不可抗力通知后，受影响方的不能履行义务持续时间达90个连续日，且在此期间，双方没有能够谈判达成一项彼此可以接受的替代方式来执行本合同下的项目，任何一方可向另一方提供书面通知，解除本协议，而不用承担任何责任。</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合同解除</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11.1本合同可经由甲乙双方协商一致后书面解除。</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11.2本合同可依照第7.5条（提前回购）的规定解除。</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11.3本合同可依照第10.5条（不可抗力）的规定解除</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11.4当甲方迟延履行付款义务达九十日时，乙方（联合体）有权书面通知甲方后解除本合同。</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11.5当乙方（联合体）延误项目建设期限达九十日时，甲方有权书面通知乙方（联合体）后解除本合同。</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11.6当本合同的一方发生以下任一情况时，另一方可书面通知对方解除本合同：</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 一方进入破产程序；</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 一方的控股股东或者是实际控制人发生变化，而且该变化将严重影响到该方履行本合同下主要义务的能力；</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 一方违反本合同下的主要义务，且该行为在另一方书面通知后 三十 日内未得到纠正。</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11.7本合同解除后，本项目应当终止实施，因甲方原因造成的损失，应由甲方承担。</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11.8本合同的解除不影响任意一方根据本合同或者相关的法律法规向对方寻求赔偿的权利，也不影响一方在合同解除前到期的付款义务的履行。</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合同项下的权利、义务的转让</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双方约定，合同项下权利、义务的转让按照以下方式进行：无</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人身和财产损害和赔偿</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13.1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费用和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13.2受损害或伤害的一方对损害或伤害的发生也有过错时，应当根据其过错程度承担相应的责任，并适当减轻造成损害或伤害一方的责任。</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保密条款</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各方确定因履行本合同应遵守的保密义务如下：</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14.1甲方：</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14.1.1保密内容（包括技术信息和经营信息）：项目所涉及的文件、资料、流程、设计方案、人员等内容；合作过程所了解到的对方的经营管理、人事、技术等信息。</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14.1.2负有保密义务的人员范围：甲方工作人员和关联部门、单位人员。</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14.1.3保密期限：本合同签订至合同终止后2年。</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14.1.4泄密责任：赔偿因违反保密义务造成的经济损失。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14.2乙方（联合体）：</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14.2.1保密内容（包括技术信息和经营信息）：项目所涉及的文件、资料、流程、设计方案、人员等内容；合作过程所了解到的对方的经营管理、人事、技术等信息。</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14.2.2负有保密义务的人员范围：乙方（联合体）的工作人员和关联部门、单位人员。</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14.2.3保密期限：本合同签订至合同终止后2年。</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14.2.4泄密责任：赔偿因违反保密义务造成的经济损失。</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14.3：</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14.3.1保密内容（包括技术信息和经营信息）：项目所涉及的文件、资料、流程、设计方案、人员等内容；合作过程所了解到的对方的经营管理、人事、技术等信息。</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14.3.2负有保密义务的人员范围：的工作人员和关联部门、单位人员。</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14.3.3保密期限：本合同签订至合同终止后2年。</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14.3.4泄密责任：赔偿因违反保密义务造成的经济损失。</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争议的解决</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因本合同的履行、解释、违约、终止、中止、效力等引起的任何争议、纠纷，本合同各方应友好协商解决。如在一方提出书面协商请求后15日内各方无法达成一致，各方同意选择以下第2种方式解决争议：</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1．调解／诉讼／仲裁</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(a)任何一方均可向</w:t>
      </w:r>
      <w:r>
        <w:rPr>
          <w:rFonts w:hint="eastAsia" w:ascii="仿宋" w:hAnsi="仿宋" w:eastAsia="仿宋" w:cs="仿宋"/>
          <w:color w:val="auto"/>
          <w:kern w:val="2"/>
          <w:sz w:val="24"/>
          <w:szCs w:val="24"/>
          <w:highlight w:val="none"/>
          <w:u w:val="single"/>
          <w:lang w:val="en-US" w:eastAsia="zh-CN" w:bidi="ar-SA"/>
        </w:rPr>
        <w:t>天津市节能协会</w:t>
      </w:r>
      <w:r>
        <w:rPr>
          <w:rFonts w:hint="eastAsia" w:ascii="仿宋" w:hAnsi="仿宋" w:eastAsia="仿宋" w:cs="仿宋"/>
          <w:color w:val="auto"/>
          <w:kern w:val="2"/>
          <w:sz w:val="24"/>
          <w:szCs w:val="24"/>
          <w:highlight w:val="none"/>
          <w:lang w:val="en-US" w:eastAsia="zh-CN" w:bidi="ar-SA"/>
        </w:rPr>
        <w:t>（双方同意的第三方机构）或双方另行同意的第三方机构提出申请，由其作为独立的第三方就争议进行调查和调解，并出具调解协议，另一方应当在</w:t>
      </w:r>
      <w:r>
        <w:rPr>
          <w:rFonts w:hint="eastAsia" w:ascii="仿宋" w:hAnsi="仿宋" w:eastAsia="仿宋" w:cs="仿宋"/>
          <w:color w:val="auto"/>
          <w:kern w:val="2"/>
          <w:sz w:val="24"/>
          <w:szCs w:val="24"/>
          <w:highlight w:val="none"/>
          <w:u w:val="single"/>
          <w:lang w:val="en-US" w:eastAsia="zh-CN" w:bidi="ar-SA"/>
        </w:rPr>
        <w:t>30日</w:t>
      </w:r>
      <w:r>
        <w:rPr>
          <w:rFonts w:hint="eastAsia" w:ascii="仿宋" w:hAnsi="仿宋" w:eastAsia="仿宋" w:cs="仿宋"/>
          <w:color w:val="auto"/>
          <w:kern w:val="2"/>
          <w:sz w:val="24"/>
          <w:szCs w:val="24"/>
          <w:highlight w:val="none"/>
          <w:lang w:val="en-US" w:eastAsia="zh-CN" w:bidi="ar-SA"/>
        </w:rPr>
        <w:t>内同意接受该调查和调解。双方应根据第三方机构的要求提供所有必要的数据、资料，并接受其实地调查。</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(b)如果各方无法对第三方机构的选择达成一致，或者在一方书面提起调解申请后的45日内无法达成调解协议，各方同意采取向</w:t>
      </w:r>
      <w:r>
        <w:rPr>
          <w:rFonts w:hint="eastAsia" w:ascii="仿宋" w:hAnsi="仿宋" w:eastAsia="仿宋" w:cs="仿宋"/>
          <w:color w:val="auto"/>
          <w:kern w:val="2"/>
          <w:sz w:val="24"/>
          <w:szCs w:val="24"/>
          <w:highlight w:val="none"/>
          <w:u w:val="single"/>
          <w:lang w:val="en-US" w:eastAsia="zh-CN" w:bidi="ar-SA"/>
        </w:rPr>
        <w:t>天津市仲裁委员会</w:t>
      </w:r>
      <w:r>
        <w:rPr>
          <w:rFonts w:hint="eastAsia" w:ascii="仿宋" w:hAnsi="仿宋" w:eastAsia="仿宋" w:cs="仿宋"/>
          <w:color w:val="auto"/>
          <w:kern w:val="2"/>
          <w:sz w:val="24"/>
          <w:szCs w:val="24"/>
          <w:highlight w:val="none"/>
          <w:lang w:val="en-US" w:eastAsia="zh-CN" w:bidi="ar-SA"/>
        </w:rPr>
        <w:t>申请仲裁方式最终解决争议。</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c)如果调解的被申请方不依照上述(a)段的规定接受调解，或者任何一方对达成的调解协议拒不执行，则无论依照(b)段选择的争议解决方式达成的结果如何，该拒绝接受调解或者拒绝履行调解协议的一方都应承担对方为解决争议所产生的所有费用，包括律师费、调解费以及仲裁费／诉讼费。</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2．诉讼／仲裁</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各方同意不经由调解程序，直接采取向甲方所在地人民法院提起诉讼最终解决争议。</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保险</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16.1各方约定按以下方式购买保险： 乙方（联合体）购买本项目财产和施工人员保险       </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16.2各方应协商避免重复投保，并在合同签订后告知对方已有的或准备进行的相关项目、财产和人员的投保情况。</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知识产权</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本合同涉及的专利实施许可和技术秘密许可，双方约定如下：</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17.1 乙方（联合体）保证本项目所涉及的各项专利、核心产品、知识产权等不存在任何争议；</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17.2 甲方、应履行14.1中的约定，对乙方（联合体）的各项技术进行维护和保密。</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费用的分担</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18.1双方应当各自承担谈判和订立本合同的花费。</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18.2除非本合同下的其他条款另有规定，双方应当各自承担履行本协议下义务的费用。</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18.3受限于第18.2条的规定，除非本合同下的其他条款或附件另有规定，则乙方（联合体）应当负责本项目的投资，并承担本项目的方案设计、建设、运营、监测的所有费用，包括项目所需设备、设施、技术购置、更换的费用。</w:t>
      </w:r>
    </w:p>
    <w:p>
      <w:pPr>
        <w:keepNext/>
        <w:keepLines/>
        <w:widowControl w:val="0"/>
        <w:numPr>
          <w:ilvl w:val="1"/>
          <w:numId w:val="1"/>
        </w:numPr>
        <w:spacing w:before="156" w:beforeLines="50" w:after="156" w:afterLines="50"/>
        <w:ind w:firstLine="480" w:firstLineChars="200"/>
        <w:jc w:val="left"/>
        <w:outlineLvl w:val="1"/>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合同的生效及其他</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19.1项目联系人职责如下：</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19.2一方变更项目联系人的，应在五日内以书面形式通知另一方。如未及时通知并影响本合同履行或造成损失的，当事方应承担相应的责任。</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19.3本合同下的通知应当用专人递交、挂号信、快递、电报、电传、传真或者电子邮件的方式发送至本合同开头所列的地址。如该通知以口头发出，则应在十日内以书面方式向对方确认。如一方联系地址改变，则应当在五个工作日内书面告知对方。本合同中所列的地址即为甲、乙、丙各方的收件地址。</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19.4本合同附件是属于本合同完整的一部分，如附件部分内容如与合同正文不一致，优先适用合同附件的规定。</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19.5本合同的修改应采取书面方式。</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19.6本合同可由双方通过传真签署，经授权代表签字的合同的传真件具有与原件同样的效力。</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19.7本合同自各方授权代表签字并盖章之日起生效。合同文本一式六份，具有同等法律效力，双方各执两份。</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19.8 双方签订的《技术协议》与本合同具有同等法律效力。</w:t>
      </w:r>
    </w:p>
    <w:p>
      <w:pPr>
        <w:widowControl/>
        <w:jc w:val="left"/>
        <w:rPr>
          <w:rFonts w:hint="eastAsia" w:ascii="仿宋" w:hAnsi="仿宋" w:eastAsia="仿宋" w:cs="仿宋"/>
          <w:color w:val="auto"/>
          <w:kern w:val="2"/>
          <w:sz w:val="24"/>
          <w:szCs w:val="24"/>
          <w:highlight w:val="none"/>
        </w:rPr>
      </w:pPr>
    </w:p>
    <w:p>
      <w:pPr>
        <w:widowControl/>
        <w:jc w:val="left"/>
        <w:rPr>
          <w:rFonts w:hint="eastAsia" w:ascii="仿宋" w:hAnsi="仿宋" w:eastAsia="仿宋" w:cs="仿宋"/>
          <w:color w:val="auto"/>
          <w:kern w:val="2"/>
          <w:sz w:val="24"/>
          <w:szCs w:val="24"/>
          <w:highlight w:val="none"/>
        </w:rPr>
      </w:pPr>
    </w:p>
    <w:p>
      <w:pPr>
        <w:widowControl/>
        <w:jc w:val="left"/>
        <w:rPr>
          <w:rFonts w:hint="eastAsia" w:ascii="仿宋" w:hAnsi="仿宋" w:eastAsia="仿宋" w:cs="仿宋"/>
          <w:color w:val="auto"/>
          <w:kern w:val="2"/>
          <w:sz w:val="24"/>
          <w:szCs w:val="24"/>
          <w:highlight w:val="none"/>
        </w:rPr>
      </w:pP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签字盖章页，以下无正文</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法人代表： </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授权代表签字： </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地址： </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电话：             传真： </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开户行： </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  税号：</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乙方（联合体牵头人）：法人代表： </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授权代表签字：</w:t>
      </w:r>
    </w:p>
    <w:p>
      <w:pPr>
        <w:widowControl w:val="0"/>
        <w:ind w:firstLine="480" w:firstLineChars="200"/>
        <w:jc w:val="both"/>
        <w:rPr>
          <w:rFonts w:hint="eastAsia" w:ascii="仿宋" w:hAnsi="仿宋" w:eastAsia="仿宋" w:cs="仿宋"/>
          <w:bCs/>
          <w:color w:val="auto"/>
          <w:kern w:val="0"/>
          <w:sz w:val="24"/>
          <w:szCs w:val="24"/>
          <w:highlight w:val="none"/>
          <w:lang w:eastAsia="zh-CN"/>
        </w:rPr>
      </w:pPr>
      <w:r>
        <w:rPr>
          <w:rFonts w:hint="eastAsia" w:ascii="仿宋" w:hAnsi="仿宋" w:eastAsia="仿宋" w:cs="仿宋"/>
          <w:color w:val="auto"/>
          <w:kern w:val="2"/>
          <w:sz w:val="24"/>
          <w:szCs w:val="24"/>
          <w:highlight w:val="none"/>
          <w:lang w:val="en-US" w:eastAsia="zh-CN" w:bidi="ar-SA"/>
        </w:rPr>
        <w:t>地址：</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传真：</w:t>
      </w:r>
    </w:p>
    <w:p>
      <w:pPr>
        <w:widowControl w:val="0"/>
        <w:ind w:firstLine="480" w:firstLineChars="200"/>
        <w:jc w:val="both"/>
        <w:rPr>
          <w:rFonts w:hint="eastAsia" w:ascii="仿宋" w:hAnsi="仿宋" w:eastAsia="仿宋" w:cs="仿宋"/>
          <w:bCs/>
          <w:color w:val="auto"/>
          <w:kern w:val="0"/>
          <w:sz w:val="24"/>
          <w:szCs w:val="24"/>
          <w:highlight w:val="none"/>
          <w:lang w:eastAsia="zh-CN"/>
        </w:rPr>
      </w:pPr>
      <w:r>
        <w:rPr>
          <w:rFonts w:hint="eastAsia" w:ascii="仿宋" w:hAnsi="仿宋" w:eastAsia="仿宋" w:cs="仿宋"/>
          <w:color w:val="auto"/>
          <w:kern w:val="2"/>
          <w:sz w:val="24"/>
          <w:szCs w:val="24"/>
          <w:highlight w:val="none"/>
          <w:lang w:val="en-US" w:eastAsia="zh-CN" w:bidi="ar-SA"/>
        </w:rPr>
        <w:t>开户行：</w:t>
      </w:r>
    </w:p>
    <w:p>
      <w:pPr>
        <w:ind w:firstLine="480" w:firstLineChars="200"/>
        <w:rPr>
          <w:rFonts w:hint="default" w:ascii="仿宋" w:hAnsi="仿宋" w:eastAsia="仿宋" w:cs="仿宋"/>
          <w:bCs/>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账号：</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税号：</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乙方（联合体成员）：法人代表：</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授权代表签字：</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地址：</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传真：</w:t>
      </w:r>
    </w:p>
    <w:p>
      <w:pPr>
        <w:widowControl w:val="0"/>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w:t>
      </w:r>
    </w:p>
    <w:p>
      <w:pPr>
        <w:widowControl w:val="0"/>
        <w:ind w:firstLine="480" w:firstLineChars="200"/>
        <w:jc w:val="both"/>
        <w:rPr>
          <w:rFonts w:hint="default" w:ascii="仿宋" w:hAnsi="仿宋" w:eastAsia="仿宋" w:cs="仿宋"/>
          <w:color w:val="auto"/>
          <w:kern w:val="2"/>
          <w:sz w:val="28"/>
          <w:szCs w:val="22"/>
          <w:highlight w:val="none"/>
          <w:lang w:val="en-US" w:eastAsia="zh-CN" w:bidi="ar-SA"/>
        </w:rPr>
      </w:pPr>
      <w:r>
        <w:rPr>
          <w:rFonts w:hint="eastAsia" w:ascii="仿宋" w:hAnsi="仿宋" w:eastAsia="仿宋" w:cs="仿宋"/>
          <w:color w:val="auto"/>
          <w:kern w:val="2"/>
          <w:sz w:val="24"/>
          <w:szCs w:val="24"/>
          <w:highlight w:val="none"/>
          <w:lang w:val="en-US" w:eastAsia="zh-CN" w:bidi="ar-SA"/>
        </w:rPr>
        <w:t>账号：</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税号：</w:t>
      </w:r>
    </w:p>
    <w:p>
      <w:pPr>
        <w:pStyle w:val="2"/>
        <w:spacing w:line="560" w:lineRule="exact"/>
        <w:jc w:val="center"/>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Cs w:val="20"/>
          <w:highlight w:val="none"/>
        </w:rPr>
        <w:br w:type="page"/>
      </w:r>
      <w:r>
        <w:rPr>
          <w:rFonts w:hint="eastAsia" w:ascii="仿宋" w:hAnsi="仿宋" w:eastAsia="仿宋" w:cs="仿宋"/>
          <w:b w:val="0"/>
          <w:bCs w:val="0"/>
          <w:color w:val="auto"/>
          <w:kern w:val="0"/>
          <w:sz w:val="24"/>
          <w:szCs w:val="24"/>
          <w:highlight w:val="none"/>
          <w:u w:val="none"/>
          <w:lang w:val="en"/>
        </w:rPr>
        <w:t>阳光</w:t>
      </w:r>
      <w:r>
        <w:rPr>
          <w:rFonts w:hint="eastAsia" w:ascii="仿宋" w:hAnsi="仿宋" w:eastAsia="仿宋" w:cs="仿宋"/>
          <w:b w:val="0"/>
          <w:bCs w:val="0"/>
          <w:color w:val="auto"/>
          <w:kern w:val="0"/>
          <w:sz w:val="24"/>
          <w:szCs w:val="24"/>
          <w:highlight w:val="none"/>
          <w:u w:val="none"/>
        </w:rPr>
        <w:t>协议</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rPr>
        <w:t>甲方（</w:t>
      </w:r>
      <w:r>
        <w:rPr>
          <w:rFonts w:hint="eastAsia" w:ascii="仿宋" w:hAnsi="仿宋" w:eastAsia="仿宋" w:cs="仿宋"/>
          <w:color w:val="auto"/>
          <w:kern w:val="0"/>
          <w:sz w:val="24"/>
          <w:szCs w:val="24"/>
          <w:highlight w:val="none"/>
          <w:u w:val="none"/>
          <w:lang w:eastAsia="zh-CN"/>
        </w:rPr>
        <w:t>采购人、招标人、</w:t>
      </w:r>
      <w:r>
        <w:rPr>
          <w:rFonts w:hint="eastAsia" w:ascii="仿宋" w:hAnsi="仿宋" w:eastAsia="仿宋" w:cs="仿宋"/>
          <w:color w:val="auto"/>
          <w:kern w:val="0"/>
          <w:sz w:val="24"/>
          <w:szCs w:val="24"/>
          <w:highlight w:val="none"/>
          <w:u w:val="none"/>
        </w:rPr>
        <w:t>发包单位）：</w:t>
      </w:r>
      <w:r>
        <w:rPr>
          <w:rFonts w:hint="eastAsia" w:ascii="仿宋" w:hAnsi="仿宋" w:eastAsia="仿宋" w:cs="仿宋"/>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rPr>
        <w:t>乙方（</w:t>
      </w:r>
      <w:r>
        <w:rPr>
          <w:rFonts w:hint="eastAsia" w:ascii="仿宋" w:hAnsi="仿宋" w:eastAsia="仿宋" w:cs="仿宋"/>
          <w:color w:val="auto"/>
          <w:kern w:val="0"/>
          <w:sz w:val="24"/>
          <w:szCs w:val="24"/>
          <w:highlight w:val="none"/>
          <w:u w:val="none"/>
          <w:lang w:eastAsia="zh-CN"/>
        </w:rPr>
        <w:t>投标人、</w:t>
      </w:r>
      <w:r>
        <w:rPr>
          <w:rFonts w:hint="eastAsia" w:ascii="仿宋" w:hAnsi="仿宋" w:eastAsia="仿宋" w:cs="仿宋"/>
          <w:color w:val="auto"/>
          <w:kern w:val="0"/>
          <w:sz w:val="24"/>
          <w:szCs w:val="24"/>
          <w:highlight w:val="none"/>
          <w:u w:val="none"/>
        </w:rPr>
        <w:t>承包单位）：</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为进一步加强</w:t>
      </w:r>
      <w:r>
        <w:rPr>
          <w:rFonts w:hint="eastAsia" w:ascii="仿宋" w:hAnsi="仿宋" w:eastAsia="仿宋" w:cs="仿宋"/>
          <w:color w:val="auto"/>
          <w:kern w:val="0"/>
          <w:sz w:val="24"/>
          <w:szCs w:val="24"/>
          <w:highlight w:val="none"/>
          <w:u w:val="none"/>
          <w:lang w:val="en-US" w:eastAsia="zh-CN"/>
        </w:rPr>
        <w:t>行政事业单位及国有企业使用</w:t>
      </w:r>
      <w:r>
        <w:rPr>
          <w:rFonts w:hint="eastAsia" w:ascii="仿宋" w:hAnsi="仿宋" w:eastAsia="仿宋" w:cs="仿宋"/>
          <w:color w:val="auto"/>
          <w:kern w:val="0"/>
          <w:sz w:val="24"/>
          <w:szCs w:val="24"/>
          <w:highlight w:val="none"/>
          <w:u w:val="none"/>
        </w:rPr>
        <w:t>财政资金、国有资金购买</w:t>
      </w:r>
      <w:r>
        <w:rPr>
          <w:rFonts w:hint="eastAsia" w:ascii="仿宋" w:hAnsi="仿宋" w:eastAsia="仿宋" w:cs="仿宋"/>
          <w:color w:val="auto"/>
          <w:kern w:val="0"/>
          <w:sz w:val="24"/>
          <w:szCs w:val="24"/>
          <w:highlight w:val="none"/>
          <w:u w:val="none"/>
          <w:lang w:eastAsia="zh-CN"/>
        </w:rPr>
        <w:t>货物、</w:t>
      </w:r>
      <w:r>
        <w:rPr>
          <w:rFonts w:hint="eastAsia" w:ascii="仿宋" w:hAnsi="仿宋" w:eastAsia="仿宋" w:cs="仿宋"/>
          <w:color w:val="auto"/>
          <w:kern w:val="0"/>
          <w:sz w:val="24"/>
          <w:szCs w:val="24"/>
          <w:highlight w:val="none"/>
          <w:u w:val="none"/>
        </w:rPr>
        <w:t>服务</w:t>
      </w:r>
      <w:r>
        <w:rPr>
          <w:rFonts w:hint="eastAsia" w:ascii="仿宋" w:hAnsi="仿宋" w:eastAsia="仿宋" w:cs="仿宋"/>
          <w:color w:val="auto"/>
          <w:kern w:val="0"/>
          <w:sz w:val="24"/>
          <w:szCs w:val="24"/>
          <w:highlight w:val="none"/>
          <w:u w:val="none"/>
          <w:lang w:eastAsia="zh-CN"/>
        </w:rPr>
        <w:t>和工程建设（</w:t>
      </w:r>
      <w:r>
        <w:rPr>
          <w:rFonts w:hint="eastAsia" w:ascii="仿宋" w:hAnsi="仿宋" w:eastAsia="仿宋" w:cs="仿宋"/>
          <w:color w:val="auto"/>
          <w:kern w:val="0"/>
          <w:sz w:val="24"/>
          <w:szCs w:val="24"/>
          <w:highlight w:val="none"/>
          <w:u w:val="none"/>
          <w:lang w:val="en-US" w:eastAsia="zh-CN"/>
        </w:rPr>
        <w:t>包括</w:t>
      </w:r>
      <w:r>
        <w:rPr>
          <w:rFonts w:hint="eastAsia" w:ascii="仿宋" w:hAnsi="仿宋" w:eastAsia="仿宋" w:cs="仿宋"/>
          <w:color w:val="auto"/>
          <w:kern w:val="0"/>
          <w:sz w:val="24"/>
          <w:szCs w:val="24"/>
          <w:highlight w:val="none"/>
          <w:u w:val="none"/>
        </w:rPr>
        <w:t>国有企事业单位投资以及由国有企事业单位控腔投资的工程项目</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rPr>
        <w:t>领域廉政管理</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rPr>
        <w:t>保证</w:t>
      </w:r>
      <w:r>
        <w:rPr>
          <w:rFonts w:hint="eastAsia" w:ascii="仿宋" w:hAnsi="仿宋" w:eastAsia="仿宋" w:cs="仿宋"/>
          <w:color w:val="auto"/>
          <w:kern w:val="0"/>
          <w:sz w:val="24"/>
          <w:szCs w:val="24"/>
          <w:highlight w:val="none"/>
          <w:u w:val="none"/>
          <w:lang w:val="en-US" w:eastAsia="zh-CN"/>
        </w:rPr>
        <w:t>项目</w:t>
      </w:r>
      <w:r>
        <w:rPr>
          <w:rFonts w:hint="eastAsia" w:ascii="仿宋" w:hAnsi="仿宋" w:eastAsia="仿宋" w:cs="仿宋"/>
          <w:color w:val="auto"/>
          <w:kern w:val="0"/>
          <w:sz w:val="24"/>
          <w:szCs w:val="24"/>
          <w:highlight w:val="none"/>
          <w:u w:val="none"/>
        </w:rPr>
        <w:t>顺利进行，防止腐败问题的发生，根据国家和天津市</w:t>
      </w:r>
      <w:r>
        <w:rPr>
          <w:rFonts w:hint="eastAsia" w:ascii="仿宋" w:hAnsi="仿宋" w:eastAsia="仿宋" w:cs="仿宋"/>
          <w:color w:val="auto"/>
          <w:kern w:val="0"/>
          <w:sz w:val="24"/>
          <w:szCs w:val="24"/>
          <w:highlight w:val="none"/>
          <w:u w:val="none"/>
          <w:lang w:val="en-US" w:eastAsia="zh-CN"/>
        </w:rPr>
        <w:t>以及东丽区</w:t>
      </w:r>
      <w:r>
        <w:rPr>
          <w:rFonts w:hint="eastAsia" w:ascii="仿宋" w:hAnsi="仿宋" w:eastAsia="仿宋" w:cs="仿宋"/>
          <w:color w:val="auto"/>
          <w:kern w:val="0"/>
          <w:sz w:val="24"/>
          <w:szCs w:val="24"/>
          <w:highlight w:val="none"/>
          <w:u w:val="none"/>
        </w:rPr>
        <w:t>关于加强对</w:t>
      </w:r>
      <w:r>
        <w:rPr>
          <w:rFonts w:hint="eastAsia" w:ascii="仿宋" w:hAnsi="仿宋" w:eastAsia="仿宋" w:cs="仿宋"/>
          <w:color w:val="auto"/>
          <w:kern w:val="0"/>
          <w:sz w:val="24"/>
          <w:szCs w:val="24"/>
          <w:highlight w:val="none"/>
          <w:u w:val="none"/>
          <w:lang w:val="en-US" w:eastAsia="zh-CN"/>
        </w:rPr>
        <w:t>货物、服务采购和</w:t>
      </w:r>
      <w:r>
        <w:rPr>
          <w:rFonts w:hint="eastAsia" w:ascii="仿宋" w:hAnsi="仿宋" w:eastAsia="仿宋" w:cs="仿宋"/>
          <w:color w:val="auto"/>
          <w:kern w:val="0"/>
          <w:sz w:val="24"/>
          <w:szCs w:val="24"/>
          <w:highlight w:val="none"/>
          <w:u w:val="none"/>
        </w:rPr>
        <w:t>工程建设活动监督管理</w:t>
      </w:r>
      <w:r>
        <w:rPr>
          <w:rFonts w:hint="eastAsia" w:ascii="仿宋" w:hAnsi="仿宋" w:eastAsia="仿宋" w:cs="仿宋"/>
          <w:color w:val="auto"/>
          <w:kern w:val="0"/>
          <w:sz w:val="24"/>
          <w:szCs w:val="24"/>
          <w:highlight w:val="none"/>
          <w:u w:val="none"/>
          <w:lang w:val="en-US" w:eastAsia="zh-CN"/>
        </w:rPr>
        <w:t>及</w:t>
      </w:r>
      <w:r>
        <w:rPr>
          <w:rFonts w:hint="eastAsia" w:ascii="仿宋" w:hAnsi="仿宋" w:eastAsia="仿宋" w:cs="仿宋"/>
          <w:color w:val="auto"/>
          <w:kern w:val="0"/>
          <w:sz w:val="24"/>
          <w:szCs w:val="24"/>
          <w:highlight w:val="none"/>
          <w:u w:val="none"/>
        </w:rPr>
        <w:t>廉政建设的各项规定，</w:t>
      </w:r>
      <w:r>
        <w:rPr>
          <w:rFonts w:hint="eastAsia" w:ascii="仿宋" w:hAnsi="仿宋" w:eastAsia="仿宋" w:cs="仿宋"/>
          <w:color w:val="auto"/>
          <w:kern w:val="0"/>
          <w:sz w:val="24"/>
          <w:szCs w:val="24"/>
          <w:highlight w:val="none"/>
          <w:u w:val="none"/>
          <w:lang w:eastAsia="zh-CN"/>
        </w:rPr>
        <w:t>经双方协商一致，</w:t>
      </w:r>
      <w:r>
        <w:rPr>
          <w:rFonts w:hint="eastAsia" w:ascii="仿宋" w:hAnsi="仿宋" w:eastAsia="仿宋" w:cs="仿宋"/>
          <w:color w:val="auto"/>
          <w:kern w:val="0"/>
          <w:sz w:val="24"/>
          <w:szCs w:val="24"/>
          <w:highlight w:val="none"/>
          <w:u w:val="none"/>
        </w:rPr>
        <w:t>订立协议如下：</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一、甲乙双方应严格遵守国家的法律法规和</w:t>
      </w:r>
      <w:r>
        <w:rPr>
          <w:rFonts w:hint="eastAsia" w:ascii="仿宋" w:hAnsi="仿宋" w:eastAsia="仿宋" w:cs="仿宋"/>
          <w:color w:val="auto"/>
          <w:kern w:val="0"/>
          <w:sz w:val="24"/>
          <w:szCs w:val="24"/>
          <w:highlight w:val="none"/>
          <w:u w:val="none"/>
          <w:lang w:val="en-US" w:eastAsia="zh-CN"/>
        </w:rPr>
        <w:t>天津市以及东丽区</w:t>
      </w:r>
      <w:r>
        <w:rPr>
          <w:rFonts w:hint="eastAsia" w:ascii="仿宋" w:hAnsi="仿宋" w:eastAsia="仿宋" w:cs="仿宋"/>
          <w:color w:val="auto"/>
          <w:kern w:val="0"/>
          <w:sz w:val="24"/>
          <w:szCs w:val="24"/>
          <w:highlight w:val="none"/>
          <w:u w:val="none"/>
        </w:rPr>
        <w:t>有关廉政建设的各项规定。</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kern w:val="0"/>
          <w:sz w:val="24"/>
          <w:szCs w:val="24"/>
          <w:highlight w:val="none"/>
          <w:u w:val="none"/>
        </w:rPr>
        <w:t xml:space="preserve">    </w:t>
      </w:r>
      <w:r>
        <w:rPr>
          <w:rFonts w:hint="eastAsia" w:ascii="仿宋" w:hAnsi="仿宋" w:eastAsia="仿宋" w:cs="仿宋"/>
          <w:color w:val="auto"/>
          <w:kern w:val="0"/>
          <w:sz w:val="24"/>
          <w:szCs w:val="24"/>
          <w:highlight w:val="none"/>
          <w:u w:val="none"/>
          <w:lang w:eastAsia="zh-CN"/>
        </w:rPr>
        <w:t>二</w:t>
      </w:r>
      <w:r>
        <w:rPr>
          <w:rFonts w:hint="eastAsia" w:ascii="仿宋" w:hAnsi="仿宋" w:eastAsia="仿宋" w:cs="仿宋"/>
          <w:color w:val="auto"/>
          <w:kern w:val="0"/>
          <w:sz w:val="24"/>
          <w:szCs w:val="24"/>
          <w:highlight w:val="none"/>
          <w:u w:val="none"/>
        </w:rPr>
        <w:t>、甲方及其工作人员要保持与乙方的正常业务交往，不得以任何形式向乙方索要和收受回扣等好处费；不得收受乙方的礼金、有价证券和贵重物品</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rPr>
        <w:t>不得在乙方报销任何应由个人支付的费用；不得要求或者接受乙方为其住房装修、婚丧嫁娶、家属和子女的工作安排以及出国出境、旅游等提供方便，以及对</w:t>
      </w:r>
      <w:r>
        <w:rPr>
          <w:rFonts w:hint="eastAsia" w:ascii="仿宋" w:hAnsi="仿宋" w:eastAsia="仿宋" w:cs="仿宋"/>
          <w:color w:val="auto"/>
          <w:kern w:val="0"/>
          <w:sz w:val="24"/>
          <w:szCs w:val="24"/>
          <w:highlight w:val="none"/>
          <w:u w:val="none"/>
          <w:lang w:eastAsia="zh-CN"/>
        </w:rPr>
        <w:t>采购的货物、服务</w:t>
      </w:r>
      <w:r>
        <w:rPr>
          <w:rFonts w:hint="eastAsia" w:ascii="仿宋" w:hAnsi="仿宋" w:eastAsia="仿宋" w:cs="仿宋"/>
          <w:color w:val="auto"/>
          <w:kern w:val="0"/>
          <w:sz w:val="24"/>
          <w:szCs w:val="24"/>
          <w:highlight w:val="none"/>
          <w:u w:val="none"/>
          <w:lang w:val="en-US" w:eastAsia="zh-CN"/>
        </w:rPr>
        <w:t>和</w:t>
      </w:r>
      <w:r>
        <w:rPr>
          <w:rFonts w:hint="eastAsia" w:ascii="仿宋" w:hAnsi="仿宋" w:eastAsia="仿宋" w:cs="仿宋"/>
          <w:color w:val="auto"/>
          <w:kern w:val="0"/>
          <w:sz w:val="24"/>
          <w:szCs w:val="24"/>
          <w:highlight w:val="none"/>
          <w:u w:val="none"/>
        </w:rPr>
        <w:t>工程建设有影响的宴请和娱乐活动；不得以任何理由向乙方推荐分包单位，指定</w:t>
      </w:r>
      <w:r>
        <w:rPr>
          <w:rFonts w:hint="eastAsia" w:ascii="仿宋" w:hAnsi="仿宋" w:eastAsia="仿宋" w:cs="仿宋"/>
          <w:color w:val="auto"/>
          <w:kern w:val="0"/>
          <w:sz w:val="24"/>
          <w:szCs w:val="24"/>
          <w:highlight w:val="none"/>
          <w:u w:val="none"/>
          <w:lang w:val="en-US" w:eastAsia="zh-CN"/>
        </w:rPr>
        <w:t>货物、</w:t>
      </w:r>
      <w:r>
        <w:rPr>
          <w:rFonts w:hint="eastAsia" w:ascii="仿宋" w:hAnsi="仿宋" w:eastAsia="仿宋" w:cs="仿宋"/>
          <w:color w:val="auto"/>
          <w:kern w:val="0"/>
          <w:sz w:val="24"/>
          <w:szCs w:val="24"/>
          <w:highlight w:val="none"/>
          <w:u w:val="none"/>
        </w:rPr>
        <w:t>材料生产厂和</w:t>
      </w:r>
      <w:r>
        <w:rPr>
          <w:rFonts w:hint="eastAsia" w:ascii="仿宋" w:hAnsi="仿宋" w:eastAsia="仿宋" w:cs="仿宋"/>
          <w:color w:val="auto"/>
          <w:kern w:val="0"/>
          <w:sz w:val="24"/>
          <w:szCs w:val="24"/>
          <w:highlight w:val="none"/>
          <w:u w:val="none"/>
          <w:lang w:eastAsia="zh-CN"/>
        </w:rPr>
        <w:t>投标人</w:t>
      </w:r>
      <w:r>
        <w:rPr>
          <w:rFonts w:hint="eastAsia" w:ascii="仿宋" w:hAnsi="仿宋" w:eastAsia="仿宋" w:cs="仿宋"/>
          <w:color w:val="auto"/>
          <w:kern w:val="0"/>
          <w:sz w:val="24"/>
          <w:szCs w:val="24"/>
          <w:highlight w:val="none"/>
          <w:u w:val="none"/>
        </w:rPr>
        <w:t>，推销产品；不得要求乙方购买合同规定外的材料和设备。</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kern w:val="0"/>
          <w:sz w:val="24"/>
          <w:szCs w:val="24"/>
          <w:highlight w:val="none"/>
          <w:u w:val="none"/>
        </w:rPr>
        <w:t xml:space="preserve">    三、乙方不得以任何理由向甲方及其工作人员馈赠礼金、礼品、有价证券；不得以任何名义为甲方及其工作人员报销应由甲方单位或个人支付的任何费用；不得以洽谈业务、签定经济合同为借口，邀请甲方工作人员外出旅游或高消费娱乐；不得为甲方单位和个人购置或提供通讯工具、交通工具和高</w:t>
      </w:r>
      <w:r>
        <w:rPr>
          <w:rFonts w:hint="eastAsia" w:ascii="仿宋" w:hAnsi="仿宋" w:eastAsia="仿宋" w:cs="仿宋"/>
          <w:color w:val="auto"/>
          <w:kern w:val="0"/>
          <w:sz w:val="24"/>
          <w:szCs w:val="24"/>
          <w:highlight w:val="none"/>
          <w:u w:val="none"/>
          <w:lang w:val="en-US" w:eastAsia="zh-CN"/>
        </w:rPr>
        <w:t>档</w:t>
      </w:r>
      <w:r>
        <w:rPr>
          <w:rFonts w:hint="eastAsia" w:ascii="仿宋" w:hAnsi="仿宋" w:eastAsia="仿宋" w:cs="仿宋"/>
          <w:color w:val="auto"/>
          <w:kern w:val="0"/>
          <w:sz w:val="24"/>
          <w:szCs w:val="24"/>
          <w:highlight w:val="none"/>
          <w:u w:val="none"/>
        </w:rPr>
        <w:t>办公用品等；不得未经</w:t>
      </w:r>
      <w:r>
        <w:rPr>
          <w:rFonts w:hint="eastAsia" w:ascii="仿宋" w:hAnsi="仿宋" w:eastAsia="仿宋" w:cs="仿宋"/>
          <w:color w:val="auto"/>
          <w:kern w:val="0"/>
          <w:sz w:val="24"/>
          <w:szCs w:val="24"/>
          <w:highlight w:val="none"/>
          <w:u w:val="none"/>
          <w:lang w:val="en-US" w:eastAsia="zh-CN"/>
        </w:rPr>
        <w:t>采购或</w:t>
      </w:r>
      <w:r>
        <w:rPr>
          <w:rFonts w:hint="eastAsia" w:ascii="仿宋" w:hAnsi="仿宋" w:eastAsia="仿宋" w:cs="仿宋"/>
          <w:color w:val="auto"/>
          <w:kern w:val="0"/>
          <w:sz w:val="24"/>
          <w:szCs w:val="24"/>
          <w:highlight w:val="none"/>
          <w:u w:val="none"/>
        </w:rPr>
        <w:t>招投标</w:t>
      </w:r>
      <w:r>
        <w:rPr>
          <w:rFonts w:hint="eastAsia" w:ascii="仿宋" w:hAnsi="仿宋" w:eastAsia="仿宋" w:cs="仿宋"/>
          <w:color w:val="auto"/>
          <w:kern w:val="0"/>
          <w:sz w:val="24"/>
          <w:szCs w:val="24"/>
          <w:highlight w:val="none"/>
          <w:u w:val="none"/>
          <w:lang w:val="en-US" w:eastAsia="zh-CN"/>
        </w:rPr>
        <w:t>程序</w:t>
      </w:r>
      <w:r>
        <w:rPr>
          <w:rFonts w:hint="eastAsia" w:ascii="仿宋" w:hAnsi="仿宋" w:eastAsia="仿宋" w:cs="仿宋"/>
          <w:color w:val="auto"/>
          <w:kern w:val="0"/>
          <w:sz w:val="24"/>
          <w:szCs w:val="24"/>
          <w:highlight w:val="none"/>
          <w:u w:val="none"/>
        </w:rPr>
        <w:t>而使用甲方指定的分包</w:t>
      </w:r>
      <w:r>
        <w:rPr>
          <w:rFonts w:hint="eastAsia" w:ascii="仿宋" w:hAnsi="仿宋" w:eastAsia="仿宋" w:cs="仿宋"/>
          <w:color w:val="auto"/>
          <w:kern w:val="0"/>
          <w:sz w:val="24"/>
          <w:szCs w:val="24"/>
          <w:highlight w:val="none"/>
          <w:u w:val="none"/>
          <w:lang w:val="en-US" w:eastAsia="zh-CN"/>
        </w:rPr>
        <w:t>方</w:t>
      </w:r>
      <w:r>
        <w:rPr>
          <w:rFonts w:hint="eastAsia" w:ascii="仿宋" w:hAnsi="仿宋" w:eastAsia="仿宋" w:cs="仿宋"/>
          <w:color w:val="auto"/>
          <w:kern w:val="0"/>
          <w:sz w:val="24"/>
          <w:szCs w:val="24"/>
          <w:highlight w:val="none"/>
          <w:u w:val="none"/>
        </w:rPr>
        <w:t>和材料</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lang w:val="en-US" w:eastAsia="zh-CN"/>
        </w:rPr>
        <w:t>设备</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rPr>
        <w:t>不为谋取不正当利益，擅自与甲方工作人员就货物、服务、工程的供应问题进行私下商谈或者达成默契。</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 xml:space="preserve">    四、甲乙双方工作人员的配偶、子女不得从事与本项目有关的材料设备供应、分包、劳务等经济活动。</w:t>
      </w:r>
    </w:p>
    <w:p>
      <w:pPr>
        <w:keepNext w:val="0"/>
        <w:keepLines w:val="0"/>
        <w:pageBreakBefore w:val="0"/>
        <w:widowControl w:val="0"/>
        <w:kinsoku/>
        <w:wordWrap/>
        <w:overflowPunct/>
        <w:topLinePunct w:val="0"/>
        <w:autoSpaceDE/>
        <w:autoSpaceDN/>
        <w:bidi w:val="0"/>
        <w:adjustRightInd/>
        <w:snapToGrid/>
        <w:spacing w:line="336" w:lineRule="auto"/>
        <w:ind w:firstLine="560"/>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五、乙方如发现甲方工作人员有违反上述协议者，应向甲方领导或甲方上级单位举报，甲方不得找任何借口对乙方进行报复。甲方发现乙方有违反本协议或者采用不正当的手段行贿甲方工作人员，甲方应向乙方单位领导或上级单位举报，</w:t>
      </w:r>
      <w:r>
        <w:rPr>
          <w:rFonts w:hint="eastAsia" w:ascii="仿宋" w:hAnsi="仿宋" w:eastAsia="仿宋" w:cs="仿宋"/>
          <w:color w:val="auto"/>
          <w:kern w:val="0"/>
          <w:sz w:val="24"/>
          <w:szCs w:val="24"/>
          <w:highlight w:val="none"/>
          <w:u w:val="none"/>
          <w:lang w:val="en-US" w:eastAsia="zh-CN"/>
        </w:rPr>
        <w:t>并</w:t>
      </w:r>
      <w:r>
        <w:rPr>
          <w:rFonts w:hint="eastAsia" w:ascii="仿宋" w:hAnsi="仿宋" w:eastAsia="仿宋" w:cs="仿宋"/>
          <w:color w:val="auto"/>
          <w:kern w:val="0"/>
          <w:sz w:val="24"/>
          <w:szCs w:val="24"/>
          <w:highlight w:val="none"/>
          <w:u w:val="none"/>
        </w:rPr>
        <w:t>向</w:t>
      </w:r>
      <w:r>
        <w:rPr>
          <w:rFonts w:hint="eastAsia" w:ascii="仿宋" w:hAnsi="仿宋" w:eastAsia="仿宋" w:cs="仿宋"/>
          <w:color w:val="auto"/>
          <w:kern w:val="0"/>
          <w:sz w:val="24"/>
          <w:szCs w:val="24"/>
          <w:highlight w:val="none"/>
          <w:u w:val="none"/>
          <w:lang w:val="en-US" w:eastAsia="zh-CN"/>
        </w:rPr>
        <w:t>本单位或上级主管部门及相应的纪检监察部门报告</w:t>
      </w:r>
      <w:r>
        <w:rPr>
          <w:rFonts w:hint="eastAsia" w:ascii="仿宋" w:hAnsi="仿宋" w:eastAsia="仿宋" w:cs="仿宋"/>
          <w:color w:val="auto"/>
          <w:kern w:val="0"/>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336" w:lineRule="auto"/>
        <w:ind w:firstLine="560"/>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eastAsia="zh-CN"/>
        </w:rPr>
        <w:t>六、</w:t>
      </w:r>
      <w:r>
        <w:rPr>
          <w:rFonts w:hint="eastAsia" w:ascii="仿宋" w:hAnsi="仿宋" w:eastAsia="仿宋" w:cs="仿宋"/>
          <w:color w:val="auto"/>
          <w:kern w:val="0"/>
          <w:sz w:val="24"/>
          <w:szCs w:val="24"/>
          <w:highlight w:val="none"/>
          <w:u w:val="none"/>
        </w:rPr>
        <w:t>本协议作为</w:t>
      </w:r>
      <w:r>
        <w:rPr>
          <w:rFonts w:hint="eastAsia" w:ascii="仿宋" w:hAnsi="仿宋" w:eastAsia="仿宋" w:cs="仿宋"/>
          <w:color w:val="auto"/>
          <w:kern w:val="0"/>
          <w:sz w:val="24"/>
          <w:szCs w:val="24"/>
          <w:highlight w:val="none"/>
          <w:u w:val="none"/>
          <w:lang w:val="en-US" w:eastAsia="zh-CN"/>
        </w:rPr>
        <w:t>项目中标后签订正式</w:t>
      </w:r>
      <w:r>
        <w:rPr>
          <w:rFonts w:hint="eastAsia" w:ascii="仿宋" w:hAnsi="仿宋" w:eastAsia="仿宋" w:cs="仿宋"/>
          <w:color w:val="auto"/>
          <w:kern w:val="0"/>
          <w:sz w:val="24"/>
          <w:szCs w:val="24"/>
          <w:highlight w:val="none"/>
          <w:u w:val="none"/>
        </w:rPr>
        <w:t>合同的附件，经协议双方签署立即生效</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rPr>
        <w:t>由</w:t>
      </w:r>
      <w:r>
        <w:rPr>
          <w:rFonts w:hint="eastAsia" w:ascii="仿宋" w:hAnsi="仿宋" w:eastAsia="仿宋" w:cs="仿宋"/>
          <w:color w:val="auto"/>
          <w:kern w:val="0"/>
          <w:sz w:val="24"/>
          <w:szCs w:val="24"/>
          <w:highlight w:val="none"/>
          <w:u w:val="none"/>
          <w:lang w:val="en-US" w:eastAsia="zh-CN"/>
        </w:rPr>
        <w:t>甲乙双方互相监督执行</w:t>
      </w:r>
      <w:r>
        <w:rPr>
          <w:rFonts w:hint="eastAsia" w:ascii="仿宋" w:hAnsi="仿宋" w:eastAsia="仿宋" w:cs="仿宋"/>
          <w:color w:val="auto"/>
          <w:kern w:val="0"/>
          <w:sz w:val="24"/>
          <w:szCs w:val="24"/>
          <w:highlight w:val="none"/>
          <w:u w:val="none"/>
        </w:rPr>
        <w:t>。</w:t>
      </w:r>
    </w:p>
    <w:p>
      <w:pPr>
        <w:pStyle w:val="6"/>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jc w:val="left"/>
        <w:textAlignment w:val="auto"/>
        <w:rPr>
          <w:rFonts w:hint="eastAsia" w:ascii="仿宋" w:hAnsi="仿宋" w:eastAsia="仿宋" w:cs="仿宋"/>
          <w:strike w:val="0"/>
          <w:color w:val="auto"/>
          <w:kern w:val="0"/>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rPr>
        <w:t>七、建立廉政违约责任追究机制。甲方及其工作人员有违反协议规定的，</w:t>
      </w:r>
      <w:r>
        <w:rPr>
          <w:rFonts w:hint="eastAsia" w:ascii="仿宋" w:hAnsi="仿宋" w:eastAsia="仿宋" w:cs="仿宋"/>
          <w:strike w:val="0"/>
          <w:color w:val="auto"/>
          <w:kern w:val="0"/>
          <w:sz w:val="24"/>
          <w:szCs w:val="24"/>
          <w:highlight w:val="none"/>
          <w:u w:val="none"/>
          <w:lang w:val="en-US" w:eastAsia="zh-CN"/>
        </w:rPr>
        <w:t>按照管理权限，相关部门依据有关</w:t>
      </w:r>
      <w:r>
        <w:rPr>
          <w:rFonts w:hint="eastAsia" w:ascii="仿宋" w:hAnsi="仿宋" w:eastAsia="仿宋" w:cs="仿宋"/>
          <w:strike w:val="0"/>
          <w:color w:val="auto"/>
          <w:kern w:val="0"/>
          <w:sz w:val="24"/>
          <w:szCs w:val="24"/>
          <w:highlight w:val="none"/>
          <w:lang w:val="en-US" w:eastAsia="zh-CN"/>
        </w:rPr>
        <w:t>规定给予党纪、政纪处分或组织处理；涉嫌犯罪的，移交司法机关追究刑事责任。</w:t>
      </w:r>
    </w:p>
    <w:p>
      <w:pPr>
        <w:pStyle w:val="6"/>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rPr>
        <w:t>乙方</w:t>
      </w:r>
      <w:r>
        <w:rPr>
          <w:rFonts w:hint="eastAsia" w:ascii="仿宋" w:hAnsi="仿宋" w:eastAsia="仿宋" w:cs="仿宋"/>
          <w:strike w:val="0"/>
          <w:color w:val="auto"/>
          <w:kern w:val="0"/>
          <w:sz w:val="24"/>
          <w:szCs w:val="24"/>
          <w:highlight w:val="none"/>
          <w:lang w:val="en-US" w:eastAsia="zh-CN"/>
        </w:rPr>
        <w:t>及其工作人员有违反阳光协议规定的，视情节轻重程度，</w:t>
      </w:r>
      <w:r>
        <w:rPr>
          <w:rFonts w:hint="eastAsia" w:ascii="仿宋" w:hAnsi="仿宋" w:eastAsia="仿宋" w:cs="仿宋"/>
          <w:strike w:val="0"/>
          <w:color w:val="auto"/>
          <w:kern w:val="0"/>
          <w:sz w:val="24"/>
          <w:szCs w:val="24"/>
          <w:highlight w:val="none"/>
          <w:lang w:val="en" w:eastAsia="zh-CN"/>
        </w:rPr>
        <w:t>承担</w:t>
      </w:r>
      <w:r>
        <w:rPr>
          <w:rFonts w:hint="eastAsia" w:ascii="仿宋" w:hAnsi="仿宋" w:eastAsia="仿宋" w:cs="仿宋"/>
          <w:strike w:val="0"/>
          <w:color w:val="auto"/>
          <w:kern w:val="0"/>
          <w:sz w:val="24"/>
          <w:szCs w:val="24"/>
          <w:highlight w:val="none"/>
          <w:lang w:val="en-US" w:eastAsia="zh-CN"/>
        </w:rPr>
        <w:t>违约责任</w:t>
      </w:r>
      <w:r>
        <w:rPr>
          <w:rFonts w:hint="eastAsia" w:ascii="仿宋" w:hAnsi="仿宋" w:eastAsia="仿宋" w:cs="仿宋"/>
          <w:color w:val="auto"/>
          <w:kern w:val="0"/>
          <w:sz w:val="24"/>
          <w:szCs w:val="24"/>
          <w:highlight w:val="none"/>
          <w:lang w:val="en-US" w:eastAsia="zh-CN"/>
        </w:rPr>
        <w:t>。违反</w:t>
      </w:r>
      <w:r>
        <w:rPr>
          <w:rFonts w:hint="eastAsia" w:ascii="仿宋" w:hAnsi="仿宋" w:eastAsia="仿宋" w:cs="仿宋"/>
          <w:strike w:val="0"/>
          <w:color w:val="auto"/>
          <w:kern w:val="0"/>
          <w:sz w:val="24"/>
          <w:szCs w:val="24"/>
          <w:highlight w:val="none"/>
          <w:lang w:val="en-US" w:eastAsia="zh-CN"/>
        </w:rPr>
        <w:t>本</w:t>
      </w:r>
      <w:r>
        <w:rPr>
          <w:rFonts w:hint="eastAsia" w:ascii="仿宋" w:hAnsi="仿宋" w:eastAsia="仿宋" w:cs="仿宋"/>
          <w:color w:val="auto"/>
          <w:kern w:val="0"/>
          <w:sz w:val="24"/>
          <w:szCs w:val="24"/>
          <w:highlight w:val="none"/>
          <w:lang w:val="en-US" w:eastAsia="zh-CN"/>
        </w:rPr>
        <w:t>协议规定涉及1人次或折合市场价值2000元以内，按合同总额5%</w:t>
      </w:r>
      <w:r>
        <w:rPr>
          <w:rFonts w:hint="eastAsia" w:ascii="仿宋" w:hAnsi="仿宋" w:eastAsia="仿宋" w:cs="仿宋"/>
          <w:color w:val="auto"/>
          <w:kern w:val="0"/>
          <w:sz w:val="24"/>
          <w:szCs w:val="24"/>
          <w:highlight w:val="none"/>
          <w:lang w:val="en" w:eastAsia="zh-CN"/>
        </w:rPr>
        <w:t>且不低于给付金额5倍违约赔偿。</w:t>
      </w:r>
      <w:r>
        <w:rPr>
          <w:rFonts w:hint="eastAsia" w:ascii="仿宋" w:hAnsi="仿宋" w:eastAsia="仿宋" w:cs="仿宋"/>
          <w:color w:val="auto"/>
          <w:kern w:val="0"/>
          <w:sz w:val="24"/>
          <w:szCs w:val="24"/>
          <w:highlight w:val="none"/>
          <w:lang w:val="en-US" w:eastAsia="zh-CN"/>
        </w:rPr>
        <w:t>违反</w:t>
      </w:r>
      <w:r>
        <w:rPr>
          <w:rFonts w:hint="eastAsia" w:ascii="仿宋" w:hAnsi="仿宋" w:eastAsia="仿宋" w:cs="仿宋"/>
          <w:strike w:val="0"/>
          <w:color w:val="auto"/>
          <w:kern w:val="0"/>
          <w:sz w:val="24"/>
          <w:szCs w:val="24"/>
          <w:highlight w:val="none"/>
          <w:lang w:val="en-US" w:eastAsia="zh-CN"/>
        </w:rPr>
        <w:t>本</w:t>
      </w:r>
      <w:r>
        <w:rPr>
          <w:rFonts w:hint="eastAsia" w:ascii="仿宋" w:hAnsi="仿宋" w:eastAsia="仿宋" w:cs="仿宋"/>
          <w:color w:val="auto"/>
          <w:kern w:val="0"/>
          <w:sz w:val="24"/>
          <w:szCs w:val="24"/>
          <w:highlight w:val="none"/>
          <w:lang w:val="en-US" w:eastAsia="zh-CN"/>
        </w:rPr>
        <w:t>协议规定涉及2人次或折合市场价值2000元以上的5000元以内的，按合同总额</w:t>
      </w:r>
      <w:r>
        <w:rPr>
          <w:rFonts w:hint="eastAsia" w:ascii="仿宋" w:hAnsi="仿宋" w:eastAsia="仿宋" w:cs="仿宋"/>
          <w:color w:val="auto"/>
          <w:kern w:val="0"/>
          <w:sz w:val="24"/>
          <w:szCs w:val="24"/>
          <w:highlight w:val="none"/>
          <w:lang w:val="en" w:eastAsia="zh-CN"/>
        </w:rPr>
        <w:t>10</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 w:eastAsia="zh-CN"/>
        </w:rPr>
        <w:t>且不低于给付金额10倍违约赔偿</w:t>
      </w:r>
      <w:r>
        <w:rPr>
          <w:rFonts w:hint="eastAsia" w:ascii="仿宋" w:hAnsi="仿宋" w:eastAsia="仿宋" w:cs="仿宋"/>
          <w:color w:val="auto"/>
          <w:kern w:val="0"/>
          <w:sz w:val="24"/>
          <w:szCs w:val="24"/>
          <w:highlight w:val="none"/>
          <w:lang w:val="en-US" w:eastAsia="zh-CN"/>
        </w:rPr>
        <w:t>。违反</w:t>
      </w:r>
      <w:r>
        <w:rPr>
          <w:rFonts w:hint="eastAsia" w:ascii="仿宋" w:hAnsi="仿宋" w:eastAsia="仿宋" w:cs="仿宋"/>
          <w:strike w:val="0"/>
          <w:color w:val="auto"/>
          <w:kern w:val="0"/>
          <w:sz w:val="24"/>
          <w:szCs w:val="24"/>
          <w:highlight w:val="none"/>
          <w:lang w:val="en-US" w:eastAsia="zh-CN"/>
        </w:rPr>
        <w:t>阳光</w:t>
      </w:r>
      <w:r>
        <w:rPr>
          <w:rFonts w:hint="eastAsia" w:ascii="仿宋" w:hAnsi="仿宋" w:eastAsia="仿宋" w:cs="仿宋"/>
          <w:color w:val="auto"/>
          <w:kern w:val="0"/>
          <w:sz w:val="24"/>
          <w:szCs w:val="24"/>
          <w:highlight w:val="none"/>
          <w:lang w:val="en-US" w:eastAsia="zh-CN"/>
        </w:rPr>
        <w:t>协议规定涉及2人次以上或折合市场价值5000元以上的，属于情节严重，</w:t>
      </w:r>
      <w:r>
        <w:rPr>
          <w:rFonts w:hint="eastAsia" w:ascii="仿宋" w:hAnsi="仿宋" w:eastAsia="仿宋" w:cs="仿宋"/>
          <w:strike w:val="0"/>
          <w:color w:val="auto"/>
          <w:kern w:val="0"/>
          <w:sz w:val="24"/>
          <w:szCs w:val="24"/>
          <w:highlight w:val="none"/>
          <w:lang w:val="en-US" w:eastAsia="zh-CN"/>
        </w:rPr>
        <w:t>甲方</w:t>
      </w:r>
      <w:r>
        <w:rPr>
          <w:rFonts w:hint="eastAsia" w:ascii="仿宋" w:hAnsi="仿宋" w:eastAsia="仿宋" w:cs="仿宋"/>
          <w:strike w:val="0"/>
          <w:color w:val="auto"/>
          <w:kern w:val="2"/>
          <w:sz w:val="24"/>
          <w:szCs w:val="24"/>
          <w:highlight w:val="none"/>
          <w:lang w:val="en" w:eastAsia="zh-CN" w:bidi="ar-SA"/>
        </w:rPr>
        <w:t>有权</w:t>
      </w:r>
      <w:r>
        <w:rPr>
          <w:rFonts w:hint="eastAsia" w:ascii="仿宋" w:hAnsi="仿宋" w:eastAsia="仿宋" w:cs="仿宋"/>
          <w:color w:val="auto"/>
          <w:kern w:val="0"/>
          <w:sz w:val="24"/>
          <w:szCs w:val="24"/>
          <w:highlight w:val="none"/>
          <w:lang w:val="en-US" w:eastAsia="zh-CN"/>
        </w:rPr>
        <w:t>暂停合同执行，</w:t>
      </w:r>
      <w:r>
        <w:rPr>
          <w:rFonts w:hint="eastAsia" w:ascii="仿宋" w:hAnsi="仿宋" w:eastAsia="仿宋" w:cs="仿宋"/>
          <w:color w:val="auto"/>
          <w:kern w:val="0"/>
          <w:sz w:val="24"/>
          <w:szCs w:val="24"/>
          <w:highlight w:val="none"/>
          <w:lang w:val="en" w:eastAsia="zh-CN"/>
        </w:rPr>
        <w:t>并单方解除合同，</w:t>
      </w:r>
      <w:r>
        <w:rPr>
          <w:rFonts w:hint="eastAsia" w:ascii="仿宋" w:hAnsi="仿宋" w:eastAsia="仿宋" w:cs="仿宋"/>
          <w:color w:val="auto"/>
          <w:kern w:val="0"/>
          <w:sz w:val="24"/>
          <w:szCs w:val="24"/>
          <w:highlight w:val="none"/>
          <w:lang w:val="en-US" w:eastAsia="zh-CN"/>
        </w:rPr>
        <w:t>相关部门</w:t>
      </w:r>
      <w:r>
        <w:rPr>
          <w:rFonts w:hint="eastAsia" w:ascii="仿宋" w:hAnsi="仿宋" w:eastAsia="仿宋" w:cs="仿宋"/>
          <w:color w:val="auto"/>
          <w:kern w:val="0"/>
          <w:sz w:val="24"/>
          <w:szCs w:val="24"/>
          <w:highlight w:val="none"/>
          <w:lang w:val="en" w:eastAsia="zh-CN"/>
        </w:rPr>
        <w:t>可</w:t>
      </w:r>
      <w:r>
        <w:rPr>
          <w:rFonts w:hint="eastAsia" w:ascii="仿宋" w:hAnsi="仿宋" w:eastAsia="仿宋" w:cs="仿宋"/>
          <w:color w:val="auto"/>
          <w:kern w:val="0"/>
          <w:sz w:val="24"/>
          <w:szCs w:val="24"/>
          <w:highlight w:val="none"/>
          <w:lang w:val="en-US" w:eastAsia="zh-CN"/>
        </w:rPr>
        <w:t>依据有关规定确认失信行为，涉嫌犯罪的，移交司法机关追究刑事责任。对于存在以上违约行为的，同意甲方在一定范围内进行</w:t>
      </w:r>
      <w:r>
        <w:rPr>
          <w:rFonts w:hint="eastAsia" w:ascii="仿宋" w:hAnsi="仿宋" w:eastAsia="仿宋" w:cs="仿宋"/>
          <w:color w:val="auto"/>
          <w:kern w:val="0"/>
          <w:sz w:val="24"/>
          <w:szCs w:val="24"/>
          <w:highlight w:val="none"/>
          <w:lang w:val="en" w:eastAsia="zh-CN"/>
        </w:rPr>
        <w:t>通报、曝光，</w:t>
      </w:r>
      <w:r>
        <w:rPr>
          <w:rFonts w:hint="eastAsia" w:ascii="仿宋" w:hAnsi="仿宋" w:eastAsia="仿宋" w:cs="仿宋"/>
          <w:color w:val="auto"/>
          <w:kern w:val="0"/>
          <w:sz w:val="24"/>
          <w:szCs w:val="24"/>
          <w:highlight w:val="none"/>
          <w:lang w:val="en-US" w:eastAsia="zh-CN"/>
        </w:rPr>
        <w:t>因此造成的损失由</w:t>
      </w:r>
      <w:r>
        <w:rPr>
          <w:rFonts w:hint="eastAsia" w:ascii="仿宋" w:hAnsi="仿宋" w:eastAsia="仿宋" w:cs="仿宋"/>
          <w:strike w:val="0"/>
          <w:color w:val="auto"/>
          <w:kern w:val="0"/>
          <w:sz w:val="24"/>
          <w:szCs w:val="24"/>
          <w:highlight w:val="none"/>
          <w:lang w:val="en-US" w:eastAsia="zh-CN"/>
        </w:rPr>
        <w:t>乙方及其工作人员</w:t>
      </w:r>
      <w:r>
        <w:rPr>
          <w:rFonts w:hint="eastAsia" w:ascii="仿宋" w:hAnsi="仿宋" w:eastAsia="仿宋" w:cs="仿宋"/>
          <w:color w:val="auto"/>
          <w:kern w:val="0"/>
          <w:sz w:val="24"/>
          <w:szCs w:val="24"/>
          <w:highlight w:val="none"/>
          <w:lang w:val="en" w:eastAsia="zh-CN"/>
        </w:rPr>
        <w:t>承担</w:t>
      </w:r>
      <w:r>
        <w:rPr>
          <w:rFonts w:hint="eastAsia" w:ascii="仿宋" w:hAnsi="仿宋" w:eastAsia="仿宋" w:cs="仿宋"/>
          <w:color w:val="auto"/>
          <w:kern w:val="0"/>
          <w:sz w:val="24"/>
          <w:szCs w:val="24"/>
          <w:highlight w:val="none"/>
          <w:lang w:val="en-US" w:eastAsia="zh-CN"/>
        </w:rPr>
        <w:t>赔偿</w:t>
      </w:r>
      <w:r>
        <w:rPr>
          <w:rFonts w:hint="eastAsia" w:ascii="仿宋" w:hAnsi="仿宋" w:eastAsia="仿宋" w:cs="仿宋"/>
          <w:color w:val="auto"/>
          <w:kern w:val="0"/>
          <w:sz w:val="24"/>
          <w:szCs w:val="24"/>
          <w:highlight w:val="none"/>
          <w:lang w:val="en" w:eastAsia="zh-CN"/>
        </w:rPr>
        <w:t>责任</w:t>
      </w:r>
      <w:r>
        <w:rPr>
          <w:rFonts w:hint="eastAsia" w:ascii="仿宋" w:hAnsi="仿宋" w:eastAsia="仿宋" w:cs="仿宋"/>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lang w:eastAsia="zh-CN"/>
        </w:rPr>
        <w:t>八、</w:t>
      </w:r>
      <w:r>
        <w:rPr>
          <w:rFonts w:hint="eastAsia" w:ascii="仿宋" w:hAnsi="仿宋" w:eastAsia="仿宋" w:cs="仿宋"/>
          <w:color w:val="auto"/>
          <w:kern w:val="0"/>
          <w:sz w:val="24"/>
          <w:szCs w:val="24"/>
          <w:highlight w:val="none"/>
          <w:u w:val="none"/>
        </w:rPr>
        <w:t>本协议</w:t>
      </w:r>
      <w:r>
        <w:rPr>
          <w:rFonts w:hint="eastAsia" w:ascii="仿宋" w:hAnsi="仿宋" w:eastAsia="仿宋" w:cs="仿宋"/>
          <w:color w:val="auto"/>
          <w:kern w:val="0"/>
          <w:sz w:val="24"/>
          <w:szCs w:val="24"/>
          <w:highlight w:val="none"/>
          <w:u w:val="none"/>
          <w:lang w:val="en-US" w:eastAsia="zh-CN"/>
        </w:rPr>
        <w:t>一</w:t>
      </w:r>
      <w:r>
        <w:rPr>
          <w:rFonts w:hint="eastAsia" w:ascii="仿宋" w:hAnsi="仿宋" w:eastAsia="仿宋" w:cs="仿宋"/>
          <w:color w:val="auto"/>
          <w:kern w:val="0"/>
          <w:sz w:val="24"/>
          <w:szCs w:val="24"/>
          <w:highlight w:val="none"/>
          <w:u w:val="none"/>
        </w:rPr>
        <w:t>式</w:t>
      </w:r>
      <w:r>
        <w:rPr>
          <w:rFonts w:hint="eastAsia" w:ascii="仿宋" w:hAnsi="仿宋" w:eastAsia="仿宋" w:cs="仿宋"/>
          <w:color w:val="auto"/>
          <w:kern w:val="0"/>
          <w:sz w:val="24"/>
          <w:szCs w:val="24"/>
          <w:highlight w:val="none"/>
          <w:u w:val="none"/>
          <w:lang w:eastAsia="zh-CN"/>
        </w:rPr>
        <w:t>两</w:t>
      </w:r>
      <w:r>
        <w:rPr>
          <w:rFonts w:hint="eastAsia" w:ascii="仿宋" w:hAnsi="仿宋" w:eastAsia="仿宋" w:cs="仿宋"/>
          <w:color w:val="auto"/>
          <w:kern w:val="0"/>
          <w:sz w:val="24"/>
          <w:szCs w:val="24"/>
          <w:highlight w:val="none"/>
          <w:u w:val="none"/>
        </w:rPr>
        <w:t>份，甲、乙双方各执</w:t>
      </w:r>
      <w:r>
        <w:rPr>
          <w:rFonts w:hint="eastAsia" w:ascii="仿宋" w:hAnsi="仿宋" w:eastAsia="仿宋" w:cs="仿宋"/>
          <w:color w:val="auto"/>
          <w:kern w:val="0"/>
          <w:sz w:val="24"/>
          <w:szCs w:val="24"/>
          <w:highlight w:val="none"/>
          <w:u w:val="none"/>
          <w:lang w:val="en-US" w:eastAsia="zh-CN"/>
        </w:rPr>
        <w:t>一</w:t>
      </w:r>
      <w:r>
        <w:rPr>
          <w:rFonts w:hint="eastAsia" w:ascii="仿宋" w:hAnsi="仿宋" w:eastAsia="仿宋" w:cs="仿宋"/>
          <w:color w:val="auto"/>
          <w:kern w:val="0"/>
          <w:sz w:val="24"/>
          <w:szCs w:val="24"/>
          <w:highlight w:val="none"/>
          <w:u w:val="none"/>
        </w:rPr>
        <w:t>份。</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 xml:space="preserve">甲方：（盖章）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rPr>
        <w:t xml:space="preserve"> 乙方：（盖章）</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法定代表人：                       法定代表人：</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地  址：    地  址：</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电  话：</w:t>
      </w:r>
      <w:bookmarkStart w:id="3" w:name="_GoBack"/>
      <w:bookmarkEnd w:id="3"/>
      <w:r>
        <w:rPr>
          <w:rFonts w:hint="eastAsia" w:ascii="仿宋" w:hAnsi="仿宋" w:eastAsia="仿宋" w:cs="仿宋"/>
          <w:color w:val="auto"/>
          <w:kern w:val="0"/>
          <w:sz w:val="24"/>
          <w:szCs w:val="24"/>
          <w:highlight w:val="none"/>
          <w:u w:val="none"/>
        </w:rPr>
        <w:t xml:space="preserve">         电  话：</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仿宋" w:hAnsi="仿宋" w:eastAsia="仿宋" w:cs="仿宋"/>
          <w:color w:val="auto"/>
          <w:kern w:val="0"/>
          <w:sz w:val="24"/>
          <w:szCs w:val="24"/>
          <w:highlight w:val="none"/>
          <w:u w:val="none"/>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36" w:lineRule="auto"/>
        <w:jc w:val="both"/>
        <w:textAlignment w:val="auto"/>
        <w:rPr>
          <w:rFonts w:hint="eastAsia" w:ascii="仿宋" w:hAnsi="仿宋" w:eastAsia="仿宋" w:cs="仿宋"/>
          <w:color w:val="auto"/>
          <w:kern w:val="2"/>
          <w:sz w:val="24"/>
          <w:szCs w:val="24"/>
          <w:highlight w:val="none"/>
          <w:lang w:val="en" w:eastAsia="zh-CN" w:bidi="ar-SA"/>
        </w:rPr>
      </w:pPr>
      <w:r>
        <w:rPr>
          <w:rFonts w:hint="eastAsia" w:ascii="仿宋" w:hAnsi="仿宋" w:eastAsia="仿宋" w:cs="仿宋"/>
          <w:color w:val="auto"/>
          <w:kern w:val="0"/>
          <w:sz w:val="24"/>
          <w:szCs w:val="24"/>
          <w:highlight w:val="none"/>
          <w:u w:val="none"/>
        </w:rPr>
        <w:t xml:space="preserve">年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rPr>
        <w:t xml:space="preserve">月   日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rPr>
        <w:t xml:space="preserve">年    月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kern w:val="0"/>
          <w:sz w:val="24"/>
          <w:szCs w:val="24"/>
          <w:highlight w:val="none"/>
          <w:u w:val="none"/>
        </w:rPr>
        <w:t xml:space="preserve"> 日</w:t>
      </w:r>
    </w:p>
    <w:p>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_GB2312">
    <w:altName w:val="宋体"/>
    <w:panose1 w:val="02010509060101010101"/>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16B32"/>
    <w:multiLevelType w:val="multilevel"/>
    <w:tmpl w:val="02216B32"/>
    <w:lvl w:ilvl="0" w:tentative="0">
      <w:start w:val="1"/>
      <w:numFmt w:val="chineseCountingThousand"/>
      <w:suff w:val="space"/>
      <w:lvlText w:val="第%1章"/>
      <w:lvlJc w:val="center"/>
      <w:pPr>
        <w:ind w:left="0" w:firstLine="0"/>
      </w:pPr>
      <w:rPr>
        <w:rFonts w:hint="eastAsia"/>
        <w:b/>
        <w:bCs w:val="0"/>
        <w:i w:val="0"/>
        <w:iCs w:val="0"/>
        <w:caps w:val="0"/>
        <w:smallCaps w:val="0"/>
        <w:strike w:val="0"/>
        <w:dstrike w:val="0"/>
        <w:vanish w:val="0"/>
        <w:spacing w:val="0"/>
        <w:position w:val="0"/>
        <w:u w:val="none"/>
        <w:vertAlign w:val="baseline"/>
      </w:rPr>
    </w:lvl>
    <w:lvl w:ilvl="1" w:tentative="0">
      <w:start w:val="1"/>
      <w:numFmt w:val="chineseCountingThousand"/>
      <w:suff w:val="space"/>
      <w:lvlText w:val="第%2条"/>
      <w:lvlJc w:val="center"/>
      <w:pPr>
        <w:ind w:left="0" w:firstLine="0"/>
      </w:pPr>
      <w:rPr>
        <w:rFonts w:hint="eastAsia"/>
      </w:rPr>
    </w:lvl>
    <w:lvl w:ilvl="2" w:tentative="0">
      <w:start w:val="1"/>
      <w:numFmt w:val="chineseCountingThousand"/>
      <w:suff w:val="nothing"/>
      <w:lvlText w:val="%3、"/>
      <w:lvlJc w:val="left"/>
      <w:pPr>
        <w:ind w:left="0" w:firstLine="113"/>
      </w:pPr>
      <w:rPr>
        <w:rFonts w:hint="eastAsia"/>
        <w:b w:val="0"/>
        <w:bCs w:val="0"/>
        <w:i w:val="0"/>
        <w:iCs w:val="0"/>
        <w:caps w:val="0"/>
        <w:smallCaps w:val="0"/>
        <w:strike w:val="0"/>
        <w:dstrike w:val="0"/>
        <w:vanish w:val="0"/>
        <w:spacing w:val="0"/>
        <w:position w:val="0"/>
        <w:u w:val="none"/>
        <w:vertAlign w:val="baseline"/>
      </w:rPr>
    </w:lvl>
    <w:lvl w:ilvl="3" w:tentative="0">
      <w:start w:val="1"/>
      <w:numFmt w:val="chineseCountingThousand"/>
      <w:suff w:val="nothing"/>
      <w:lvlText w:val="（%4）"/>
      <w:lvlJc w:val="left"/>
      <w:pPr>
        <w:ind w:left="0" w:firstLine="170"/>
      </w:pPr>
      <w:rPr>
        <w:rFonts w:hint="eastAsia"/>
      </w:rPr>
    </w:lvl>
    <w:lvl w:ilvl="4" w:tentative="0">
      <w:start w:val="1"/>
      <w:numFmt w:val="decimal"/>
      <w:suff w:val="space"/>
      <w:lvlText w:val="%5."/>
      <w:lvlJc w:val="left"/>
      <w:pPr>
        <w:ind w:left="794" w:firstLine="340"/>
      </w:pPr>
      <w:rPr>
        <w:rFonts w:hint="eastAsia"/>
      </w:rPr>
    </w:lvl>
    <w:lvl w:ilvl="5" w:tentative="0">
      <w:start w:val="1"/>
      <w:numFmt w:val="decimal"/>
      <w:suff w:val="nothing"/>
      <w:lvlText w:val="（%6）"/>
      <w:lvlJc w:val="left"/>
      <w:pPr>
        <w:ind w:left="1672" w:hanging="1105"/>
      </w:pPr>
      <w:rPr>
        <w:rFonts w:hint="eastAsia"/>
      </w:rPr>
    </w:lvl>
    <w:lvl w:ilvl="6" w:tentative="0">
      <w:start w:val="1"/>
      <w:numFmt w:val="upperRoman"/>
      <w:suff w:val="space"/>
      <w:lvlText w:val="%7"/>
      <w:lvlJc w:val="left"/>
      <w:pPr>
        <w:ind w:left="1644" w:hanging="453"/>
      </w:pPr>
      <w:rPr>
        <w:rFonts w:hint="eastAsia"/>
      </w:rPr>
    </w:lvl>
    <w:lvl w:ilvl="7" w:tentative="0">
      <w:start w:val="1"/>
      <w:numFmt w:val="lowerRoman"/>
      <w:lvlText w:val="%8"/>
      <w:lvlJc w:val="left"/>
      <w:pPr>
        <w:ind w:left="1701" w:hanging="454"/>
      </w:pPr>
      <w:rPr>
        <w:rFonts w:hint="eastAsia"/>
      </w:rPr>
    </w:lvl>
    <w:lvl w:ilvl="8" w:tentative="0">
      <w:start w:val="1"/>
      <w:numFmt w:val="decimal"/>
      <w:lvlText w:val="%9%1.%2.%3.%4.%5.%6.%7.%8.a"/>
      <w:lvlJc w:val="left"/>
      <w:pPr>
        <w:ind w:left="1701" w:hanging="5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N2IwNzM3ZGFmNTg5MmMyYTEyNWYyMThmYmYzMGIifQ=="/>
  </w:docVars>
  <w:rsids>
    <w:rsidRoot w:val="00000000"/>
    <w:rsid w:val="06B83B4E"/>
    <w:rsid w:val="1B351FAC"/>
    <w:rsid w:val="3445105A"/>
    <w:rsid w:val="3702029E"/>
    <w:rsid w:val="48D517DD"/>
    <w:rsid w:val="537C133C"/>
    <w:rsid w:val="6A913B32"/>
    <w:rsid w:val="71C858CC"/>
    <w:rsid w:val="7BE1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0"/>
    <w:pPr>
      <w:widowControl w:val="0"/>
      <w:tabs>
        <w:tab w:val="left" w:pos="420"/>
      </w:tabs>
      <w:adjustRightInd w:val="0"/>
      <w:spacing w:before="120" w:beforeLines="0" w:line="360" w:lineRule="auto"/>
      <w:ind w:left="420" w:hanging="420"/>
      <w:jc w:val="both"/>
      <w:textAlignment w:val="baseline"/>
    </w:pPr>
    <w:rPr>
      <w:rFonts w:ascii="Times New Roman" w:hAnsi="Times New Roman" w:eastAsia="隶书_GB2312" w:cs="Times New Roman"/>
      <w:b/>
      <w:sz w:val="48"/>
      <w:lang w:val="en-US" w:eastAsia="zh-CN" w:bidi="ar-SA"/>
    </w:rPr>
  </w:style>
  <w:style w:type="paragraph" w:customStyle="1" w:styleId="5">
    <w:name w:val="文件正文"/>
    <w:qFormat/>
    <w:uiPriority w:val="0"/>
    <w:pPr>
      <w:ind w:firstLine="200" w:firstLineChars="200"/>
    </w:pPr>
    <w:rPr>
      <w:rFonts w:ascii="Times" w:hAnsi="Times" w:eastAsia="宋体" w:cs="Calibri"/>
      <w:sz w:val="21"/>
      <w:lang w:val="en-US" w:eastAsia="zh-CN" w:bidi="ar-SA"/>
    </w:rPr>
  </w:style>
  <w:style w:type="paragraph" w:customStyle="1" w:styleId="6">
    <w:name w:val="Body Text Indent 21"/>
    <w:qFormat/>
    <w:uiPriority w:val="0"/>
    <w:pPr>
      <w:spacing w:line="480" w:lineRule="auto"/>
      <w:ind w:left="200" w:leftChars="200"/>
    </w:pPr>
    <w:rPr>
      <w:rFonts w:ascii="Times New Roman" w:hAnsi="Times New Roman" w:eastAsia="宋体" w:cs="Times New Roman"/>
      <w:sz w:val="21"/>
      <w:lang w:val="en-US" w:eastAsia="zh-CN" w:bidi="ar-SA"/>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2022-10-17T02:41:00Z</dcterms:created>
  <dc:creator>Administrator</dc:creator>
  <cp:lastModifiedBy>WPS_1642683391</cp:lastModifiedBy>
  <dcterms:modified xsi:type="dcterms:W3CDTF">2022-11-04T08:47:42Z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17B21E858D164CBE89341DA8333C1545</vt:lpwstr>
  </property>
</Properties>
</file>