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1-28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baseline"/>
        <w:rPr>
          <w:rStyle w:val="8"/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bookmarkStart w:id="0" w:name="_GoBack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baseline"/>
        <w:rPr>
          <w:rStyle w:val="8"/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Style w:val="8"/>
          <w:rFonts w:hint="default" w:ascii="Times New Roman" w:hAnsi="Times New Roman" w:eastAsia="方正小标宋简体" w:cs="Times New Roman"/>
          <w:sz w:val="44"/>
          <w:szCs w:val="44"/>
          <w:highlight w:val="none"/>
        </w:rPr>
        <w:t>2023年</w:t>
      </w:r>
      <w:r>
        <w:rPr>
          <w:rStyle w:val="8"/>
          <w:rFonts w:hint="eastAsia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至</w:t>
      </w:r>
      <w:r>
        <w:rPr>
          <w:rStyle w:val="8"/>
          <w:rFonts w:hint="default" w:ascii="Times New Roman" w:hAnsi="Times New Roman" w:eastAsia="方正小标宋简体" w:cs="Times New Roman"/>
          <w:sz w:val="44"/>
          <w:szCs w:val="44"/>
          <w:highlight w:val="none"/>
        </w:rPr>
        <w:t>2024年6月东丽区举借债务情况的说明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baseline"/>
        <w:rPr>
          <w:rFonts w:ascii="Times New Roman" w:hAnsi="黑体" w:eastAsia="黑体" w:cs="Times New Roman"/>
          <w:sz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highlight w:val="none"/>
        </w:rPr>
        <w:t>一、地方政府债务限额情况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年天津市财政局累计下达东丽区政府债务限额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788.13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亿元，其中：一般债务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263.12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亿元，专项债务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525.01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年上半年，天津市财政局下达东丽区政府202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年度新增地方政府债务限额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均为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专项债务。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截至202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年6月底，天津市财政局累计下达东丽区政府地方政府债务限额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791.43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亿元，其中：一般债务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263.12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亿元，专项债务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528.31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Style w:val="8"/>
          <w:rFonts w:ascii="Times New Roman" w:hAnsi="黑体" w:eastAsia="黑体" w:cs="Times New Roman"/>
          <w:sz w:val="32"/>
          <w:szCs w:val="32"/>
          <w:highlight w:val="none"/>
        </w:rPr>
        <w:t>二、</w:t>
      </w:r>
      <w:r>
        <w:rPr>
          <w:rStyle w:val="8"/>
          <w:rFonts w:ascii="Times New Roman" w:hAnsi="Times New Roman" w:eastAsia="黑体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黑体" w:eastAsia="黑体" w:cs="Times New Roman"/>
          <w:sz w:val="32"/>
          <w:szCs w:val="32"/>
          <w:highlight w:val="none"/>
        </w:rPr>
        <w:t>年地方政府债务情况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年新增地方政府债务限额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12.98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亿元，其中:一般债务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5.98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亿元，专项债务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通过市财政局代发地方政府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一般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5.98亿元，专项债券7亿元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default" w:eastAsia="仿宋_GB2312"/>
          <w:lang w:val="en-US" w:eastAsia="zh-CN"/>
        </w:rPr>
      </w:pP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2023新增地方政府再融资债务限额135.9亿元，其中：再融资一般债务93.7亿元、再融资专项债务42.2亿元年。通过市财政局代发地方政府再融资一般债券84.5亿元，再融资专项债券6.8亿元，用于置换存量隐性债务和清理政府拖欠账款，剩余额度结转至2024年发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年偿还到期政府债券本金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21.17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亿元，利息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20.94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亿元，发行费用0.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年底东丽区地方政府债券余额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</w:rPr>
        <w:t>743.43亿元，其中：一般债券253.92亿元，专项债券489.51亿元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。地方政府债券余额未超过限额。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年新增地方政府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专项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亿元资金使用安排情况如下：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32"/>
          <w:highlight w:val="none"/>
        </w:rPr>
        <w:t>1.</w:t>
      </w:r>
      <w:r>
        <w:rPr>
          <w:rFonts w:hint="eastAsia" w:ascii="Times New Roman" w:hAnsi="Times New Roman" w:eastAsia="仿宋_GB2312" w:cs="Times New Roman"/>
          <w:sz w:val="32"/>
          <w:highlight w:val="none"/>
        </w:rPr>
        <w:t>东丽詹庄等七村村民还迁安置经济适用房项目海旭园3亿元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32"/>
          <w:highlight w:val="none"/>
        </w:rPr>
        <w:t>2.</w:t>
      </w:r>
      <w:r>
        <w:rPr>
          <w:rFonts w:hint="eastAsia" w:ascii="Times New Roman" w:hAnsi="Times New Roman" w:eastAsia="仿宋_GB2312" w:cs="Times New Roman"/>
          <w:sz w:val="32"/>
          <w:highlight w:val="none"/>
        </w:rPr>
        <w:t>东丽湖地区东文北路工程2.7亿元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32"/>
          <w:highlight w:val="none"/>
        </w:rPr>
        <w:t>3.</w:t>
      </w:r>
      <w:r>
        <w:rPr>
          <w:rFonts w:hint="eastAsia" w:ascii="Times New Roman" w:hAnsi="Times New Roman" w:eastAsia="仿宋_GB2312" w:cs="Times New Roman"/>
          <w:sz w:val="32"/>
          <w:highlight w:val="none"/>
        </w:rPr>
        <w:t>天津市东丽医院智慧化医院建设项目0.2亿元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黑体" w:eastAsia="黑体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highlight w:val="none"/>
        </w:rPr>
        <w:t>4.</w:t>
      </w:r>
      <w:r>
        <w:rPr>
          <w:rFonts w:hint="eastAsia" w:ascii="Times New Roman" w:hAnsi="Times New Roman" w:eastAsia="仿宋_GB2312" w:cs="Times New Roman"/>
          <w:sz w:val="32"/>
          <w:highlight w:val="none"/>
        </w:rPr>
        <w:t>东丽经开区供热及配套设施工程项目1.1亿元</w:t>
      </w:r>
      <w:r>
        <w:rPr>
          <w:rFonts w:hint="eastAsia" w:ascii="Times New Roman" w:hAnsi="Times New Roman" w:eastAsia="仿宋_GB2312" w:cs="Times New Roman"/>
          <w:sz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Style w:val="8"/>
          <w:rFonts w:ascii="Times New Roman" w:hAnsi="黑体" w:eastAsia="黑体" w:cs="Times New Roman"/>
          <w:sz w:val="32"/>
          <w:szCs w:val="32"/>
          <w:highlight w:val="none"/>
        </w:rPr>
        <w:t>三、</w:t>
      </w:r>
      <w:r>
        <w:rPr>
          <w:rStyle w:val="8"/>
          <w:rFonts w:ascii="Times New Roman" w:hAnsi="Times New Roman" w:eastAsia="黑体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黑体" w:eastAsia="黑体" w:cs="Times New Roman"/>
          <w:sz w:val="32"/>
          <w:szCs w:val="32"/>
          <w:highlight w:val="none"/>
        </w:rPr>
        <w:t>年上半年政府债务情况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年上半年东丽区通过天津市财政局新增发行地方政府专项债券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3.2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亿元，剩余地方政府债务限额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0.1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亿元尚未发行。202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年上半年偿还地方政府债券到期本金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59.9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亿元，利息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11.15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亿元。截至202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年6月底政府债券余额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789.54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亿元，其中：一般债券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262.76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亿元，专项债券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526.78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亿元，政府债务余额未超过限额。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年上半年新增地方政府专项债券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3.2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，项目名称为</w:t>
      </w:r>
      <w:r>
        <w:rPr>
          <w:rFonts w:hint="eastAsia" w:ascii="Times New Roman" w:hAnsi="Times New Roman" w:eastAsia="仿宋_GB2312" w:cs="Times New Roman"/>
          <w:sz w:val="32"/>
          <w:highlight w:val="none"/>
        </w:rPr>
        <w:t>华明-东丽湖片区市政基础设施建设工程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截止202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年6月，202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年新增地方政府债务限额剩余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0.1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亿元尚未完成债券发行工作，待剩余限额内政府债券发行完毕后，将确定东丽区202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年新增债务限额内政府债券整体发行和资金安排，以及累计存量政府债务情况，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并在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年调整预算报告中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予以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明确。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-4.5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MTNlN2Q2YThmYzExM2Y3MzAxZjEwM2YzYjQ1ZDI2NGYifQ=="/>
  </w:docVars>
  <w:rsids>
    <w:rsidRoot w:val="007F0F75"/>
    <w:rsid w:val="005F16CA"/>
    <w:rsid w:val="007F0F75"/>
    <w:rsid w:val="06091382"/>
    <w:rsid w:val="06880B76"/>
    <w:rsid w:val="191541DE"/>
    <w:rsid w:val="19CC371D"/>
    <w:rsid w:val="4A1255C3"/>
    <w:rsid w:val="507A7DA2"/>
    <w:rsid w:val="56527478"/>
    <w:rsid w:val="5D7C4970"/>
    <w:rsid w:val="5FB1072C"/>
    <w:rsid w:val="63AD4F94"/>
    <w:rsid w:val="6C840DFD"/>
    <w:rsid w:val="6F77387A"/>
    <w:rsid w:val="70FA5FAE"/>
    <w:rsid w:val="75161D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rFonts w:ascii="宋体" w:hAnsi="Courier New"/>
      <w:kern w:val="0"/>
      <w:sz w:val="20"/>
      <w:szCs w:val="20"/>
    </w:rPr>
  </w:style>
  <w:style w:type="paragraph" w:styleId="3">
    <w:name w:val="Body Text"/>
    <w:basedOn w:val="1"/>
    <w:uiPriority w:val="0"/>
    <w:rPr>
      <w:rFonts w:ascii="文星仿宋" w:hAnsi="文星仿宋" w:eastAsia="文星仿宋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qFormat/>
    <w:uiPriority w:val="0"/>
    <w:rPr>
      <w:rFonts w:ascii="Calibri" w:hAnsi="Calibri" w:eastAsia="宋体"/>
    </w:rPr>
  </w:style>
  <w:style w:type="table" w:customStyle="1" w:styleId="9">
    <w:name w:val="Table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脚 Char"/>
    <w:basedOn w:val="8"/>
    <w:link w:val="4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1">
    <w:name w:val="页眉 Char"/>
    <w:basedOn w:val="8"/>
    <w:link w:val="5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807</Words>
  <Characters>974</Characters>
  <Lines>9</Lines>
  <Paragraphs>2</Paragraphs>
  <TotalTime>4</TotalTime>
  <ScaleCrop>false</ScaleCrop>
  <LinksUpToDate>false</LinksUpToDate>
  <CharactersWithSpaces>974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:creator>Administrator</dc:creator>
  <cp:lastModifiedBy>Administrator</cp:lastModifiedBy>
  <cp:lastPrinted>2024-08-14T09:35:12Z</cp:lastPrinted>
  <dcterms:modified xsi:type="dcterms:W3CDTF">2024-08-14T09:35:15Z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323e066b24bd46c3a6285df4fdf5cba4</vt:lpwstr>
  </property>
</Properties>
</file>