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rPr>
      </w:pPr>
      <w:bookmarkStart w:id="38" w:name="_GoBack"/>
      <w:bookmarkEnd w:id="38"/>
      <w:r>
        <w:rPr>
          <w:rFonts w:hint="eastAsia" w:ascii="Times New Roman" w:hAnsi="Times New Roman" w:cs="Times New Roman"/>
        </w:rPr>
        <w:t xml:space="preserve"> </w:t>
      </w:r>
    </w:p>
    <w:p>
      <w:pPr>
        <w:rPr>
          <w:rFonts w:ascii="Times New Roman" w:hAnsi="Times New Roman" w:cs="Times New Roman"/>
        </w:rPr>
      </w:pPr>
    </w:p>
    <w:p>
      <w:pPr>
        <w:spacing w:line="360" w:lineRule="auto"/>
        <w:ind w:firstLine="643" w:firstLineChars="200"/>
        <w:jc w:val="center"/>
        <w:rPr>
          <w:rFonts w:ascii="Times New Roman" w:hAnsi="Times New Roman" w:cs="Times New Roman"/>
          <w:b/>
          <w:sz w:val="32"/>
          <w:szCs w:val="32"/>
        </w:rPr>
      </w:pPr>
      <w:r>
        <w:rPr>
          <w:rFonts w:hint="eastAsia" w:ascii="Times New Roman" w:hAnsi="Times New Roman" w:cs="Times New Roman"/>
          <w:b/>
          <w:sz w:val="32"/>
          <w:szCs w:val="32"/>
        </w:rPr>
        <w:t>宣传教育经费绩效评价报告</w:t>
      </w:r>
    </w:p>
    <w:p>
      <w:pPr>
        <w:spacing w:line="360" w:lineRule="exact"/>
        <w:jc w:val="center"/>
      </w:pPr>
    </w:p>
    <w:p>
      <w:pPr>
        <w:spacing w:line="360" w:lineRule="exact"/>
        <w:jc w:val="center"/>
      </w:pPr>
      <w:r>
        <w:rPr>
          <w:rFonts w:hint="eastAsia"/>
        </w:rPr>
        <w:t xml:space="preserve"> </w:t>
      </w:r>
      <w:r>
        <w:t xml:space="preserve">  </w:t>
      </w:r>
    </w:p>
    <w:p>
      <w:pPr>
        <w:rPr>
          <w:rFonts w:ascii="Times New Roman" w:hAnsi="Times New Roman" w:cs="Times New Roman"/>
          <w:sz w:val="32"/>
          <w:szCs w:val="32"/>
        </w:rPr>
      </w:pPr>
    </w:p>
    <w:p>
      <w:pPr>
        <w:spacing w:line="800" w:lineRule="exact"/>
        <w:rPr>
          <w:rFonts w:ascii="Times New Roman" w:hAnsi="Times New Roman" w:cs="Times New Roman"/>
          <w:sz w:val="32"/>
          <w:szCs w:val="32"/>
        </w:rPr>
      </w:pPr>
    </w:p>
    <w:p>
      <w:pPr>
        <w:spacing w:line="800" w:lineRule="exact"/>
        <w:ind w:firstLine="720" w:firstLineChars="300"/>
        <w:rPr>
          <w:rFonts w:ascii="Times New Roman" w:hAnsi="Times New Roman" w:cs="Times New Roman"/>
          <w:u w:val="single"/>
        </w:rPr>
      </w:pPr>
      <w:r>
        <w:rPr>
          <w:rFonts w:ascii="Times New Roman" w:hAnsi="Times New Roman" w:cs="Times New Roman"/>
        </w:rPr>
        <w:t>项目名称</w:t>
      </w:r>
      <w:r>
        <w:rPr>
          <w:rFonts w:hint="eastAsia" w:ascii="Times New Roman" w:hAnsi="Times New Roman" w:cs="Times New Roman"/>
        </w:rPr>
        <w:t xml:space="preserve"> </w:t>
      </w:r>
      <w:r>
        <w:rPr>
          <w:rFonts w:hint="eastAsia" w:ascii="Times New Roman" w:hAnsi="Times New Roman" w:cs="Times New Roman"/>
          <w:u w:val="single"/>
        </w:rPr>
        <w:t>宣传教育经费</w:t>
      </w:r>
    </w:p>
    <w:p>
      <w:pPr>
        <w:spacing w:line="800" w:lineRule="exact"/>
        <w:ind w:firstLine="720" w:firstLineChars="300"/>
        <w:rPr>
          <w:rFonts w:ascii="Times New Roman" w:hAnsi="Times New Roman" w:cs="Times New Roman"/>
          <w:u w:val="single"/>
        </w:rPr>
      </w:pPr>
      <w:r>
        <w:rPr>
          <w:rFonts w:ascii="Times New Roman" w:hAnsi="Times New Roman" w:cs="Times New Roman"/>
        </w:rPr>
        <w:t>项目单位</w:t>
      </w:r>
      <w:r>
        <w:rPr>
          <w:rFonts w:hint="eastAsia" w:ascii="Times New Roman" w:hAnsi="Times New Roman" w:cs="Times New Roman"/>
        </w:rPr>
        <w:t xml:space="preserve"> </w:t>
      </w:r>
      <w:r>
        <w:rPr>
          <w:rFonts w:hint="eastAsia" w:ascii="Times New Roman" w:hAnsi="Times New Roman" w:cs="Times New Roman"/>
          <w:u w:val="single"/>
        </w:rPr>
        <w:t xml:space="preserve">天津市东丽区应急管理局   </w:t>
      </w:r>
    </w:p>
    <w:p>
      <w:pPr>
        <w:spacing w:line="800" w:lineRule="exact"/>
        <w:ind w:firstLine="1920" w:firstLineChars="800"/>
        <w:rPr>
          <w:rFonts w:ascii="Times New Roman" w:hAnsi="Times New Roman" w:cs="Times New Roman"/>
          <w:u w:val="single"/>
        </w:rPr>
      </w:pPr>
    </w:p>
    <w:p>
      <w:pPr>
        <w:spacing w:line="348" w:lineRule="auto"/>
        <w:jc w:val="center"/>
        <w:rPr>
          <w:rFonts w:ascii="Times New Roman" w:hAnsi="Times New Roman" w:cs="Times New Roman"/>
        </w:rPr>
      </w:pPr>
    </w:p>
    <w:p>
      <w:pPr>
        <w:spacing w:line="348" w:lineRule="auto"/>
        <w:jc w:val="center"/>
        <w:rPr>
          <w:rFonts w:ascii="Times New Roman" w:hAnsi="Times New Roman" w:cs="Times New Roman"/>
        </w:rPr>
      </w:pPr>
    </w:p>
    <w:p>
      <w:pPr>
        <w:spacing w:line="348" w:lineRule="auto"/>
        <w:jc w:val="center"/>
        <w:rPr>
          <w:rFonts w:ascii="Times New Roman" w:hAnsi="Times New Roman" w:cs="Times New Roman"/>
        </w:rPr>
      </w:pPr>
    </w:p>
    <w:p>
      <w:pPr>
        <w:spacing w:line="348" w:lineRule="auto"/>
        <w:jc w:val="center"/>
        <w:rPr>
          <w:rFonts w:ascii="Times New Roman" w:hAnsi="Times New Roman" w:cs="Times New Roman"/>
        </w:rPr>
      </w:pPr>
    </w:p>
    <w:p>
      <w:pPr>
        <w:spacing w:line="348" w:lineRule="auto"/>
        <w:jc w:val="center"/>
        <w:rPr>
          <w:rFonts w:ascii="Times New Roman" w:hAnsi="Times New Roman" w:cs="Times New Roman"/>
        </w:rPr>
      </w:pPr>
    </w:p>
    <w:p>
      <w:pPr>
        <w:spacing w:line="348" w:lineRule="auto"/>
        <w:jc w:val="center"/>
        <w:rPr>
          <w:rFonts w:ascii="Times New Roman" w:hAnsi="Times New Roman" w:cs="Times New Roman"/>
        </w:rPr>
      </w:pPr>
    </w:p>
    <w:p>
      <w:pPr>
        <w:spacing w:line="348" w:lineRule="auto"/>
        <w:jc w:val="center"/>
        <w:rPr>
          <w:rFonts w:ascii="Times New Roman" w:hAnsi="Times New Roman" w:cs="Times New Roman"/>
        </w:rPr>
      </w:pPr>
      <w:r>
        <w:rPr>
          <w:rFonts w:ascii="Times New Roman" w:hAnsi="Times New Roman" w:cs="Times New Roman"/>
        </w:rPr>
        <w:t>天津广信有限责任会计师事务所</w:t>
      </w:r>
    </w:p>
    <w:p>
      <w:pPr>
        <w:spacing w:line="348" w:lineRule="auto"/>
        <w:jc w:val="center"/>
        <w:rPr>
          <w:rFonts w:ascii="Times New Roman" w:hAnsi="Times New Roman" w:cs="Times New Roman"/>
        </w:rPr>
      </w:pPr>
    </w:p>
    <w:p>
      <w:pPr>
        <w:spacing w:line="348" w:lineRule="auto"/>
        <w:jc w:val="center"/>
        <w:rPr>
          <w:rFonts w:ascii="Times New Roman" w:hAnsi="Times New Roman" w:cs="Times New Roman"/>
        </w:rPr>
      </w:pPr>
      <w:r>
        <w:rPr>
          <w:rFonts w:ascii="Times New Roman" w:hAnsi="Times New Roman" w:cs="Times New Roman"/>
        </w:rPr>
        <w:t>20</w:t>
      </w:r>
      <w:r>
        <w:rPr>
          <w:rFonts w:hint="eastAsia" w:ascii="Times New Roman" w:hAnsi="Times New Roman" w:cs="Times New Roman"/>
        </w:rPr>
        <w:t>21</w:t>
      </w:r>
      <w:r>
        <w:rPr>
          <w:rFonts w:ascii="Times New Roman" w:hAnsi="Times New Roman" w:cs="Times New Roman"/>
        </w:rPr>
        <w:t>年</w:t>
      </w:r>
      <w:r>
        <w:rPr>
          <w:rFonts w:hint="eastAsia" w:ascii="Times New Roman" w:hAnsi="Times New Roman" w:cs="Times New Roman"/>
        </w:rPr>
        <w:t>12</w:t>
      </w:r>
      <w:r>
        <w:rPr>
          <w:rFonts w:ascii="Times New Roman" w:hAnsi="Times New Roman" w:cs="Times New Roman"/>
        </w:rPr>
        <w:t>月</w:t>
      </w:r>
      <w:r>
        <w:rPr>
          <w:rFonts w:hint="eastAsia" w:ascii="Times New Roman" w:hAnsi="Times New Roman" w:cs="Times New Roman"/>
        </w:rPr>
        <w:t>17</w:t>
      </w:r>
      <w:r>
        <w:rPr>
          <w:rFonts w:ascii="Times New Roman" w:hAnsi="Times New Roman" w:cs="Times New Roman"/>
        </w:rPr>
        <w:t>日</w:t>
      </w:r>
    </w:p>
    <w:p>
      <w:pPr>
        <w:rPr>
          <w:rFonts w:ascii="Times New Roman" w:hAnsi="Times New Roman" w:cs="Times New Roman"/>
        </w:rPr>
      </w:pPr>
      <w:r>
        <w:rPr>
          <w:rFonts w:ascii="Times New Roman" w:hAnsi="Times New Roman" w:cs="Times New Roman"/>
        </w:rPr>
        <w:br w:type="page"/>
      </w:r>
    </w:p>
    <w:sdt>
      <w:sdtPr>
        <w:rPr>
          <w:b/>
          <w:bCs/>
          <w:sz w:val="21"/>
        </w:rPr>
        <w:id w:val="147457865"/>
        <w15:color w:val="DBDBDB"/>
        <w:docPartObj>
          <w:docPartGallery w:val="Table of Contents"/>
          <w:docPartUnique/>
        </w:docPartObj>
      </w:sdtPr>
      <w:sdtEndPr>
        <w:rPr>
          <w:b/>
          <w:bCs/>
          <w:sz w:val="21"/>
        </w:rPr>
      </w:sdtEndPr>
      <w:sdtContent>
        <w:p>
          <w:pPr>
            <w:spacing w:line="500" w:lineRule="exact"/>
            <w:jc w:val="center"/>
            <w:rPr>
              <w:b/>
              <w:bCs/>
            </w:rPr>
          </w:pPr>
          <w:r>
            <w:rPr>
              <w:b/>
              <w:bCs/>
              <w:sz w:val="21"/>
            </w:rPr>
            <w:t>目录</w:t>
          </w:r>
        </w:p>
        <w:p>
          <w:pPr>
            <w:pStyle w:val="28"/>
            <w:tabs>
              <w:tab w:val="right" w:leader="dot" w:pos="8306"/>
            </w:tabs>
            <w:spacing w:line="500" w:lineRule="exact"/>
            <w:rPr>
              <w:b/>
            </w:rPr>
          </w:pPr>
          <w:r>
            <w:fldChar w:fldCharType="begin"/>
          </w:r>
          <w:r>
            <w:instrText xml:space="preserve">TOC \o "1-2" \h \u </w:instrText>
          </w:r>
          <w:r>
            <w:fldChar w:fldCharType="separate"/>
          </w:r>
          <w:r>
            <w:fldChar w:fldCharType="begin"/>
          </w:r>
          <w:r>
            <w:instrText xml:space="preserve"> HYPERLINK \l "_Toc5789" </w:instrText>
          </w:r>
          <w:r>
            <w:fldChar w:fldCharType="separate"/>
          </w:r>
          <w:r>
            <w:rPr>
              <w:b/>
            </w:rPr>
            <w:t xml:space="preserve">一、 </w:t>
          </w:r>
          <w:r>
            <w:rPr>
              <w:rFonts w:hint="eastAsia"/>
              <w:b/>
            </w:rPr>
            <w:t>项目基本概况</w:t>
          </w:r>
          <w:r>
            <w:rPr>
              <w:b/>
            </w:rPr>
            <w:tab/>
          </w:r>
          <w:r>
            <w:rPr>
              <w:b/>
            </w:rPr>
            <w:fldChar w:fldCharType="begin"/>
          </w:r>
          <w:r>
            <w:rPr>
              <w:b/>
            </w:rPr>
            <w:instrText xml:space="preserve"> PAGEREF _Toc5789 \h </w:instrText>
          </w:r>
          <w:r>
            <w:rPr>
              <w:b/>
            </w:rPr>
            <w:fldChar w:fldCharType="separate"/>
          </w:r>
          <w:r>
            <w:rPr>
              <w:b/>
            </w:rPr>
            <w:t>1</w:t>
          </w:r>
          <w:r>
            <w:rPr>
              <w:b/>
            </w:rPr>
            <w:fldChar w:fldCharType="end"/>
          </w:r>
          <w:r>
            <w:rPr>
              <w:b/>
            </w:rPr>
            <w:fldChar w:fldCharType="end"/>
          </w:r>
        </w:p>
        <w:p>
          <w:pPr>
            <w:pStyle w:val="29"/>
            <w:tabs>
              <w:tab w:val="right" w:leader="dot" w:pos="8306"/>
            </w:tabs>
            <w:spacing w:line="500" w:lineRule="exact"/>
            <w:ind w:left="480"/>
          </w:pPr>
          <w:r>
            <w:fldChar w:fldCharType="begin"/>
          </w:r>
          <w:r>
            <w:instrText xml:space="preserve"> HYPERLINK \l "_Toc12657" </w:instrText>
          </w:r>
          <w:r>
            <w:fldChar w:fldCharType="separate"/>
          </w:r>
          <w:r>
            <w:rPr>
              <w:rFonts w:hint="eastAsia" w:ascii="宋体" w:hAnsi="宋体"/>
            </w:rPr>
            <w:t>（一） 项目背景</w:t>
          </w:r>
          <w:r>
            <w:tab/>
          </w:r>
          <w:r>
            <w:fldChar w:fldCharType="begin"/>
          </w:r>
          <w:r>
            <w:instrText xml:space="preserve"> PAGEREF _Toc12657 \h </w:instrText>
          </w:r>
          <w:r>
            <w:fldChar w:fldCharType="separate"/>
          </w:r>
          <w:r>
            <w:t>1</w:t>
          </w:r>
          <w:r>
            <w:fldChar w:fldCharType="end"/>
          </w:r>
          <w:r>
            <w:fldChar w:fldCharType="end"/>
          </w:r>
        </w:p>
        <w:p>
          <w:pPr>
            <w:pStyle w:val="29"/>
            <w:tabs>
              <w:tab w:val="right" w:leader="dot" w:pos="8306"/>
            </w:tabs>
            <w:spacing w:line="500" w:lineRule="exact"/>
            <w:ind w:left="480"/>
          </w:pPr>
          <w:r>
            <w:fldChar w:fldCharType="begin"/>
          </w:r>
          <w:r>
            <w:instrText xml:space="preserve"> HYPERLINK \l "_Toc23770" </w:instrText>
          </w:r>
          <w:r>
            <w:fldChar w:fldCharType="separate"/>
          </w:r>
          <w:r>
            <w:rPr>
              <w:rFonts w:hint="eastAsia"/>
            </w:rPr>
            <w:t>（二）项目组织实施概况</w:t>
          </w:r>
          <w:r>
            <w:tab/>
          </w:r>
          <w:r>
            <w:fldChar w:fldCharType="begin"/>
          </w:r>
          <w:r>
            <w:instrText xml:space="preserve"> PAGEREF _Toc23770 \h </w:instrText>
          </w:r>
          <w:r>
            <w:fldChar w:fldCharType="separate"/>
          </w:r>
          <w:r>
            <w:t>1</w:t>
          </w:r>
          <w:r>
            <w:fldChar w:fldCharType="end"/>
          </w:r>
          <w:r>
            <w:fldChar w:fldCharType="end"/>
          </w:r>
        </w:p>
        <w:p>
          <w:pPr>
            <w:pStyle w:val="29"/>
            <w:tabs>
              <w:tab w:val="right" w:leader="dot" w:pos="8306"/>
            </w:tabs>
            <w:spacing w:line="500" w:lineRule="exact"/>
            <w:ind w:left="480"/>
          </w:pPr>
          <w:r>
            <w:fldChar w:fldCharType="begin"/>
          </w:r>
          <w:r>
            <w:instrText xml:space="preserve"> HYPERLINK \l "_Toc2341" </w:instrText>
          </w:r>
          <w:r>
            <w:fldChar w:fldCharType="separate"/>
          </w:r>
          <w:r>
            <w:rPr>
              <w:rFonts w:hint="eastAsia"/>
            </w:rPr>
            <w:t>（三）</w:t>
          </w:r>
          <w:r>
            <w:t>绩效目标设定情况</w:t>
          </w:r>
          <w:r>
            <w:tab/>
          </w:r>
          <w:r>
            <w:fldChar w:fldCharType="begin"/>
          </w:r>
          <w:r>
            <w:instrText xml:space="preserve"> PAGEREF _Toc2341 \h </w:instrText>
          </w:r>
          <w:r>
            <w:fldChar w:fldCharType="separate"/>
          </w:r>
          <w:r>
            <w:t>1</w:t>
          </w:r>
          <w:r>
            <w:fldChar w:fldCharType="end"/>
          </w:r>
          <w:r>
            <w:fldChar w:fldCharType="end"/>
          </w:r>
        </w:p>
        <w:p>
          <w:pPr>
            <w:pStyle w:val="29"/>
            <w:tabs>
              <w:tab w:val="right" w:leader="dot" w:pos="8306"/>
            </w:tabs>
            <w:spacing w:line="500" w:lineRule="exact"/>
            <w:ind w:left="480"/>
          </w:pPr>
          <w:r>
            <w:fldChar w:fldCharType="begin"/>
          </w:r>
          <w:r>
            <w:instrText xml:space="preserve"> HYPERLINK \l "_Toc21020" </w:instrText>
          </w:r>
          <w:r>
            <w:fldChar w:fldCharType="separate"/>
          </w:r>
          <w:r>
            <w:rPr>
              <w:rFonts w:hint="eastAsia"/>
            </w:rPr>
            <w:t>（四）年度资金执行情况</w:t>
          </w:r>
          <w:r>
            <w:tab/>
          </w:r>
          <w:r>
            <w:fldChar w:fldCharType="begin"/>
          </w:r>
          <w:r>
            <w:instrText xml:space="preserve"> PAGEREF _Toc21020 \h </w:instrText>
          </w:r>
          <w:r>
            <w:fldChar w:fldCharType="separate"/>
          </w:r>
          <w:r>
            <w:t>1</w:t>
          </w:r>
          <w:r>
            <w:fldChar w:fldCharType="end"/>
          </w:r>
          <w:r>
            <w:fldChar w:fldCharType="end"/>
          </w:r>
        </w:p>
        <w:p>
          <w:pPr>
            <w:pStyle w:val="28"/>
            <w:tabs>
              <w:tab w:val="right" w:leader="dot" w:pos="8306"/>
            </w:tabs>
            <w:spacing w:line="500" w:lineRule="exact"/>
            <w:rPr>
              <w:b/>
            </w:rPr>
          </w:pPr>
          <w:r>
            <w:fldChar w:fldCharType="begin"/>
          </w:r>
          <w:r>
            <w:instrText xml:space="preserve"> HYPERLINK \l "_Toc16732" </w:instrText>
          </w:r>
          <w:r>
            <w:fldChar w:fldCharType="separate"/>
          </w:r>
          <w:r>
            <w:rPr>
              <w:rFonts w:hint="eastAsia"/>
              <w:b/>
            </w:rPr>
            <w:t>二、 绩效评价的组织实施情况</w:t>
          </w:r>
          <w:r>
            <w:rPr>
              <w:b/>
            </w:rPr>
            <w:tab/>
          </w:r>
          <w:r>
            <w:rPr>
              <w:b/>
            </w:rPr>
            <w:fldChar w:fldCharType="begin"/>
          </w:r>
          <w:r>
            <w:rPr>
              <w:b/>
            </w:rPr>
            <w:instrText xml:space="preserve"> PAGEREF _Toc16732 \h </w:instrText>
          </w:r>
          <w:r>
            <w:rPr>
              <w:b/>
            </w:rPr>
            <w:fldChar w:fldCharType="separate"/>
          </w:r>
          <w:r>
            <w:rPr>
              <w:b/>
            </w:rPr>
            <w:t>2</w:t>
          </w:r>
          <w:r>
            <w:rPr>
              <w:b/>
            </w:rPr>
            <w:fldChar w:fldCharType="end"/>
          </w:r>
          <w:r>
            <w:rPr>
              <w:b/>
            </w:rPr>
            <w:fldChar w:fldCharType="end"/>
          </w:r>
        </w:p>
        <w:p>
          <w:pPr>
            <w:pStyle w:val="29"/>
            <w:tabs>
              <w:tab w:val="right" w:leader="dot" w:pos="8306"/>
            </w:tabs>
            <w:spacing w:line="500" w:lineRule="exact"/>
            <w:ind w:left="480"/>
          </w:pPr>
          <w:r>
            <w:fldChar w:fldCharType="begin"/>
          </w:r>
          <w:r>
            <w:instrText xml:space="preserve"> HYPERLINK \l "_Toc14879" </w:instrText>
          </w:r>
          <w:r>
            <w:fldChar w:fldCharType="separate"/>
          </w:r>
          <w:r>
            <w:rPr>
              <w:rFonts w:hint="eastAsia" w:ascii="宋体" w:hAnsi="宋体" w:cs="宋体"/>
            </w:rPr>
            <w:t>（一） 绩效评价项目组的人员构成</w:t>
          </w:r>
          <w:r>
            <w:tab/>
          </w:r>
          <w:r>
            <w:fldChar w:fldCharType="begin"/>
          </w:r>
          <w:r>
            <w:instrText xml:space="preserve"> PAGEREF _Toc14879 \h </w:instrText>
          </w:r>
          <w:r>
            <w:fldChar w:fldCharType="separate"/>
          </w:r>
          <w:r>
            <w:t>2</w:t>
          </w:r>
          <w:r>
            <w:fldChar w:fldCharType="end"/>
          </w:r>
          <w:r>
            <w:fldChar w:fldCharType="end"/>
          </w:r>
        </w:p>
        <w:p>
          <w:pPr>
            <w:pStyle w:val="29"/>
            <w:tabs>
              <w:tab w:val="right" w:leader="dot" w:pos="8306"/>
            </w:tabs>
            <w:spacing w:line="500" w:lineRule="exact"/>
            <w:ind w:left="480"/>
          </w:pPr>
          <w:r>
            <w:fldChar w:fldCharType="begin"/>
          </w:r>
          <w:r>
            <w:instrText xml:space="preserve"> HYPERLINK \l "_Toc19838" </w:instrText>
          </w:r>
          <w:r>
            <w:fldChar w:fldCharType="separate"/>
          </w:r>
          <w:r>
            <w:rPr>
              <w:rFonts w:hint="eastAsia"/>
              <w:lang w:bidi="ar"/>
            </w:rPr>
            <w:t>（二）绩效评价工作程序和进度</w:t>
          </w:r>
          <w:r>
            <w:tab/>
          </w:r>
          <w:r>
            <w:fldChar w:fldCharType="begin"/>
          </w:r>
          <w:r>
            <w:instrText xml:space="preserve"> PAGEREF _Toc19838 \h </w:instrText>
          </w:r>
          <w:r>
            <w:fldChar w:fldCharType="separate"/>
          </w:r>
          <w:r>
            <w:t>2</w:t>
          </w:r>
          <w:r>
            <w:fldChar w:fldCharType="end"/>
          </w:r>
          <w:r>
            <w:fldChar w:fldCharType="end"/>
          </w:r>
        </w:p>
        <w:p>
          <w:pPr>
            <w:pStyle w:val="29"/>
            <w:tabs>
              <w:tab w:val="right" w:leader="dot" w:pos="8306"/>
            </w:tabs>
            <w:spacing w:line="500" w:lineRule="exact"/>
            <w:ind w:left="480"/>
          </w:pPr>
          <w:r>
            <w:fldChar w:fldCharType="begin"/>
          </w:r>
          <w:r>
            <w:instrText xml:space="preserve"> HYPERLINK \l "_Toc26329" </w:instrText>
          </w:r>
          <w:r>
            <w:fldChar w:fldCharType="separate"/>
          </w:r>
          <w:r>
            <w:rPr>
              <w:rFonts w:hint="eastAsia"/>
              <w:lang w:bidi="ar"/>
            </w:rPr>
            <w:t>（三）</w:t>
          </w:r>
          <w:r>
            <w:rPr>
              <w:rFonts w:hint="eastAsia"/>
              <w:bCs/>
              <w:lang w:bidi="ar"/>
            </w:rPr>
            <w:t>绩效评价的基本原则：</w:t>
          </w:r>
          <w:r>
            <w:tab/>
          </w:r>
          <w:r>
            <w:fldChar w:fldCharType="begin"/>
          </w:r>
          <w:r>
            <w:instrText xml:space="preserve"> PAGEREF _Toc26329 \h </w:instrText>
          </w:r>
          <w:r>
            <w:fldChar w:fldCharType="separate"/>
          </w:r>
          <w:r>
            <w:t>3</w:t>
          </w:r>
          <w:r>
            <w:fldChar w:fldCharType="end"/>
          </w:r>
          <w:r>
            <w:fldChar w:fldCharType="end"/>
          </w:r>
        </w:p>
        <w:p>
          <w:pPr>
            <w:pStyle w:val="29"/>
            <w:tabs>
              <w:tab w:val="right" w:leader="dot" w:pos="8306"/>
            </w:tabs>
            <w:spacing w:line="500" w:lineRule="exact"/>
            <w:ind w:left="480"/>
          </w:pPr>
          <w:r>
            <w:fldChar w:fldCharType="begin"/>
          </w:r>
          <w:r>
            <w:instrText xml:space="preserve"> HYPERLINK \l "_Toc31508" </w:instrText>
          </w:r>
          <w:r>
            <w:fldChar w:fldCharType="separate"/>
          </w:r>
          <w:r>
            <w:rPr>
              <w:rFonts w:hint="eastAsia"/>
              <w:bCs/>
              <w:lang w:bidi="ar"/>
            </w:rPr>
            <w:t>（四）绩效评价的主要依据：</w:t>
          </w:r>
          <w:r>
            <w:tab/>
          </w:r>
          <w:r>
            <w:fldChar w:fldCharType="begin"/>
          </w:r>
          <w:r>
            <w:instrText xml:space="preserve"> PAGEREF _Toc31508 \h </w:instrText>
          </w:r>
          <w:r>
            <w:fldChar w:fldCharType="separate"/>
          </w:r>
          <w:r>
            <w:t>4</w:t>
          </w:r>
          <w:r>
            <w:fldChar w:fldCharType="end"/>
          </w:r>
          <w:r>
            <w:fldChar w:fldCharType="end"/>
          </w:r>
        </w:p>
        <w:p>
          <w:pPr>
            <w:pStyle w:val="28"/>
            <w:tabs>
              <w:tab w:val="right" w:leader="dot" w:pos="8306"/>
            </w:tabs>
            <w:spacing w:line="500" w:lineRule="exact"/>
            <w:rPr>
              <w:b/>
            </w:rPr>
          </w:pPr>
          <w:r>
            <w:fldChar w:fldCharType="begin"/>
          </w:r>
          <w:r>
            <w:instrText xml:space="preserve"> HYPERLINK \l "_Toc19825" </w:instrText>
          </w:r>
          <w:r>
            <w:fldChar w:fldCharType="separate"/>
          </w:r>
          <w:r>
            <w:rPr>
              <w:b/>
            </w:rPr>
            <w:t>三、绩效评价指标体系、评价标准和评价方法</w:t>
          </w:r>
          <w:r>
            <w:rPr>
              <w:b/>
            </w:rPr>
            <w:tab/>
          </w:r>
          <w:r>
            <w:rPr>
              <w:b/>
            </w:rPr>
            <w:fldChar w:fldCharType="begin"/>
          </w:r>
          <w:r>
            <w:rPr>
              <w:b/>
            </w:rPr>
            <w:instrText xml:space="preserve"> PAGEREF _Toc19825 \h </w:instrText>
          </w:r>
          <w:r>
            <w:rPr>
              <w:b/>
            </w:rPr>
            <w:fldChar w:fldCharType="separate"/>
          </w:r>
          <w:r>
            <w:rPr>
              <w:b/>
            </w:rPr>
            <w:t>4</w:t>
          </w:r>
          <w:r>
            <w:rPr>
              <w:b/>
            </w:rPr>
            <w:fldChar w:fldCharType="end"/>
          </w:r>
          <w:r>
            <w:rPr>
              <w:b/>
            </w:rPr>
            <w:fldChar w:fldCharType="end"/>
          </w:r>
        </w:p>
        <w:p>
          <w:pPr>
            <w:pStyle w:val="29"/>
            <w:tabs>
              <w:tab w:val="right" w:leader="dot" w:pos="8306"/>
            </w:tabs>
            <w:spacing w:line="500" w:lineRule="exact"/>
            <w:ind w:left="480"/>
          </w:pPr>
          <w:r>
            <w:fldChar w:fldCharType="begin"/>
          </w:r>
          <w:r>
            <w:instrText xml:space="preserve"> HYPERLINK \l "_Toc22878" </w:instrText>
          </w:r>
          <w:r>
            <w:fldChar w:fldCharType="separate"/>
          </w:r>
          <w:r>
            <w:rPr>
              <w:lang w:bidi="ar"/>
            </w:rPr>
            <w:t>（一）</w:t>
          </w:r>
          <w:r>
            <w:rPr>
              <w:bCs/>
              <w:lang w:bidi="ar"/>
            </w:rPr>
            <w:t>指标构建原则及思路</w:t>
          </w:r>
          <w:r>
            <w:tab/>
          </w:r>
          <w:r>
            <w:fldChar w:fldCharType="begin"/>
          </w:r>
          <w:r>
            <w:instrText xml:space="preserve"> PAGEREF _Toc22878 \h </w:instrText>
          </w:r>
          <w:r>
            <w:fldChar w:fldCharType="separate"/>
          </w:r>
          <w:r>
            <w:t>4</w:t>
          </w:r>
          <w:r>
            <w:fldChar w:fldCharType="end"/>
          </w:r>
          <w:r>
            <w:fldChar w:fldCharType="end"/>
          </w:r>
        </w:p>
        <w:p>
          <w:pPr>
            <w:pStyle w:val="29"/>
            <w:tabs>
              <w:tab w:val="right" w:leader="dot" w:pos="8306"/>
            </w:tabs>
            <w:spacing w:line="500" w:lineRule="exact"/>
            <w:ind w:left="480"/>
          </w:pPr>
          <w:r>
            <w:fldChar w:fldCharType="begin"/>
          </w:r>
          <w:r>
            <w:instrText xml:space="preserve"> HYPERLINK \l "_Toc23544" </w:instrText>
          </w:r>
          <w:r>
            <w:fldChar w:fldCharType="separate"/>
          </w:r>
          <w:r>
            <w:rPr>
              <w:rFonts w:hint="eastAsia"/>
              <w:lang w:bidi="ar"/>
            </w:rPr>
            <w:t>（二）</w:t>
          </w:r>
          <w:r>
            <w:rPr>
              <w:rFonts w:hint="eastAsia"/>
              <w:bCs/>
              <w:lang w:bidi="ar"/>
            </w:rPr>
            <w:t>评价标准</w:t>
          </w:r>
          <w:r>
            <w:tab/>
          </w:r>
          <w:r>
            <w:fldChar w:fldCharType="begin"/>
          </w:r>
          <w:r>
            <w:instrText xml:space="preserve"> PAGEREF _Toc23544 \h </w:instrText>
          </w:r>
          <w:r>
            <w:fldChar w:fldCharType="separate"/>
          </w:r>
          <w:r>
            <w:t>7</w:t>
          </w:r>
          <w:r>
            <w:fldChar w:fldCharType="end"/>
          </w:r>
          <w:r>
            <w:fldChar w:fldCharType="end"/>
          </w:r>
        </w:p>
        <w:p>
          <w:pPr>
            <w:pStyle w:val="29"/>
            <w:tabs>
              <w:tab w:val="right" w:leader="dot" w:pos="8306"/>
            </w:tabs>
            <w:spacing w:line="500" w:lineRule="exact"/>
            <w:ind w:left="480"/>
          </w:pPr>
          <w:r>
            <w:fldChar w:fldCharType="begin"/>
          </w:r>
          <w:r>
            <w:instrText xml:space="preserve"> HYPERLINK \l "_Toc4792" </w:instrText>
          </w:r>
          <w:r>
            <w:fldChar w:fldCharType="separate"/>
          </w:r>
          <w:r>
            <w:rPr>
              <w:rFonts w:hint="eastAsia"/>
              <w:lang w:bidi="ar"/>
            </w:rPr>
            <w:t>（三）</w:t>
          </w:r>
          <w:r>
            <w:rPr>
              <w:rFonts w:hint="eastAsia"/>
              <w:bCs/>
              <w:lang w:bidi="ar"/>
            </w:rPr>
            <w:t>评价结果等级</w:t>
          </w:r>
          <w:r>
            <w:tab/>
          </w:r>
          <w:r>
            <w:fldChar w:fldCharType="begin"/>
          </w:r>
          <w:r>
            <w:instrText xml:space="preserve"> PAGEREF _Toc4792 \h </w:instrText>
          </w:r>
          <w:r>
            <w:fldChar w:fldCharType="separate"/>
          </w:r>
          <w:r>
            <w:t>7</w:t>
          </w:r>
          <w:r>
            <w:fldChar w:fldCharType="end"/>
          </w:r>
          <w:r>
            <w:fldChar w:fldCharType="end"/>
          </w:r>
        </w:p>
        <w:p>
          <w:pPr>
            <w:pStyle w:val="29"/>
            <w:tabs>
              <w:tab w:val="right" w:leader="dot" w:pos="8306"/>
            </w:tabs>
            <w:spacing w:line="500" w:lineRule="exact"/>
            <w:ind w:left="480"/>
          </w:pPr>
          <w:r>
            <w:fldChar w:fldCharType="begin"/>
          </w:r>
          <w:r>
            <w:instrText xml:space="preserve"> HYPERLINK \l "_Toc23998" </w:instrText>
          </w:r>
          <w:r>
            <w:fldChar w:fldCharType="separate"/>
          </w:r>
          <w:r>
            <w:rPr>
              <w:rFonts w:hint="eastAsia"/>
              <w:lang w:bidi="ar"/>
            </w:rPr>
            <w:t>（四）</w:t>
          </w:r>
          <w:r>
            <w:rPr>
              <w:rFonts w:hint="eastAsia"/>
              <w:bCs/>
              <w:lang w:bidi="ar"/>
            </w:rPr>
            <w:t>评价方法</w:t>
          </w:r>
          <w:r>
            <w:tab/>
          </w:r>
          <w:r>
            <w:fldChar w:fldCharType="begin"/>
          </w:r>
          <w:r>
            <w:instrText xml:space="preserve"> PAGEREF _Toc23998 \h </w:instrText>
          </w:r>
          <w:r>
            <w:fldChar w:fldCharType="separate"/>
          </w:r>
          <w:r>
            <w:t>7</w:t>
          </w:r>
          <w:r>
            <w:fldChar w:fldCharType="end"/>
          </w:r>
          <w:r>
            <w:fldChar w:fldCharType="end"/>
          </w:r>
        </w:p>
        <w:p>
          <w:pPr>
            <w:pStyle w:val="28"/>
            <w:tabs>
              <w:tab w:val="right" w:leader="dot" w:pos="8306"/>
            </w:tabs>
            <w:spacing w:line="500" w:lineRule="exact"/>
            <w:rPr>
              <w:b/>
            </w:rPr>
          </w:pPr>
          <w:r>
            <w:fldChar w:fldCharType="begin"/>
          </w:r>
          <w:r>
            <w:instrText xml:space="preserve"> HYPERLINK \l "_Toc28171" </w:instrText>
          </w:r>
          <w:r>
            <w:fldChar w:fldCharType="separate"/>
          </w:r>
          <w:r>
            <w:rPr>
              <w:b/>
              <w:lang w:bidi="ar"/>
            </w:rPr>
            <w:t>四、</w:t>
          </w:r>
          <w:r>
            <w:rPr>
              <w:rFonts w:hint="eastAsia"/>
              <w:b/>
              <w:lang w:bidi="ar"/>
            </w:rPr>
            <w:t>项目绩效与评价结论</w:t>
          </w:r>
          <w:r>
            <w:rPr>
              <w:b/>
            </w:rPr>
            <w:tab/>
          </w:r>
          <w:r>
            <w:rPr>
              <w:b/>
            </w:rPr>
            <w:fldChar w:fldCharType="begin"/>
          </w:r>
          <w:r>
            <w:rPr>
              <w:b/>
            </w:rPr>
            <w:instrText xml:space="preserve"> PAGEREF _Toc28171 \h </w:instrText>
          </w:r>
          <w:r>
            <w:rPr>
              <w:b/>
            </w:rPr>
            <w:fldChar w:fldCharType="separate"/>
          </w:r>
          <w:r>
            <w:rPr>
              <w:b/>
            </w:rPr>
            <w:t>7</w:t>
          </w:r>
          <w:r>
            <w:rPr>
              <w:b/>
            </w:rPr>
            <w:fldChar w:fldCharType="end"/>
          </w:r>
          <w:r>
            <w:rPr>
              <w:b/>
            </w:rPr>
            <w:fldChar w:fldCharType="end"/>
          </w:r>
        </w:p>
        <w:p>
          <w:pPr>
            <w:pStyle w:val="29"/>
            <w:tabs>
              <w:tab w:val="right" w:leader="dot" w:pos="8306"/>
            </w:tabs>
            <w:spacing w:line="500" w:lineRule="exact"/>
            <w:ind w:left="480"/>
          </w:pPr>
          <w:r>
            <w:fldChar w:fldCharType="begin"/>
          </w:r>
          <w:r>
            <w:instrText xml:space="preserve"> HYPERLINK \l "_Toc27514" </w:instrText>
          </w:r>
          <w:r>
            <w:fldChar w:fldCharType="separate"/>
          </w:r>
          <w:r>
            <w:rPr>
              <w:rFonts w:hint="eastAsia"/>
              <w:lang w:bidi="ar"/>
            </w:rPr>
            <w:t>（一）评价得分情况</w:t>
          </w:r>
          <w:r>
            <w:tab/>
          </w:r>
          <w:r>
            <w:fldChar w:fldCharType="begin"/>
          </w:r>
          <w:r>
            <w:instrText xml:space="preserve"> PAGEREF _Toc27514 \h </w:instrText>
          </w:r>
          <w:r>
            <w:fldChar w:fldCharType="separate"/>
          </w:r>
          <w:r>
            <w:t>7</w:t>
          </w:r>
          <w:r>
            <w:fldChar w:fldCharType="end"/>
          </w:r>
          <w:r>
            <w:fldChar w:fldCharType="end"/>
          </w:r>
        </w:p>
        <w:p>
          <w:pPr>
            <w:pStyle w:val="29"/>
            <w:tabs>
              <w:tab w:val="right" w:leader="dot" w:pos="8306"/>
            </w:tabs>
            <w:spacing w:line="500" w:lineRule="exact"/>
            <w:ind w:left="480"/>
          </w:pPr>
          <w:r>
            <w:fldChar w:fldCharType="begin"/>
          </w:r>
          <w:r>
            <w:instrText xml:space="preserve"> HYPERLINK \l "_Toc8408" </w:instrText>
          </w:r>
          <w:r>
            <w:fldChar w:fldCharType="separate"/>
          </w:r>
          <w:r>
            <w:rPr>
              <w:rFonts w:hint="eastAsia"/>
              <w:bCs/>
              <w:lang w:bidi="ar"/>
            </w:rPr>
            <w:t>（二）项目所实现的主要绩效</w:t>
          </w:r>
          <w:r>
            <w:tab/>
          </w:r>
          <w:r>
            <w:fldChar w:fldCharType="begin"/>
          </w:r>
          <w:r>
            <w:instrText xml:space="preserve"> PAGEREF _Toc8408 \h </w:instrText>
          </w:r>
          <w:r>
            <w:fldChar w:fldCharType="separate"/>
          </w:r>
          <w:r>
            <w:t>8</w:t>
          </w:r>
          <w:r>
            <w:fldChar w:fldCharType="end"/>
          </w:r>
          <w:r>
            <w:fldChar w:fldCharType="end"/>
          </w:r>
        </w:p>
        <w:p>
          <w:pPr>
            <w:pStyle w:val="28"/>
            <w:tabs>
              <w:tab w:val="right" w:leader="dot" w:pos="8306"/>
            </w:tabs>
            <w:spacing w:line="500" w:lineRule="exact"/>
            <w:rPr>
              <w:b/>
            </w:rPr>
          </w:pPr>
          <w:r>
            <w:fldChar w:fldCharType="begin"/>
          </w:r>
          <w:r>
            <w:instrText xml:space="preserve"> HYPERLINK \l "_Toc3497" </w:instrText>
          </w:r>
          <w:r>
            <w:fldChar w:fldCharType="separate"/>
          </w:r>
          <w:r>
            <w:rPr>
              <w:rFonts w:hint="eastAsia"/>
              <w:b/>
              <w:lang w:bidi="ar"/>
            </w:rPr>
            <w:t>五</w:t>
          </w:r>
          <w:r>
            <w:rPr>
              <w:b/>
              <w:lang w:bidi="ar"/>
            </w:rPr>
            <w:t>、</w:t>
          </w:r>
          <w:r>
            <w:rPr>
              <w:rFonts w:hint="eastAsia"/>
              <w:b/>
              <w:lang w:bidi="ar"/>
            </w:rPr>
            <w:t>绩效评价指标分析</w:t>
          </w:r>
          <w:r>
            <w:rPr>
              <w:b/>
            </w:rPr>
            <w:tab/>
          </w:r>
          <w:r>
            <w:rPr>
              <w:b/>
            </w:rPr>
            <w:fldChar w:fldCharType="begin"/>
          </w:r>
          <w:r>
            <w:rPr>
              <w:b/>
            </w:rPr>
            <w:instrText xml:space="preserve"> PAGEREF _Toc3497 \h </w:instrText>
          </w:r>
          <w:r>
            <w:rPr>
              <w:b/>
            </w:rPr>
            <w:fldChar w:fldCharType="separate"/>
          </w:r>
          <w:r>
            <w:rPr>
              <w:b/>
            </w:rPr>
            <w:t>9</w:t>
          </w:r>
          <w:r>
            <w:rPr>
              <w:b/>
            </w:rPr>
            <w:fldChar w:fldCharType="end"/>
          </w:r>
          <w:r>
            <w:rPr>
              <w:b/>
            </w:rPr>
            <w:fldChar w:fldCharType="end"/>
          </w:r>
        </w:p>
        <w:p>
          <w:pPr>
            <w:pStyle w:val="29"/>
            <w:tabs>
              <w:tab w:val="right" w:leader="dot" w:pos="8306"/>
            </w:tabs>
            <w:spacing w:line="500" w:lineRule="exact"/>
            <w:ind w:left="480"/>
          </w:pPr>
          <w:r>
            <w:fldChar w:fldCharType="begin"/>
          </w:r>
          <w:r>
            <w:instrText xml:space="preserve"> HYPERLINK \l "_Toc7849" </w:instrText>
          </w:r>
          <w:r>
            <w:fldChar w:fldCharType="separate"/>
          </w:r>
          <w:r>
            <w:rPr>
              <w:rFonts w:hint="eastAsia"/>
              <w:bCs/>
              <w:lang w:bidi="ar"/>
            </w:rPr>
            <w:t>（一）项目决策</w:t>
          </w:r>
          <w:r>
            <w:tab/>
          </w:r>
          <w:r>
            <w:fldChar w:fldCharType="begin"/>
          </w:r>
          <w:r>
            <w:instrText xml:space="preserve"> PAGEREF _Toc7849 \h </w:instrText>
          </w:r>
          <w:r>
            <w:fldChar w:fldCharType="separate"/>
          </w:r>
          <w:r>
            <w:t>9</w:t>
          </w:r>
          <w:r>
            <w:fldChar w:fldCharType="end"/>
          </w:r>
          <w:r>
            <w:fldChar w:fldCharType="end"/>
          </w:r>
        </w:p>
        <w:p>
          <w:pPr>
            <w:pStyle w:val="29"/>
            <w:tabs>
              <w:tab w:val="right" w:leader="dot" w:pos="8306"/>
            </w:tabs>
            <w:spacing w:line="500" w:lineRule="exact"/>
            <w:ind w:left="480"/>
          </w:pPr>
          <w:r>
            <w:fldChar w:fldCharType="begin"/>
          </w:r>
          <w:r>
            <w:instrText xml:space="preserve"> HYPERLINK \l "_Toc10944" </w:instrText>
          </w:r>
          <w:r>
            <w:fldChar w:fldCharType="separate"/>
          </w:r>
          <w:r>
            <w:rPr>
              <w:rFonts w:hint="eastAsia"/>
              <w:bCs/>
              <w:lang w:bidi="ar"/>
            </w:rPr>
            <w:t>（二）项目过程</w:t>
          </w:r>
          <w:r>
            <w:tab/>
          </w:r>
          <w:r>
            <w:fldChar w:fldCharType="begin"/>
          </w:r>
          <w:r>
            <w:instrText xml:space="preserve"> PAGEREF _Toc10944 \h </w:instrText>
          </w:r>
          <w:r>
            <w:fldChar w:fldCharType="separate"/>
          </w:r>
          <w:r>
            <w:t>10</w:t>
          </w:r>
          <w:r>
            <w:fldChar w:fldCharType="end"/>
          </w:r>
          <w:r>
            <w:fldChar w:fldCharType="end"/>
          </w:r>
        </w:p>
        <w:p>
          <w:pPr>
            <w:pStyle w:val="29"/>
            <w:tabs>
              <w:tab w:val="right" w:leader="dot" w:pos="8306"/>
            </w:tabs>
            <w:spacing w:line="500" w:lineRule="exact"/>
            <w:ind w:left="480"/>
          </w:pPr>
          <w:r>
            <w:fldChar w:fldCharType="begin"/>
          </w:r>
          <w:r>
            <w:instrText xml:space="preserve"> HYPERLINK \l "_Toc14565" </w:instrText>
          </w:r>
          <w:r>
            <w:fldChar w:fldCharType="separate"/>
          </w:r>
          <w:r>
            <w:rPr>
              <w:rFonts w:hint="eastAsia"/>
              <w:bCs/>
              <w:lang w:bidi="ar"/>
            </w:rPr>
            <w:t>（三）项目产出</w:t>
          </w:r>
          <w:r>
            <w:tab/>
          </w:r>
          <w:r>
            <w:fldChar w:fldCharType="begin"/>
          </w:r>
          <w:r>
            <w:instrText xml:space="preserve"> PAGEREF _Toc14565 \h </w:instrText>
          </w:r>
          <w:r>
            <w:fldChar w:fldCharType="separate"/>
          </w:r>
          <w:r>
            <w:t>11</w:t>
          </w:r>
          <w:r>
            <w:fldChar w:fldCharType="end"/>
          </w:r>
          <w:r>
            <w:fldChar w:fldCharType="end"/>
          </w:r>
        </w:p>
        <w:p>
          <w:pPr>
            <w:pStyle w:val="29"/>
            <w:tabs>
              <w:tab w:val="right" w:leader="dot" w:pos="8306"/>
            </w:tabs>
            <w:spacing w:line="500" w:lineRule="exact"/>
            <w:ind w:left="480"/>
          </w:pPr>
          <w:r>
            <w:fldChar w:fldCharType="begin"/>
          </w:r>
          <w:r>
            <w:instrText xml:space="preserve"> HYPERLINK \l "_Toc26671" </w:instrText>
          </w:r>
          <w:r>
            <w:fldChar w:fldCharType="separate"/>
          </w:r>
          <w:r>
            <w:rPr>
              <w:rFonts w:hint="eastAsia"/>
              <w:bCs/>
              <w:lang w:bidi="ar"/>
            </w:rPr>
            <w:t>（四）项目绩效</w:t>
          </w:r>
          <w:r>
            <w:tab/>
          </w:r>
          <w:r>
            <w:fldChar w:fldCharType="begin"/>
          </w:r>
          <w:r>
            <w:instrText xml:space="preserve"> PAGEREF _Toc26671 \h </w:instrText>
          </w:r>
          <w:r>
            <w:fldChar w:fldCharType="separate"/>
          </w:r>
          <w:r>
            <w:t>11</w:t>
          </w:r>
          <w:r>
            <w:fldChar w:fldCharType="end"/>
          </w:r>
          <w:r>
            <w:fldChar w:fldCharType="end"/>
          </w:r>
        </w:p>
        <w:p>
          <w:pPr>
            <w:pStyle w:val="28"/>
            <w:tabs>
              <w:tab w:val="right" w:leader="dot" w:pos="8306"/>
            </w:tabs>
            <w:spacing w:line="500" w:lineRule="exact"/>
            <w:rPr>
              <w:b/>
            </w:rPr>
          </w:pPr>
          <w:r>
            <w:fldChar w:fldCharType="begin"/>
          </w:r>
          <w:r>
            <w:instrText xml:space="preserve"> HYPERLINK \l "_Toc14932" </w:instrText>
          </w:r>
          <w:r>
            <w:fldChar w:fldCharType="separate"/>
          </w:r>
          <w:r>
            <w:rPr>
              <w:rFonts w:hint="eastAsia"/>
              <w:b/>
              <w:lang w:bidi="ar"/>
            </w:rPr>
            <w:t>六、存在问题</w:t>
          </w:r>
          <w:r>
            <w:rPr>
              <w:b/>
            </w:rPr>
            <w:tab/>
          </w:r>
          <w:r>
            <w:rPr>
              <w:b/>
            </w:rPr>
            <w:fldChar w:fldCharType="begin"/>
          </w:r>
          <w:r>
            <w:rPr>
              <w:b/>
            </w:rPr>
            <w:instrText xml:space="preserve"> PAGEREF _Toc14932 \h </w:instrText>
          </w:r>
          <w:r>
            <w:rPr>
              <w:b/>
            </w:rPr>
            <w:fldChar w:fldCharType="separate"/>
          </w:r>
          <w:r>
            <w:rPr>
              <w:b/>
            </w:rPr>
            <w:t>12</w:t>
          </w:r>
          <w:r>
            <w:rPr>
              <w:b/>
            </w:rPr>
            <w:fldChar w:fldCharType="end"/>
          </w:r>
          <w:r>
            <w:rPr>
              <w:b/>
            </w:rPr>
            <w:fldChar w:fldCharType="end"/>
          </w:r>
        </w:p>
        <w:p>
          <w:pPr>
            <w:pStyle w:val="28"/>
            <w:tabs>
              <w:tab w:val="right" w:leader="dot" w:pos="8306"/>
            </w:tabs>
            <w:spacing w:line="500" w:lineRule="exact"/>
            <w:rPr>
              <w:b/>
            </w:rPr>
          </w:pPr>
          <w:r>
            <w:fldChar w:fldCharType="begin"/>
          </w:r>
          <w:r>
            <w:instrText xml:space="preserve"> HYPERLINK \l "_Toc7276" </w:instrText>
          </w:r>
          <w:r>
            <w:fldChar w:fldCharType="separate"/>
          </w:r>
          <w:r>
            <w:rPr>
              <w:rFonts w:hint="eastAsia"/>
              <w:b/>
              <w:bCs/>
            </w:rPr>
            <w:t>七、相关建议</w:t>
          </w:r>
          <w:r>
            <w:rPr>
              <w:b/>
            </w:rPr>
            <w:tab/>
          </w:r>
          <w:r>
            <w:rPr>
              <w:b/>
            </w:rPr>
            <w:fldChar w:fldCharType="begin"/>
          </w:r>
          <w:r>
            <w:rPr>
              <w:b/>
            </w:rPr>
            <w:instrText xml:space="preserve"> PAGEREF _Toc7276 \h </w:instrText>
          </w:r>
          <w:r>
            <w:rPr>
              <w:b/>
            </w:rPr>
            <w:fldChar w:fldCharType="separate"/>
          </w:r>
          <w:r>
            <w:rPr>
              <w:b/>
            </w:rPr>
            <w:t>12</w:t>
          </w:r>
          <w:r>
            <w:rPr>
              <w:b/>
            </w:rPr>
            <w:fldChar w:fldCharType="end"/>
          </w:r>
          <w:r>
            <w:rPr>
              <w:b/>
            </w:rPr>
            <w:fldChar w:fldCharType="end"/>
          </w:r>
        </w:p>
        <w:p>
          <w:pPr>
            <w:pStyle w:val="28"/>
          </w:pPr>
        </w:p>
        <w:p>
          <w:pPr>
            <w:spacing w:line="500" w:lineRule="exact"/>
          </w:pPr>
          <w:r>
            <w:rPr>
              <w:b/>
            </w:rPr>
            <w:fldChar w:fldCharType="end"/>
          </w:r>
        </w:p>
      </w:sdtContent>
    </w:sdt>
    <w:p>
      <w:pPr>
        <w:spacing w:line="360" w:lineRule="auto"/>
        <w:jc w:val="both"/>
        <w:rPr>
          <w:rFonts w:cs="Times New Roman"/>
          <w:b/>
          <w:sz w:val="32"/>
          <w:szCs w:val="32"/>
        </w:rPr>
        <w:sectPr>
          <w:footerReference r:id="rId3" w:type="default"/>
          <w:pgSz w:w="11906" w:h="16838"/>
          <w:pgMar w:top="1440" w:right="1800" w:bottom="1440" w:left="1800" w:header="851" w:footer="992" w:gutter="0"/>
          <w:cols w:space="425" w:num="1"/>
          <w:docGrid w:type="lines" w:linePitch="312" w:charSpace="0"/>
        </w:sectPr>
      </w:pPr>
    </w:p>
    <w:p>
      <w:pPr>
        <w:spacing w:line="360" w:lineRule="auto"/>
        <w:ind w:firstLine="643" w:firstLineChars="200"/>
        <w:jc w:val="center"/>
        <w:outlineLvl w:val="0"/>
        <w:rPr>
          <w:rFonts w:cs="Times New Roman"/>
          <w:b/>
          <w:sz w:val="32"/>
          <w:szCs w:val="32"/>
        </w:rPr>
      </w:pPr>
      <w:bookmarkStart w:id="0" w:name="_Toc25883"/>
      <w:r>
        <w:rPr>
          <w:rFonts w:hint="eastAsia" w:cs="Times New Roman"/>
          <w:b/>
          <w:sz w:val="32"/>
          <w:szCs w:val="32"/>
        </w:rPr>
        <w:t>宣传教育经费绩效评价报告</w:t>
      </w:r>
      <w:bookmarkEnd w:id="0"/>
    </w:p>
    <w:p>
      <w:pPr>
        <w:spacing w:line="400" w:lineRule="exact"/>
        <w:ind w:firstLine="643" w:firstLineChars="200"/>
        <w:jc w:val="center"/>
        <w:rPr>
          <w:rFonts w:cs="Times New Roman"/>
          <w:b/>
          <w:sz w:val="32"/>
          <w:szCs w:val="32"/>
        </w:rPr>
      </w:pPr>
    </w:p>
    <w:p>
      <w:pPr>
        <w:spacing w:line="500" w:lineRule="exact"/>
        <w:ind w:firstLine="480" w:firstLineChars="200"/>
      </w:pPr>
      <w:bookmarkStart w:id="1" w:name="_Hlk57149210"/>
      <w:bookmarkStart w:id="2" w:name="_Hlk54797039"/>
      <w:r>
        <w:rPr>
          <w:rFonts w:hint="eastAsia"/>
        </w:rPr>
        <w:t>为进一步规范天津市东丽区应急管理局（以下简称“区应急局”）关于宣传教育经费专项资金管理和使用，我们接受天津市东丽区财政局的委托，通过对项目执行与完成情况的全面了解和分析，对项目立项、项目决策、项目管理、项目绩效等情况进行评价，在核实、收集、整理、汇总、分析绩效相关资料的基础上，形成了项目绩效评价报告。现将绩效评价情况报告如下：</w:t>
      </w:r>
      <w:bookmarkEnd w:id="1"/>
    </w:p>
    <w:bookmarkEnd w:id="2"/>
    <w:p>
      <w:pPr>
        <w:pStyle w:val="2"/>
        <w:numPr>
          <w:ilvl w:val="0"/>
          <w:numId w:val="2"/>
        </w:numPr>
        <w:spacing w:before="0" w:after="0" w:line="360" w:lineRule="auto"/>
        <w:ind w:left="480"/>
      </w:pPr>
      <w:bookmarkStart w:id="3" w:name="_Toc5789"/>
      <w:r>
        <w:rPr>
          <w:rFonts w:hint="eastAsia"/>
        </w:rPr>
        <w:t>项目基本概况</w:t>
      </w:r>
      <w:bookmarkEnd w:id="3"/>
    </w:p>
    <w:p>
      <w:pPr>
        <w:pStyle w:val="3"/>
        <w:spacing w:before="0" w:after="0" w:line="500" w:lineRule="exact"/>
        <w:ind w:firstLine="480"/>
        <w:rPr>
          <w:rFonts w:ascii="宋体" w:hAnsi="宋体"/>
        </w:rPr>
      </w:pPr>
      <w:bookmarkStart w:id="4" w:name="_Toc12657"/>
      <w:r>
        <w:rPr>
          <w:rFonts w:hint="eastAsia" w:ascii="宋体" w:hAnsi="宋体"/>
        </w:rPr>
        <w:t>项目背景</w:t>
      </w:r>
      <w:bookmarkEnd w:id="4"/>
    </w:p>
    <w:p>
      <w:pPr>
        <w:spacing w:line="500" w:lineRule="exact"/>
        <w:ind w:firstLine="480" w:firstLineChars="200"/>
      </w:pPr>
      <w:r>
        <w:rPr>
          <w:rFonts w:hint="eastAsia"/>
        </w:rPr>
        <w:t>为推进安全生产专项整治三年行动集中攻坚任务扎实开展，做好“安全生产月”等各项工作，区应急局申请宣传教育经费项目立项，该项目2</w:t>
      </w:r>
      <w:r>
        <w:t>020</w:t>
      </w:r>
      <w:r>
        <w:rPr>
          <w:rFonts w:hint="eastAsia"/>
        </w:rPr>
        <w:t>年度工作任务主要包括：开展</w:t>
      </w:r>
      <w:r>
        <w:t>安全生产月、地震防灾减灾宣传相关活动宣传、安全生产宣传材料印刷</w:t>
      </w:r>
      <w:r>
        <w:rPr>
          <w:rFonts w:hint="eastAsia"/>
        </w:rPr>
        <w:t>；</w:t>
      </w:r>
      <w:r>
        <w:t>安全生产各类专项业务培训</w:t>
      </w:r>
      <w:r>
        <w:rPr>
          <w:rFonts w:hint="eastAsia"/>
        </w:rPr>
        <w:t>；以及</w:t>
      </w:r>
      <w:r>
        <w:t>日常安全生产及应急管理宣传、执法印刷</w:t>
      </w:r>
      <w:r>
        <w:rPr>
          <w:rFonts w:hint="eastAsia"/>
        </w:rPr>
        <w:t>宣传物资等。</w:t>
      </w:r>
    </w:p>
    <w:p>
      <w:pPr>
        <w:spacing w:line="500" w:lineRule="exact"/>
        <w:ind w:firstLine="480" w:firstLineChars="200"/>
        <w:outlineLvl w:val="1"/>
      </w:pPr>
      <w:bookmarkStart w:id="5" w:name="_Toc23770"/>
      <w:r>
        <w:rPr>
          <w:rFonts w:hint="eastAsia"/>
        </w:rPr>
        <w:t>（二）项目组织实施概况</w:t>
      </w:r>
      <w:bookmarkEnd w:id="5"/>
    </w:p>
    <w:p>
      <w:pPr>
        <w:spacing w:line="500" w:lineRule="exact"/>
        <w:ind w:firstLine="480" w:firstLineChars="200"/>
      </w:pPr>
      <w:r>
        <w:rPr>
          <w:rFonts w:hint="eastAsia"/>
        </w:rPr>
        <w:t>该项目由区应急局组织实施，组织开展安全生产相关活动宣传，提前编制宣传活动方案，组织活动开展，并对活动开展情况进行总结。资金申请及拨付也由区应急局负责落实，根据资金预算安排，结合实际活动开展情况，落实资金保障工作。</w:t>
      </w:r>
    </w:p>
    <w:p>
      <w:pPr>
        <w:spacing w:line="500" w:lineRule="exact"/>
        <w:ind w:firstLine="480" w:firstLineChars="200"/>
        <w:outlineLvl w:val="1"/>
      </w:pPr>
      <w:bookmarkStart w:id="6" w:name="_Toc2341"/>
      <w:r>
        <w:rPr>
          <w:rFonts w:hint="eastAsia"/>
        </w:rPr>
        <w:t>（三）</w:t>
      </w:r>
      <w:r>
        <w:t>绩效目标设定情况</w:t>
      </w:r>
      <w:bookmarkEnd w:id="6"/>
    </w:p>
    <w:p>
      <w:pPr>
        <w:spacing w:line="500" w:lineRule="exact"/>
        <w:ind w:firstLine="480" w:firstLineChars="200"/>
      </w:pPr>
      <w:r>
        <w:rPr>
          <w:rFonts w:hint="eastAsia"/>
        </w:rPr>
        <w:t>总目标：</w:t>
      </w:r>
      <w:r>
        <w:t>用于年度安全生产月、地震防灾减灾宣传相关活动宣传费用</w:t>
      </w:r>
      <w:r>
        <w:rPr>
          <w:rFonts w:hint="eastAsia"/>
        </w:rPr>
        <w:t>；</w:t>
      </w:r>
      <w:r>
        <w:t>日常安全生产及应急管理宣传支出、执法印刷耗材等支出</w:t>
      </w:r>
      <w:r>
        <w:rPr>
          <w:rFonts w:hint="eastAsia"/>
        </w:rPr>
        <w:t>。</w:t>
      </w:r>
    </w:p>
    <w:p>
      <w:pPr>
        <w:spacing w:line="500" w:lineRule="exact"/>
        <w:ind w:firstLine="480" w:firstLineChars="200"/>
      </w:pPr>
      <w:r>
        <w:rPr>
          <w:rFonts w:hint="eastAsia"/>
        </w:rPr>
        <w:t>具体目标：无产出数量、成本指标，质量指标指标内容及指标值均为进一步提高，时效指标为时效性强；社会效益指标为进一步提高安全意识，可持续影响指标为持续性强，服务对象满意度指标1</w:t>
      </w:r>
      <w:r>
        <w:t>00%</w:t>
      </w:r>
      <w:r>
        <w:rPr>
          <w:rFonts w:hint="eastAsia"/>
        </w:rPr>
        <w:t>。</w:t>
      </w:r>
    </w:p>
    <w:p>
      <w:pPr>
        <w:spacing w:line="500" w:lineRule="exact"/>
        <w:ind w:left="283" w:firstLine="480" w:firstLineChars="200"/>
        <w:outlineLvl w:val="1"/>
      </w:pPr>
      <w:bookmarkStart w:id="7" w:name="_Toc21020"/>
      <w:r>
        <w:rPr>
          <w:rFonts w:hint="eastAsia"/>
        </w:rPr>
        <w:t>（四）年度资金执行情况</w:t>
      </w:r>
      <w:bookmarkEnd w:id="7"/>
    </w:p>
    <w:p>
      <w:pPr>
        <w:spacing w:line="500" w:lineRule="exact"/>
        <w:ind w:firstLine="480" w:firstLineChars="200"/>
      </w:pPr>
      <w:r>
        <w:rPr>
          <w:rFonts w:hint="eastAsia"/>
        </w:rPr>
        <w:t>2</w:t>
      </w:r>
      <w:r>
        <w:t>020</w:t>
      </w:r>
      <w:r>
        <w:rPr>
          <w:rFonts w:hint="eastAsia"/>
        </w:rPr>
        <w:t>年宣传教育经费项目预算安排资金1</w:t>
      </w:r>
      <w:r>
        <w:t>0.00</w:t>
      </w:r>
      <w:r>
        <w:rPr>
          <w:rFonts w:hint="eastAsia"/>
        </w:rPr>
        <w:t>万元，预算到位资金1</w:t>
      </w:r>
      <w:r>
        <w:t>0.00</w:t>
      </w:r>
      <w:r>
        <w:rPr>
          <w:rFonts w:hint="eastAsia"/>
        </w:rPr>
        <w:t>万元，资金到位率100%，预算执行金额8</w:t>
      </w:r>
      <w:r>
        <w:t>.54</w:t>
      </w:r>
      <w:r>
        <w:rPr>
          <w:rFonts w:hint="eastAsia"/>
        </w:rPr>
        <w:t>万元，预算执行率为8</w:t>
      </w:r>
      <w:r>
        <w:t>5.40%</w:t>
      </w:r>
      <w:r>
        <w:rPr>
          <w:rFonts w:hint="eastAsia"/>
        </w:rPr>
        <w:t>。</w:t>
      </w:r>
    </w:p>
    <w:p>
      <w:pPr>
        <w:spacing w:line="500" w:lineRule="exact"/>
        <w:ind w:firstLine="420" w:firstLineChars="200"/>
        <w:jc w:val="center"/>
      </w:pPr>
      <w:r>
        <w:rPr>
          <w:rFonts w:hint="eastAsia"/>
          <w:color w:val="000000"/>
          <w:sz w:val="21"/>
          <w:szCs w:val="21"/>
          <w:lang w:bidi="ar"/>
        </w:rPr>
        <w:t>表1：2020年宣传教育经费项目预算及执行情况</w:t>
      </w:r>
    </w:p>
    <w:tbl>
      <w:tblPr>
        <w:tblStyle w:val="13"/>
        <w:tblW w:w="804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9"/>
        <w:gridCol w:w="1601"/>
        <w:gridCol w:w="1897"/>
        <w:gridCol w:w="1912"/>
        <w:gridCol w:w="1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1119" w:type="dxa"/>
            <w:shd w:val="clear" w:color="auto" w:fill="auto"/>
            <w:vAlign w:val="center"/>
          </w:tcPr>
          <w:p>
            <w:pPr>
              <w:jc w:val="center"/>
              <w:textAlignment w:val="center"/>
              <w:rPr>
                <w:color w:val="000000"/>
                <w:sz w:val="21"/>
                <w:szCs w:val="21"/>
              </w:rPr>
            </w:pPr>
            <w:r>
              <w:rPr>
                <w:rFonts w:hint="eastAsia"/>
                <w:color w:val="000000"/>
                <w:sz w:val="21"/>
                <w:szCs w:val="21"/>
                <w:lang w:bidi="ar"/>
              </w:rPr>
              <w:t>序号</w:t>
            </w:r>
          </w:p>
        </w:tc>
        <w:tc>
          <w:tcPr>
            <w:tcW w:w="1601" w:type="dxa"/>
            <w:shd w:val="clear" w:color="auto" w:fill="auto"/>
            <w:vAlign w:val="center"/>
          </w:tcPr>
          <w:p>
            <w:pPr>
              <w:jc w:val="center"/>
              <w:textAlignment w:val="center"/>
              <w:rPr>
                <w:color w:val="000000"/>
                <w:sz w:val="21"/>
                <w:szCs w:val="21"/>
              </w:rPr>
            </w:pPr>
            <w:r>
              <w:rPr>
                <w:rFonts w:hint="eastAsia"/>
                <w:color w:val="000000"/>
                <w:sz w:val="21"/>
                <w:szCs w:val="21"/>
                <w:lang w:bidi="ar"/>
              </w:rPr>
              <w:t>预算内容</w:t>
            </w:r>
          </w:p>
        </w:tc>
        <w:tc>
          <w:tcPr>
            <w:tcW w:w="1897" w:type="dxa"/>
            <w:shd w:val="clear" w:color="auto" w:fill="auto"/>
            <w:vAlign w:val="center"/>
          </w:tcPr>
          <w:p>
            <w:pPr>
              <w:jc w:val="center"/>
              <w:textAlignment w:val="center"/>
              <w:rPr>
                <w:color w:val="000000"/>
                <w:sz w:val="21"/>
                <w:szCs w:val="21"/>
              </w:rPr>
            </w:pPr>
            <w:r>
              <w:rPr>
                <w:rFonts w:hint="eastAsia"/>
                <w:color w:val="000000"/>
                <w:sz w:val="21"/>
                <w:szCs w:val="21"/>
                <w:lang w:bidi="ar"/>
              </w:rPr>
              <w:t>预算安排金额(元)</w:t>
            </w:r>
          </w:p>
        </w:tc>
        <w:tc>
          <w:tcPr>
            <w:tcW w:w="1912" w:type="dxa"/>
            <w:shd w:val="clear" w:color="auto" w:fill="auto"/>
            <w:vAlign w:val="center"/>
          </w:tcPr>
          <w:p>
            <w:pPr>
              <w:jc w:val="center"/>
              <w:textAlignment w:val="center"/>
              <w:rPr>
                <w:color w:val="000000"/>
                <w:sz w:val="21"/>
                <w:szCs w:val="21"/>
              </w:rPr>
            </w:pPr>
            <w:r>
              <w:rPr>
                <w:rFonts w:hint="eastAsia"/>
                <w:color w:val="000000"/>
                <w:sz w:val="21"/>
                <w:szCs w:val="21"/>
                <w:lang w:bidi="ar"/>
              </w:rPr>
              <w:t>执行金额(元)</w:t>
            </w:r>
          </w:p>
        </w:tc>
        <w:tc>
          <w:tcPr>
            <w:tcW w:w="1511" w:type="dxa"/>
            <w:shd w:val="clear" w:color="auto" w:fill="auto"/>
            <w:vAlign w:val="center"/>
          </w:tcPr>
          <w:p>
            <w:pPr>
              <w:jc w:val="center"/>
              <w:textAlignment w:val="center"/>
              <w:rPr>
                <w:color w:val="000000"/>
                <w:sz w:val="21"/>
                <w:szCs w:val="21"/>
              </w:rPr>
            </w:pPr>
            <w:r>
              <w:rPr>
                <w:rFonts w:hint="eastAsia"/>
                <w:color w:val="000000"/>
                <w:sz w:val="21"/>
                <w:szCs w:val="21"/>
                <w:lang w:bidi="ar"/>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1119" w:type="dxa"/>
            <w:shd w:val="clear" w:color="auto" w:fill="auto"/>
            <w:vAlign w:val="center"/>
          </w:tcPr>
          <w:p>
            <w:pPr>
              <w:jc w:val="center"/>
              <w:textAlignment w:val="center"/>
              <w:rPr>
                <w:color w:val="000000"/>
                <w:sz w:val="21"/>
                <w:szCs w:val="21"/>
              </w:rPr>
            </w:pPr>
            <w:r>
              <w:rPr>
                <w:rFonts w:hint="eastAsia"/>
                <w:color w:val="000000"/>
                <w:sz w:val="21"/>
                <w:szCs w:val="21"/>
                <w:lang w:bidi="ar"/>
              </w:rPr>
              <w:t>1</w:t>
            </w:r>
          </w:p>
        </w:tc>
        <w:tc>
          <w:tcPr>
            <w:tcW w:w="1601" w:type="dxa"/>
            <w:shd w:val="clear" w:color="auto" w:fill="auto"/>
            <w:vAlign w:val="center"/>
          </w:tcPr>
          <w:p>
            <w:pPr>
              <w:jc w:val="center"/>
              <w:textAlignment w:val="center"/>
              <w:rPr>
                <w:color w:val="000000"/>
                <w:sz w:val="21"/>
                <w:szCs w:val="21"/>
              </w:rPr>
            </w:pPr>
            <w:r>
              <w:rPr>
                <w:rFonts w:hint="eastAsia"/>
                <w:color w:val="000000"/>
                <w:sz w:val="21"/>
                <w:szCs w:val="21"/>
                <w:lang w:bidi="ar"/>
              </w:rPr>
              <w:t>2020年宣传教育经费</w:t>
            </w:r>
          </w:p>
        </w:tc>
        <w:tc>
          <w:tcPr>
            <w:tcW w:w="1897" w:type="dxa"/>
            <w:shd w:val="clear" w:color="auto" w:fill="auto"/>
            <w:vAlign w:val="center"/>
          </w:tcPr>
          <w:p>
            <w:pPr>
              <w:jc w:val="center"/>
              <w:textAlignment w:val="center"/>
              <w:rPr>
                <w:color w:val="000000"/>
                <w:sz w:val="21"/>
                <w:szCs w:val="21"/>
              </w:rPr>
            </w:pPr>
            <w:r>
              <w:rPr>
                <w:rFonts w:hint="eastAsia"/>
                <w:color w:val="000000"/>
                <w:sz w:val="21"/>
                <w:szCs w:val="21"/>
                <w:lang w:bidi="ar"/>
              </w:rPr>
              <w:t>100,000.00</w:t>
            </w:r>
          </w:p>
        </w:tc>
        <w:tc>
          <w:tcPr>
            <w:tcW w:w="1912" w:type="dxa"/>
            <w:shd w:val="clear" w:color="auto" w:fill="auto"/>
            <w:vAlign w:val="center"/>
          </w:tcPr>
          <w:p>
            <w:pPr>
              <w:jc w:val="center"/>
              <w:textAlignment w:val="center"/>
              <w:rPr>
                <w:color w:val="000000"/>
                <w:sz w:val="21"/>
                <w:szCs w:val="21"/>
              </w:rPr>
            </w:pPr>
            <w:r>
              <w:rPr>
                <w:rFonts w:hint="eastAsia"/>
                <w:color w:val="000000"/>
                <w:sz w:val="21"/>
                <w:szCs w:val="21"/>
                <w:lang w:bidi="ar"/>
              </w:rPr>
              <w:t>85,400.00</w:t>
            </w:r>
          </w:p>
        </w:tc>
        <w:tc>
          <w:tcPr>
            <w:tcW w:w="1511" w:type="dxa"/>
            <w:shd w:val="clear" w:color="auto" w:fill="auto"/>
            <w:vAlign w:val="center"/>
          </w:tcPr>
          <w:p>
            <w:pPr>
              <w:jc w:val="center"/>
              <w:textAlignment w:val="center"/>
              <w:rPr>
                <w:color w:val="000000"/>
                <w:sz w:val="21"/>
                <w:szCs w:val="21"/>
              </w:rPr>
            </w:pPr>
            <w:r>
              <w:rPr>
                <w:rFonts w:hint="eastAsia"/>
                <w:color w:val="000000"/>
                <w:sz w:val="21"/>
                <w:szCs w:val="21"/>
                <w:lang w:bidi="ar"/>
              </w:rPr>
              <w:t>85.40%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2720" w:type="dxa"/>
            <w:gridSpan w:val="2"/>
            <w:shd w:val="clear" w:color="auto" w:fill="auto"/>
            <w:vAlign w:val="center"/>
          </w:tcPr>
          <w:p>
            <w:pPr>
              <w:jc w:val="center"/>
              <w:textAlignment w:val="center"/>
              <w:rPr>
                <w:color w:val="000000"/>
                <w:sz w:val="21"/>
                <w:szCs w:val="21"/>
              </w:rPr>
            </w:pPr>
            <w:r>
              <w:rPr>
                <w:rFonts w:hint="eastAsia"/>
                <w:color w:val="000000"/>
                <w:sz w:val="21"/>
                <w:szCs w:val="21"/>
                <w:lang w:bidi="ar"/>
              </w:rPr>
              <w:t>合计</w:t>
            </w:r>
          </w:p>
        </w:tc>
        <w:tc>
          <w:tcPr>
            <w:tcW w:w="1897" w:type="dxa"/>
            <w:shd w:val="clear" w:color="auto" w:fill="auto"/>
            <w:vAlign w:val="center"/>
          </w:tcPr>
          <w:p>
            <w:pPr>
              <w:jc w:val="center"/>
              <w:textAlignment w:val="center"/>
              <w:rPr>
                <w:color w:val="000000"/>
                <w:sz w:val="21"/>
                <w:szCs w:val="21"/>
              </w:rPr>
            </w:pPr>
            <w:r>
              <w:rPr>
                <w:rFonts w:hint="eastAsia"/>
                <w:color w:val="000000"/>
                <w:sz w:val="21"/>
                <w:szCs w:val="21"/>
                <w:lang w:bidi="ar"/>
              </w:rPr>
              <w:t>100,000.00</w:t>
            </w:r>
          </w:p>
        </w:tc>
        <w:tc>
          <w:tcPr>
            <w:tcW w:w="1912" w:type="dxa"/>
            <w:shd w:val="clear" w:color="auto" w:fill="auto"/>
            <w:vAlign w:val="center"/>
          </w:tcPr>
          <w:p>
            <w:pPr>
              <w:jc w:val="center"/>
              <w:textAlignment w:val="center"/>
              <w:rPr>
                <w:color w:val="000000"/>
                <w:sz w:val="21"/>
                <w:szCs w:val="21"/>
              </w:rPr>
            </w:pPr>
            <w:r>
              <w:rPr>
                <w:rFonts w:hint="eastAsia"/>
                <w:color w:val="000000"/>
                <w:sz w:val="21"/>
                <w:szCs w:val="21"/>
                <w:lang w:bidi="ar"/>
              </w:rPr>
              <w:t>85,400.00</w:t>
            </w:r>
          </w:p>
        </w:tc>
        <w:tc>
          <w:tcPr>
            <w:tcW w:w="1511" w:type="dxa"/>
            <w:shd w:val="clear" w:color="auto" w:fill="auto"/>
            <w:vAlign w:val="center"/>
          </w:tcPr>
          <w:p>
            <w:pPr>
              <w:jc w:val="center"/>
              <w:textAlignment w:val="center"/>
              <w:rPr>
                <w:color w:val="000000"/>
                <w:sz w:val="21"/>
                <w:szCs w:val="21"/>
              </w:rPr>
            </w:pPr>
            <w:r>
              <w:rPr>
                <w:rFonts w:hint="eastAsia"/>
                <w:color w:val="000000"/>
                <w:sz w:val="21"/>
                <w:szCs w:val="21"/>
                <w:lang w:bidi="ar"/>
              </w:rPr>
              <w:t>85.40%</w:t>
            </w:r>
          </w:p>
        </w:tc>
      </w:tr>
    </w:tbl>
    <w:p>
      <w:pPr>
        <w:pStyle w:val="2"/>
        <w:spacing w:before="0" w:after="0" w:line="360" w:lineRule="auto"/>
        <w:ind w:left="480"/>
      </w:pPr>
      <w:bookmarkStart w:id="8" w:name="_Toc16732"/>
      <w:bookmarkStart w:id="9" w:name="_Hlk54878842"/>
      <w:r>
        <w:rPr>
          <w:rFonts w:hint="eastAsia"/>
        </w:rPr>
        <w:t>绩效评价的组织实施情况</w:t>
      </w:r>
      <w:bookmarkEnd w:id="8"/>
    </w:p>
    <w:p>
      <w:pPr>
        <w:pStyle w:val="3"/>
        <w:spacing w:before="0" w:after="0" w:line="500" w:lineRule="exact"/>
        <w:ind w:firstLine="480"/>
        <w:rPr>
          <w:rFonts w:ascii="宋体" w:hAnsi="宋体" w:cs="宋体"/>
        </w:rPr>
      </w:pPr>
      <w:bookmarkStart w:id="10" w:name="_Toc14879"/>
      <w:r>
        <w:rPr>
          <w:rFonts w:hint="eastAsia" w:ascii="宋体" w:hAnsi="宋体" w:cs="宋体"/>
        </w:rPr>
        <w:t>绩效评价项目组的人员构成</w:t>
      </w:r>
      <w:bookmarkEnd w:id="10"/>
    </w:p>
    <w:p>
      <w:pPr>
        <w:spacing w:line="500" w:lineRule="exact"/>
        <w:ind w:firstLine="480" w:firstLineChars="200"/>
      </w:pPr>
      <w:r>
        <w:rPr>
          <w:rFonts w:hint="eastAsia"/>
        </w:rPr>
        <w:t>绩效评价项目组配备了具有丰富绩效评价工作经验的注册会计师及专业评价人员来承担项目。项目负责人具体负责绩效评价项目的内部和外部协调，并对整个项目的工作情况进行监督、管理和控制。</w:t>
      </w:r>
    </w:p>
    <w:bookmarkEnd w:id="9"/>
    <w:p>
      <w:pPr>
        <w:spacing w:line="500" w:lineRule="exact"/>
        <w:ind w:firstLine="480" w:firstLineChars="200"/>
        <w:outlineLvl w:val="1"/>
        <w:rPr>
          <w:lang w:bidi="ar"/>
        </w:rPr>
      </w:pPr>
      <w:bookmarkStart w:id="11" w:name="_Toc19838"/>
      <w:r>
        <w:rPr>
          <w:rFonts w:hint="eastAsia"/>
          <w:lang w:bidi="ar"/>
        </w:rPr>
        <w:t>（二）绩效评价工作程序和进度</w:t>
      </w:r>
      <w:bookmarkEnd w:id="11"/>
    </w:p>
    <w:p>
      <w:pPr>
        <w:spacing w:line="500" w:lineRule="exact"/>
        <w:ind w:firstLine="480" w:firstLineChars="200"/>
        <w:rPr>
          <w:bCs/>
          <w:lang w:bidi="ar"/>
        </w:rPr>
      </w:pPr>
      <w:r>
        <w:rPr>
          <w:rFonts w:hint="eastAsia"/>
          <w:bCs/>
          <w:lang w:bidi="ar"/>
        </w:rPr>
        <w:t>按照区财政局的要求，在规定时间开始现场绩效评价工作，按时完成现场绩效评价工作，形成绩效评价报告。</w:t>
      </w:r>
    </w:p>
    <w:p>
      <w:pPr>
        <w:spacing w:line="500" w:lineRule="exact"/>
        <w:ind w:firstLine="480" w:firstLineChars="200"/>
        <w:rPr>
          <w:bCs/>
          <w:lang w:bidi="ar"/>
        </w:rPr>
      </w:pPr>
      <w:r>
        <w:rPr>
          <w:rFonts w:hint="eastAsia"/>
          <w:bCs/>
          <w:lang w:bidi="ar"/>
        </w:rPr>
        <w:t>绩效评价工作分为准备阶段、实施阶段、报告阶段三个阶段。日程表如下：</w:t>
      </w:r>
    </w:p>
    <w:p>
      <w:pPr>
        <w:spacing w:line="500" w:lineRule="exact"/>
        <w:ind w:firstLine="420" w:firstLineChars="200"/>
        <w:jc w:val="center"/>
      </w:pPr>
      <w:r>
        <w:rPr>
          <w:rFonts w:hint="eastAsia"/>
          <w:color w:val="000000"/>
          <w:sz w:val="21"/>
          <w:szCs w:val="21"/>
          <w:lang w:bidi="ar"/>
        </w:rPr>
        <w:t>表</w:t>
      </w:r>
      <w:r>
        <w:rPr>
          <w:color w:val="000000"/>
          <w:sz w:val="21"/>
          <w:szCs w:val="21"/>
          <w:lang w:bidi="ar"/>
        </w:rPr>
        <w:t>2</w:t>
      </w:r>
      <w:r>
        <w:rPr>
          <w:rFonts w:hint="eastAsia"/>
          <w:color w:val="000000"/>
          <w:sz w:val="21"/>
          <w:szCs w:val="21"/>
          <w:lang w:bidi="ar"/>
        </w:rPr>
        <w:t>：绩效评价工作日程表</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95"/>
        <w:gridCol w:w="1307"/>
        <w:gridCol w:w="5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5" w:hRule="atLeast"/>
          <w:tblHeader/>
        </w:trPr>
        <w:tc>
          <w:tcPr>
            <w:tcW w:w="1495" w:type="dxa"/>
            <w:vAlign w:val="center"/>
          </w:tcPr>
          <w:p>
            <w:pPr>
              <w:spacing w:line="360" w:lineRule="auto"/>
              <w:jc w:val="center"/>
              <w:rPr>
                <w:bCs/>
                <w:sz w:val="21"/>
                <w:szCs w:val="21"/>
                <w:lang w:bidi="ar"/>
              </w:rPr>
            </w:pPr>
            <w:r>
              <w:rPr>
                <w:rFonts w:hint="eastAsia"/>
                <w:bCs/>
                <w:sz w:val="21"/>
                <w:szCs w:val="21"/>
                <w:lang w:bidi="ar"/>
              </w:rPr>
              <w:t>工作阶段</w:t>
            </w:r>
          </w:p>
        </w:tc>
        <w:tc>
          <w:tcPr>
            <w:tcW w:w="1307" w:type="dxa"/>
            <w:tcMar>
              <w:top w:w="15" w:type="dxa"/>
              <w:left w:w="15" w:type="dxa"/>
              <w:bottom w:w="0" w:type="dxa"/>
              <w:right w:w="15" w:type="dxa"/>
            </w:tcMar>
            <w:vAlign w:val="center"/>
          </w:tcPr>
          <w:p>
            <w:pPr>
              <w:spacing w:line="360" w:lineRule="auto"/>
              <w:ind w:firstLine="210" w:firstLineChars="100"/>
              <w:jc w:val="center"/>
              <w:rPr>
                <w:bCs/>
                <w:sz w:val="21"/>
                <w:szCs w:val="21"/>
                <w:lang w:bidi="ar"/>
              </w:rPr>
            </w:pPr>
            <w:r>
              <w:rPr>
                <w:rFonts w:hint="eastAsia"/>
                <w:bCs/>
                <w:sz w:val="21"/>
                <w:szCs w:val="21"/>
                <w:lang w:bidi="ar"/>
              </w:rPr>
              <w:t>工作时间</w:t>
            </w:r>
          </w:p>
        </w:tc>
        <w:tc>
          <w:tcPr>
            <w:tcW w:w="5524" w:type="dxa"/>
            <w:tcMar>
              <w:top w:w="15" w:type="dxa"/>
              <w:left w:w="15" w:type="dxa"/>
              <w:bottom w:w="0" w:type="dxa"/>
              <w:right w:w="15" w:type="dxa"/>
            </w:tcMar>
            <w:vAlign w:val="center"/>
          </w:tcPr>
          <w:p>
            <w:pPr>
              <w:spacing w:line="360" w:lineRule="auto"/>
              <w:jc w:val="center"/>
              <w:rPr>
                <w:bCs/>
                <w:sz w:val="21"/>
                <w:szCs w:val="21"/>
                <w:lang w:bidi="ar"/>
              </w:rPr>
            </w:pPr>
            <w:r>
              <w:rPr>
                <w:rFonts w:hint="eastAsia"/>
                <w:bCs/>
                <w:sz w:val="21"/>
                <w:szCs w:val="21"/>
                <w:lang w:bidi="ar"/>
              </w:rPr>
              <w:t>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1495" w:type="dxa"/>
            <w:vAlign w:val="center"/>
          </w:tcPr>
          <w:p>
            <w:pPr>
              <w:spacing w:line="360" w:lineRule="auto"/>
              <w:jc w:val="center"/>
              <w:rPr>
                <w:bCs/>
                <w:sz w:val="21"/>
                <w:szCs w:val="21"/>
                <w:lang w:bidi="ar"/>
              </w:rPr>
            </w:pPr>
            <w:r>
              <w:rPr>
                <w:rFonts w:hint="eastAsia"/>
                <w:bCs/>
                <w:sz w:val="21"/>
                <w:szCs w:val="21"/>
                <w:lang w:bidi="ar"/>
              </w:rPr>
              <w:t>准备阶段</w:t>
            </w:r>
          </w:p>
        </w:tc>
        <w:tc>
          <w:tcPr>
            <w:tcW w:w="1307" w:type="dxa"/>
            <w:tcMar>
              <w:top w:w="15" w:type="dxa"/>
              <w:left w:w="15" w:type="dxa"/>
              <w:bottom w:w="0" w:type="dxa"/>
              <w:right w:w="15" w:type="dxa"/>
            </w:tcMar>
            <w:vAlign w:val="center"/>
          </w:tcPr>
          <w:p>
            <w:pPr>
              <w:spacing w:line="360" w:lineRule="auto"/>
              <w:ind w:firstLine="210" w:firstLineChars="100"/>
              <w:rPr>
                <w:bCs/>
                <w:sz w:val="21"/>
                <w:szCs w:val="21"/>
                <w:lang w:bidi="ar"/>
              </w:rPr>
            </w:pPr>
            <w:r>
              <w:rPr>
                <w:rFonts w:hint="eastAsia"/>
                <w:bCs/>
                <w:sz w:val="21"/>
                <w:szCs w:val="21"/>
                <w:lang w:bidi="ar"/>
              </w:rPr>
              <w:t>2工作日</w:t>
            </w:r>
          </w:p>
        </w:tc>
        <w:tc>
          <w:tcPr>
            <w:tcW w:w="5524" w:type="dxa"/>
            <w:tcMar>
              <w:top w:w="15" w:type="dxa"/>
              <w:left w:w="15" w:type="dxa"/>
              <w:bottom w:w="0" w:type="dxa"/>
              <w:right w:w="15" w:type="dxa"/>
            </w:tcMar>
            <w:vAlign w:val="center"/>
          </w:tcPr>
          <w:p>
            <w:pPr>
              <w:pStyle w:val="6"/>
              <w:spacing w:before="0" w:after="0" w:line="360" w:lineRule="auto"/>
              <w:ind w:left="0"/>
              <w:rPr>
                <w:rFonts w:ascii="宋体" w:hAnsi="宋体"/>
                <w:bCs/>
                <w:sz w:val="21"/>
                <w:szCs w:val="21"/>
                <w:lang w:bidi="ar"/>
              </w:rPr>
            </w:pPr>
            <w:r>
              <w:rPr>
                <w:rFonts w:hint="eastAsia" w:ascii="宋体" w:hAnsi="宋体"/>
                <w:bCs/>
                <w:sz w:val="21"/>
                <w:szCs w:val="21"/>
                <w:lang w:bidi="ar"/>
              </w:rPr>
              <w:t>◇所内集中参与人员进行短期培训，分派任务，讲解要求，明确责任；</w:t>
            </w:r>
          </w:p>
          <w:p>
            <w:pPr>
              <w:pStyle w:val="6"/>
              <w:spacing w:before="0" w:after="0" w:line="360" w:lineRule="auto"/>
              <w:ind w:left="0"/>
              <w:rPr>
                <w:rFonts w:ascii="宋体" w:hAnsi="宋体"/>
                <w:bCs/>
                <w:sz w:val="21"/>
                <w:szCs w:val="21"/>
                <w:lang w:bidi="ar"/>
              </w:rPr>
            </w:pPr>
            <w:r>
              <w:rPr>
                <w:rFonts w:hint="eastAsia" w:ascii="宋体" w:hAnsi="宋体"/>
                <w:bCs/>
                <w:sz w:val="21"/>
                <w:szCs w:val="21"/>
                <w:lang w:bidi="ar"/>
              </w:rPr>
              <w:t>◇开展审前调查，收集资料、了解基本情况；</w:t>
            </w:r>
          </w:p>
          <w:p>
            <w:pPr>
              <w:rPr>
                <w:bCs/>
                <w:sz w:val="21"/>
                <w:szCs w:val="21"/>
                <w:lang w:bidi="ar"/>
              </w:rPr>
            </w:pPr>
            <w:r>
              <w:rPr>
                <w:rFonts w:hint="eastAsia"/>
                <w:bCs/>
                <w:sz w:val="21"/>
                <w:szCs w:val="21"/>
                <w:lang w:bidi="ar"/>
              </w:rPr>
              <w:t>◇进行政策梳理，编制相关工作底稿。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9" w:hRule="atLeast"/>
        </w:trPr>
        <w:tc>
          <w:tcPr>
            <w:tcW w:w="1495" w:type="dxa"/>
            <w:vAlign w:val="center"/>
          </w:tcPr>
          <w:p>
            <w:pPr>
              <w:spacing w:line="360" w:lineRule="auto"/>
              <w:jc w:val="center"/>
              <w:rPr>
                <w:bCs/>
                <w:sz w:val="21"/>
                <w:szCs w:val="21"/>
                <w:lang w:bidi="ar"/>
              </w:rPr>
            </w:pPr>
            <w:r>
              <w:rPr>
                <w:rFonts w:hint="eastAsia"/>
                <w:bCs/>
                <w:sz w:val="21"/>
                <w:szCs w:val="21"/>
                <w:lang w:bidi="ar"/>
              </w:rPr>
              <w:t>实施阶段</w:t>
            </w:r>
          </w:p>
        </w:tc>
        <w:tc>
          <w:tcPr>
            <w:tcW w:w="1307" w:type="dxa"/>
            <w:tcMar>
              <w:top w:w="15" w:type="dxa"/>
              <w:left w:w="15" w:type="dxa"/>
              <w:bottom w:w="0" w:type="dxa"/>
              <w:right w:w="15" w:type="dxa"/>
            </w:tcMar>
            <w:vAlign w:val="center"/>
          </w:tcPr>
          <w:p>
            <w:pPr>
              <w:spacing w:line="360" w:lineRule="auto"/>
              <w:ind w:right="-134" w:rightChars="-56" w:firstLine="210" w:firstLineChars="100"/>
              <w:rPr>
                <w:bCs/>
                <w:sz w:val="21"/>
                <w:szCs w:val="21"/>
                <w:lang w:bidi="ar"/>
              </w:rPr>
            </w:pPr>
            <w:r>
              <w:rPr>
                <w:rFonts w:hint="eastAsia"/>
                <w:bCs/>
                <w:sz w:val="21"/>
                <w:szCs w:val="21"/>
                <w:lang w:bidi="ar"/>
              </w:rPr>
              <w:t>7工作日</w:t>
            </w:r>
          </w:p>
        </w:tc>
        <w:tc>
          <w:tcPr>
            <w:tcW w:w="5524" w:type="dxa"/>
            <w:tcMar>
              <w:top w:w="15" w:type="dxa"/>
              <w:left w:w="15" w:type="dxa"/>
              <w:bottom w:w="0" w:type="dxa"/>
              <w:right w:w="15" w:type="dxa"/>
            </w:tcMar>
            <w:vAlign w:val="center"/>
          </w:tcPr>
          <w:p>
            <w:pPr>
              <w:pStyle w:val="6"/>
              <w:spacing w:before="0" w:after="0" w:line="360" w:lineRule="auto"/>
              <w:ind w:left="0"/>
              <w:rPr>
                <w:rFonts w:ascii="宋体" w:hAnsi="宋体"/>
                <w:bCs/>
                <w:sz w:val="21"/>
                <w:szCs w:val="21"/>
                <w:lang w:bidi="ar"/>
              </w:rPr>
            </w:pPr>
            <w:r>
              <w:rPr>
                <w:rFonts w:hint="eastAsia" w:ascii="宋体" w:hAnsi="宋体"/>
                <w:bCs/>
                <w:sz w:val="21"/>
                <w:szCs w:val="21"/>
                <w:lang w:bidi="ar"/>
              </w:rPr>
              <w:t>◇首次入户，了解项目基本情况，沟通落实开展项目绩效评价工作的进度安排。收集项目首批资料，并反馈补充资料意见；</w:t>
            </w:r>
          </w:p>
          <w:p>
            <w:pPr>
              <w:pStyle w:val="6"/>
              <w:spacing w:before="0" w:after="0" w:line="360" w:lineRule="auto"/>
              <w:ind w:left="0"/>
              <w:rPr>
                <w:rFonts w:ascii="宋体" w:hAnsi="宋体"/>
                <w:bCs/>
                <w:sz w:val="21"/>
                <w:szCs w:val="21"/>
                <w:lang w:bidi="ar"/>
              </w:rPr>
            </w:pPr>
            <w:r>
              <w:rPr>
                <w:rFonts w:hint="eastAsia" w:ascii="宋体" w:hAnsi="宋体"/>
                <w:bCs/>
                <w:sz w:val="21"/>
                <w:szCs w:val="21"/>
                <w:lang w:bidi="ar"/>
              </w:rPr>
              <w:t>◇收集项目补充资料；进行分类整理、归集，填写相应的工作底稿；</w:t>
            </w:r>
          </w:p>
          <w:p>
            <w:pPr>
              <w:pStyle w:val="6"/>
              <w:spacing w:before="0" w:after="0" w:line="360" w:lineRule="auto"/>
              <w:ind w:left="0"/>
              <w:rPr>
                <w:rFonts w:ascii="宋体" w:hAnsi="宋体"/>
                <w:bCs/>
                <w:sz w:val="21"/>
                <w:szCs w:val="21"/>
                <w:lang w:bidi="ar"/>
              </w:rPr>
            </w:pPr>
            <w:r>
              <w:rPr>
                <w:rFonts w:hint="eastAsia" w:ascii="宋体" w:hAnsi="宋体"/>
                <w:bCs/>
                <w:sz w:val="21"/>
                <w:szCs w:val="21"/>
                <w:lang w:bidi="ar"/>
              </w:rPr>
              <w:t>◇定期向委托方汇报、沟通绩效评价中发现的问题；</w:t>
            </w:r>
          </w:p>
          <w:p>
            <w:pPr>
              <w:pStyle w:val="6"/>
              <w:spacing w:before="0" w:after="0" w:line="360" w:lineRule="auto"/>
              <w:ind w:left="0"/>
              <w:rPr>
                <w:rFonts w:ascii="宋体" w:hAnsi="宋体"/>
                <w:bCs/>
                <w:sz w:val="21"/>
                <w:szCs w:val="21"/>
                <w:lang w:bidi="ar"/>
              </w:rPr>
            </w:pPr>
            <w:r>
              <w:rPr>
                <w:rFonts w:hint="eastAsia" w:ascii="宋体" w:hAnsi="宋体"/>
                <w:bCs/>
                <w:sz w:val="21"/>
                <w:szCs w:val="21"/>
                <w:lang w:bidi="ar"/>
              </w:rPr>
              <w:t>◇按照绩效评价工作内容编制工作底稿，整理工作资料证据，撰写工作总结；</w:t>
            </w:r>
          </w:p>
          <w:p>
            <w:pPr>
              <w:pStyle w:val="6"/>
              <w:spacing w:before="0" w:after="0" w:line="360" w:lineRule="auto"/>
              <w:ind w:left="0"/>
              <w:rPr>
                <w:rFonts w:ascii="宋体" w:hAnsi="宋体"/>
                <w:bCs/>
                <w:sz w:val="21"/>
                <w:szCs w:val="21"/>
                <w:lang w:bidi="ar"/>
              </w:rPr>
            </w:pPr>
            <w:r>
              <w:rPr>
                <w:rFonts w:hint="eastAsia" w:ascii="宋体" w:hAnsi="宋体"/>
                <w:bCs/>
                <w:sz w:val="21"/>
                <w:szCs w:val="21"/>
                <w:lang w:bidi="ar"/>
              </w:rPr>
              <w:t>◇现场形成初步的复核工作总结，以备后续绩效评价报告的撰写奠定基础。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45" w:hRule="atLeast"/>
        </w:trPr>
        <w:tc>
          <w:tcPr>
            <w:tcW w:w="1495" w:type="dxa"/>
            <w:vAlign w:val="center"/>
          </w:tcPr>
          <w:p>
            <w:pPr>
              <w:spacing w:line="360" w:lineRule="auto"/>
              <w:jc w:val="center"/>
              <w:rPr>
                <w:bCs/>
                <w:sz w:val="21"/>
                <w:szCs w:val="21"/>
                <w:lang w:bidi="ar"/>
              </w:rPr>
            </w:pPr>
            <w:r>
              <w:rPr>
                <w:rFonts w:hint="eastAsia"/>
                <w:bCs/>
                <w:sz w:val="21"/>
                <w:szCs w:val="21"/>
                <w:lang w:bidi="ar"/>
              </w:rPr>
              <w:t>报告阶段</w:t>
            </w:r>
          </w:p>
        </w:tc>
        <w:tc>
          <w:tcPr>
            <w:tcW w:w="1307" w:type="dxa"/>
            <w:tcMar>
              <w:top w:w="15" w:type="dxa"/>
              <w:left w:w="15" w:type="dxa"/>
              <w:bottom w:w="0" w:type="dxa"/>
              <w:right w:w="15" w:type="dxa"/>
            </w:tcMar>
            <w:vAlign w:val="center"/>
          </w:tcPr>
          <w:p>
            <w:pPr>
              <w:spacing w:line="360" w:lineRule="auto"/>
              <w:ind w:right="-134" w:rightChars="-56" w:firstLine="111" w:firstLineChars="53"/>
              <w:jc w:val="center"/>
              <w:rPr>
                <w:bCs/>
                <w:sz w:val="21"/>
                <w:szCs w:val="21"/>
                <w:lang w:bidi="ar"/>
              </w:rPr>
            </w:pPr>
            <w:r>
              <w:rPr>
                <w:rFonts w:hint="eastAsia"/>
                <w:bCs/>
                <w:sz w:val="21"/>
                <w:szCs w:val="21"/>
                <w:lang w:bidi="ar"/>
              </w:rPr>
              <w:t>2工作日</w:t>
            </w:r>
          </w:p>
        </w:tc>
        <w:tc>
          <w:tcPr>
            <w:tcW w:w="5524" w:type="dxa"/>
            <w:tcMar>
              <w:top w:w="15" w:type="dxa"/>
              <w:left w:w="15" w:type="dxa"/>
              <w:bottom w:w="0" w:type="dxa"/>
              <w:right w:w="15" w:type="dxa"/>
            </w:tcMar>
            <w:vAlign w:val="center"/>
          </w:tcPr>
          <w:p>
            <w:pPr>
              <w:pStyle w:val="6"/>
              <w:spacing w:before="0" w:after="0" w:line="360" w:lineRule="auto"/>
              <w:ind w:left="0"/>
              <w:rPr>
                <w:rFonts w:ascii="宋体" w:hAnsi="宋体"/>
                <w:bCs/>
                <w:sz w:val="21"/>
                <w:szCs w:val="21"/>
                <w:lang w:bidi="ar"/>
              </w:rPr>
            </w:pPr>
            <w:r>
              <w:rPr>
                <w:rFonts w:hint="eastAsia" w:ascii="宋体" w:hAnsi="宋体"/>
                <w:bCs/>
                <w:sz w:val="21"/>
                <w:szCs w:val="21"/>
                <w:lang w:bidi="ar"/>
              </w:rPr>
              <w:t>◇编制绩效评价报告初稿并先征求区财政局的意见；</w:t>
            </w:r>
          </w:p>
          <w:p>
            <w:pPr>
              <w:pStyle w:val="6"/>
              <w:spacing w:before="0" w:after="0" w:line="360" w:lineRule="auto"/>
              <w:ind w:left="0"/>
              <w:rPr>
                <w:rFonts w:ascii="宋体" w:hAnsi="宋体"/>
                <w:bCs/>
                <w:sz w:val="21"/>
                <w:szCs w:val="21"/>
                <w:lang w:bidi="ar"/>
              </w:rPr>
            </w:pPr>
            <w:r>
              <w:rPr>
                <w:rFonts w:hint="eastAsia" w:ascii="宋体" w:hAnsi="宋体"/>
                <w:bCs/>
                <w:sz w:val="21"/>
                <w:szCs w:val="21"/>
                <w:lang w:bidi="ar"/>
              </w:rPr>
              <w:t>◇根据沟通结果或补充提供的相关证据资料，修改绩效评价报告初稿；</w:t>
            </w:r>
          </w:p>
          <w:p>
            <w:pPr>
              <w:pStyle w:val="6"/>
              <w:spacing w:before="0" w:after="0" w:line="360" w:lineRule="auto"/>
              <w:ind w:left="0"/>
              <w:rPr>
                <w:rFonts w:ascii="宋体" w:hAnsi="宋体"/>
                <w:bCs/>
                <w:sz w:val="21"/>
                <w:szCs w:val="21"/>
                <w:lang w:bidi="ar"/>
              </w:rPr>
            </w:pPr>
            <w:r>
              <w:rPr>
                <w:rFonts w:hint="eastAsia" w:ascii="宋体" w:hAnsi="宋体"/>
                <w:bCs/>
                <w:sz w:val="21"/>
                <w:szCs w:val="21"/>
                <w:lang w:bidi="ar"/>
              </w:rPr>
              <w:t>◇履行事务所内部三级复核制度，正式出具并提交绩效评价报告。</w:t>
            </w:r>
          </w:p>
        </w:tc>
      </w:tr>
    </w:tbl>
    <w:p>
      <w:pPr>
        <w:spacing w:line="360" w:lineRule="auto"/>
        <w:ind w:firstLine="480" w:firstLineChars="200"/>
        <w:rPr>
          <w:bCs/>
          <w:lang w:bidi="ar"/>
        </w:rPr>
      </w:pPr>
      <w:r>
        <w:rPr>
          <w:rFonts w:hint="eastAsia"/>
          <w:bCs/>
          <w:lang w:bidi="ar"/>
        </w:rPr>
        <w:t>1、准备阶段</w:t>
      </w:r>
    </w:p>
    <w:p>
      <w:pPr>
        <w:spacing w:line="500" w:lineRule="exact"/>
        <w:ind w:firstLine="480" w:firstLineChars="200"/>
        <w:rPr>
          <w:bCs/>
          <w:lang w:bidi="ar"/>
        </w:rPr>
      </w:pPr>
      <w:r>
        <w:rPr>
          <w:rFonts w:hint="eastAsia"/>
          <w:bCs/>
          <w:lang w:bidi="ar"/>
        </w:rPr>
        <w:t>针对本次项目要求的工作时间紧、工作任务重等特点，提前完成事务所内部的审计团队短期培训、人员分工、资料收集，以及总体策略、具体计划等工作。</w:t>
      </w:r>
    </w:p>
    <w:p>
      <w:pPr>
        <w:spacing w:line="500" w:lineRule="exact"/>
        <w:ind w:firstLine="480" w:firstLineChars="200"/>
        <w:rPr>
          <w:bCs/>
          <w:lang w:bidi="ar"/>
        </w:rPr>
      </w:pPr>
      <w:r>
        <w:rPr>
          <w:rFonts w:hint="eastAsia"/>
          <w:bCs/>
          <w:lang w:bidi="ar"/>
        </w:rPr>
        <w:t>2、实施阶段</w:t>
      </w:r>
    </w:p>
    <w:p>
      <w:pPr>
        <w:spacing w:line="500" w:lineRule="exact"/>
        <w:ind w:firstLine="480" w:firstLineChars="200"/>
        <w:rPr>
          <w:bCs/>
          <w:lang w:bidi="ar"/>
        </w:rPr>
      </w:pPr>
      <w:r>
        <w:rPr>
          <w:rFonts w:hint="eastAsia"/>
          <w:bCs/>
          <w:lang w:bidi="ar"/>
        </w:rPr>
        <w:t>本阶段包括完成项目的资料准备指导、资料收集、现场沟通等工作。项目组人员在充分了解项目情况基础上开展绩效评价，并形成绩效评价报告。定期向委托人汇报、沟通绩效评价过程中发现问题，解决绩效评价过程中存在的问题。</w:t>
      </w:r>
    </w:p>
    <w:p>
      <w:pPr>
        <w:spacing w:line="500" w:lineRule="exact"/>
        <w:ind w:firstLine="480" w:firstLineChars="200"/>
        <w:rPr>
          <w:bCs/>
          <w:lang w:bidi="ar"/>
        </w:rPr>
      </w:pPr>
      <w:r>
        <w:rPr>
          <w:rFonts w:hint="eastAsia"/>
          <w:bCs/>
          <w:lang w:bidi="ar"/>
        </w:rPr>
        <w:t>3、报告阶段</w:t>
      </w:r>
    </w:p>
    <w:p>
      <w:pPr>
        <w:spacing w:line="500" w:lineRule="exact"/>
        <w:ind w:firstLine="480" w:firstLineChars="200"/>
        <w:rPr>
          <w:bCs/>
          <w:lang w:bidi="ar"/>
        </w:rPr>
      </w:pPr>
      <w:r>
        <w:rPr>
          <w:rFonts w:hint="eastAsia"/>
          <w:bCs/>
          <w:lang w:bidi="ar"/>
        </w:rPr>
        <w:t>将评价过程中发现的问题进行汇总、整理、分析，并在此基础上编制绩效评价报告初稿，及时向区财政局进行沟通、汇报。</w:t>
      </w:r>
    </w:p>
    <w:p>
      <w:pPr>
        <w:spacing w:line="500" w:lineRule="exact"/>
        <w:ind w:firstLine="480" w:firstLineChars="200"/>
        <w:outlineLvl w:val="1"/>
        <w:rPr>
          <w:bCs/>
          <w:lang w:bidi="ar"/>
        </w:rPr>
      </w:pPr>
      <w:bookmarkStart w:id="12" w:name="_Toc26329"/>
      <w:r>
        <w:rPr>
          <w:rFonts w:hint="eastAsia"/>
          <w:lang w:bidi="ar"/>
        </w:rPr>
        <w:t>（三）</w:t>
      </w:r>
      <w:r>
        <w:rPr>
          <w:rFonts w:hint="eastAsia"/>
          <w:bCs/>
          <w:lang w:bidi="ar"/>
        </w:rPr>
        <w:t>绩效评价的基本原则：</w:t>
      </w:r>
      <w:bookmarkEnd w:id="12"/>
    </w:p>
    <w:p>
      <w:pPr>
        <w:spacing w:line="500" w:lineRule="exact"/>
        <w:ind w:firstLine="480" w:firstLineChars="200"/>
        <w:rPr>
          <w:bCs/>
          <w:lang w:bidi="ar"/>
        </w:rPr>
      </w:pPr>
      <w:r>
        <w:rPr>
          <w:rFonts w:hint="eastAsia"/>
          <w:bCs/>
          <w:lang w:bidi="ar"/>
        </w:rPr>
        <w:t>1.科学规范原则</w:t>
      </w:r>
    </w:p>
    <w:p>
      <w:pPr>
        <w:spacing w:line="500" w:lineRule="exact"/>
        <w:ind w:firstLine="480" w:firstLineChars="200"/>
        <w:rPr>
          <w:bCs/>
          <w:lang w:bidi="ar"/>
        </w:rPr>
      </w:pPr>
      <w:r>
        <w:rPr>
          <w:rFonts w:hint="eastAsia"/>
          <w:bCs/>
          <w:lang w:bidi="ar"/>
        </w:rPr>
        <w:t>绩效评价按照规范的程序、科学可行的要求，采用定量与定性分析相结合的方法实施。</w:t>
      </w:r>
    </w:p>
    <w:p>
      <w:pPr>
        <w:spacing w:line="500" w:lineRule="exact"/>
        <w:ind w:firstLine="480" w:firstLineChars="200"/>
        <w:rPr>
          <w:bCs/>
          <w:lang w:bidi="ar"/>
        </w:rPr>
      </w:pPr>
      <w:r>
        <w:rPr>
          <w:rFonts w:hint="eastAsia"/>
          <w:bCs/>
          <w:lang w:bidi="ar"/>
        </w:rPr>
        <w:t>2.公正公开原则</w:t>
      </w:r>
    </w:p>
    <w:p>
      <w:pPr>
        <w:spacing w:line="500" w:lineRule="exact"/>
        <w:ind w:firstLine="480" w:firstLineChars="200"/>
        <w:rPr>
          <w:bCs/>
          <w:lang w:bidi="ar"/>
        </w:rPr>
      </w:pPr>
      <w:r>
        <w:rPr>
          <w:rFonts w:hint="eastAsia"/>
          <w:bCs/>
          <w:lang w:bidi="ar"/>
        </w:rPr>
        <w:t>绩效评价符合真实、客观、公平、公正的要求，依法公开并接受监督。</w:t>
      </w:r>
    </w:p>
    <w:p>
      <w:pPr>
        <w:spacing w:line="500" w:lineRule="exact"/>
        <w:ind w:firstLine="480" w:firstLineChars="200"/>
        <w:rPr>
          <w:bCs/>
          <w:lang w:bidi="ar"/>
        </w:rPr>
      </w:pPr>
      <w:r>
        <w:rPr>
          <w:rFonts w:hint="eastAsia"/>
          <w:bCs/>
          <w:lang w:bidi="ar"/>
        </w:rPr>
        <w:t>3.分级分类原则</w:t>
      </w:r>
    </w:p>
    <w:p>
      <w:pPr>
        <w:spacing w:line="500" w:lineRule="exact"/>
        <w:ind w:firstLine="480" w:firstLineChars="200"/>
        <w:rPr>
          <w:bCs/>
          <w:lang w:bidi="ar"/>
        </w:rPr>
      </w:pPr>
      <w:r>
        <w:rPr>
          <w:rFonts w:hint="eastAsia"/>
          <w:bCs/>
          <w:lang w:bidi="ar"/>
        </w:rPr>
        <w:t>绩效评价财政部门和各预算单位主管部门根据评价对象的特点分类组织实施。</w:t>
      </w:r>
    </w:p>
    <w:p>
      <w:pPr>
        <w:spacing w:line="500" w:lineRule="exact"/>
        <w:ind w:firstLine="480" w:firstLineChars="200"/>
        <w:rPr>
          <w:bCs/>
          <w:lang w:bidi="ar"/>
        </w:rPr>
      </w:pPr>
      <w:r>
        <w:rPr>
          <w:rFonts w:hint="eastAsia"/>
          <w:bCs/>
          <w:lang w:bidi="ar"/>
        </w:rPr>
        <w:t>4.绩效相关原则</w:t>
      </w:r>
    </w:p>
    <w:p>
      <w:pPr>
        <w:spacing w:line="500" w:lineRule="exact"/>
        <w:ind w:firstLine="480" w:firstLineChars="200"/>
        <w:rPr>
          <w:bCs/>
          <w:lang w:bidi="ar"/>
        </w:rPr>
      </w:pPr>
      <w:r>
        <w:rPr>
          <w:rFonts w:hint="eastAsia"/>
          <w:bCs/>
          <w:lang w:bidi="ar"/>
        </w:rPr>
        <w:t>绩效评价针对具体支出及其产出效果进行，评价结果要清晰反映两者之间紧密对应关系。</w:t>
      </w:r>
    </w:p>
    <w:p>
      <w:pPr>
        <w:spacing w:line="500" w:lineRule="exact"/>
        <w:ind w:firstLine="480" w:firstLineChars="200"/>
        <w:outlineLvl w:val="1"/>
        <w:rPr>
          <w:bCs/>
          <w:lang w:bidi="ar"/>
        </w:rPr>
      </w:pPr>
      <w:bookmarkStart w:id="13" w:name="_Toc31508"/>
      <w:r>
        <w:rPr>
          <w:rFonts w:hint="eastAsia"/>
          <w:bCs/>
          <w:lang w:bidi="ar"/>
        </w:rPr>
        <w:t>（四）绩效评价的主要依据：</w:t>
      </w:r>
      <w:bookmarkEnd w:id="13"/>
    </w:p>
    <w:p>
      <w:pPr>
        <w:pStyle w:val="19"/>
        <w:spacing w:line="500" w:lineRule="exact"/>
        <w:ind w:firstLine="480" w:firstLineChars="200"/>
        <w:rPr>
          <w:rFonts w:ascii="宋体" w:hAnsi="宋体" w:eastAsia="宋体" w:cs="宋体"/>
          <w:color w:val="auto"/>
        </w:rPr>
      </w:pPr>
      <w:r>
        <w:rPr>
          <w:rFonts w:hint="eastAsia" w:ascii="宋体" w:hAnsi="宋体" w:eastAsia="宋体" w:cs="宋体"/>
          <w:color w:val="auto"/>
        </w:rPr>
        <w:t>1、《中共中央国务院关于全面实施预算绩效管理的意见》（中发〔2018〕34号）；</w:t>
      </w:r>
    </w:p>
    <w:p>
      <w:pPr>
        <w:pStyle w:val="19"/>
        <w:spacing w:line="500" w:lineRule="exact"/>
        <w:ind w:firstLine="480" w:firstLineChars="200"/>
        <w:rPr>
          <w:rFonts w:ascii="宋体" w:hAnsi="宋体" w:eastAsia="宋体" w:cs="宋体"/>
          <w:color w:val="auto"/>
        </w:rPr>
      </w:pPr>
      <w:r>
        <w:rPr>
          <w:rFonts w:hint="eastAsia" w:ascii="宋体" w:hAnsi="宋体" w:eastAsia="宋体" w:cs="宋体"/>
          <w:color w:val="auto"/>
        </w:rPr>
        <w:t>2、</w:t>
      </w:r>
      <w:r>
        <w:rPr>
          <w:rFonts w:hint="eastAsia" w:ascii="宋体" w:hAnsi="宋体" w:eastAsia="宋体" w:cs="宋体"/>
        </w:rPr>
        <w:t>财政部《预算绩效评价共性指标体系框架》（财预〔2013〕53号）；</w:t>
      </w:r>
    </w:p>
    <w:p>
      <w:pPr>
        <w:pStyle w:val="19"/>
        <w:spacing w:line="500" w:lineRule="exact"/>
        <w:ind w:firstLine="480" w:firstLineChars="200"/>
        <w:rPr>
          <w:rFonts w:ascii="宋体" w:hAnsi="宋体" w:eastAsia="宋体" w:cs="宋体"/>
          <w:color w:val="auto"/>
        </w:rPr>
      </w:pPr>
      <w:r>
        <w:rPr>
          <w:rFonts w:hint="eastAsia" w:ascii="宋体" w:hAnsi="宋体" w:eastAsia="宋体" w:cs="宋体"/>
          <w:color w:val="auto"/>
        </w:rPr>
        <w:t xml:space="preserve">3、财政部《项目支出绩效评价管理办法》（财预〔2020〕10号）； </w:t>
      </w:r>
    </w:p>
    <w:p>
      <w:pPr>
        <w:pStyle w:val="19"/>
        <w:spacing w:line="500" w:lineRule="exact"/>
        <w:ind w:firstLine="480" w:firstLineChars="200"/>
        <w:rPr>
          <w:rFonts w:ascii="宋体" w:hAnsi="宋体" w:eastAsia="宋体" w:cs="宋体"/>
          <w:color w:val="auto"/>
        </w:rPr>
      </w:pPr>
      <w:r>
        <w:rPr>
          <w:rFonts w:hint="eastAsia" w:ascii="宋体" w:hAnsi="宋体" w:eastAsia="宋体" w:cs="宋体"/>
          <w:color w:val="auto"/>
        </w:rPr>
        <w:t>4、</w:t>
      </w:r>
      <w:r>
        <w:rPr>
          <w:rFonts w:hint="eastAsia" w:ascii="宋体" w:hAnsi="宋体" w:eastAsia="宋体" w:cs="宋体"/>
        </w:rPr>
        <w:t>《中共天津市委 天津市人民政府&lt;关于全面推进预算绩效管理的实施方案&gt;的通知》（津党发〔2019〕25号）</w:t>
      </w:r>
      <w:r>
        <w:rPr>
          <w:rFonts w:hint="eastAsia" w:ascii="宋体" w:hAnsi="宋体" w:eastAsia="宋体" w:cs="宋体"/>
          <w:bCs/>
        </w:rPr>
        <w:t>；</w:t>
      </w:r>
    </w:p>
    <w:p>
      <w:pPr>
        <w:spacing w:line="500" w:lineRule="exact"/>
        <w:ind w:firstLine="480" w:firstLineChars="200"/>
      </w:pPr>
      <w:r>
        <w:rPr>
          <w:rFonts w:hint="eastAsia"/>
        </w:rPr>
        <w:t>5、</w:t>
      </w:r>
      <w:r>
        <w:rPr>
          <w:rFonts w:hint="eastAsia"/>
          <w:bCs/>
        </w:rPr>
        <w:t>市政府办公厅《关于推进我市预算绩效管理工作的指导意见》（津政办发</w:t>
      </w:r>
      <w:r>
        <w:rPr>
          <w:rFonts w:hint="eastAsia"/>
        </w:rPr>
        <w:t>〔2011〕</w:t>
      </w:r>
      <w:r>
        <w:rPr>
          <w:rFonts w:hint="eastAsia"/>
          <w:bCs/>
        </w:rPr>
        <w:t>109号）；</w:t>
      </w:r>
    </w:p>
    <w:p>
      <w:pPr>
        <w:spacing w:line="500" w:lineRule="exact"/>
        <w:ind w:firstLine="480" w:firstLineChars="200"/>
      </w:pPr>
      <w:r>
        <w:rPr>
          <w:rFonts w:hint="eastAsia"/>
        </w:rPr>
        <w:t>6、《天津市市级部门（单位）整体支出绩效目标管理办法（试行）》（津财预〔2015〕102号）</w:t>
      </w:r>
      <w:r>
        <w:rPr>
          <w:rFonts w:hint="eastAsia"/>
          <w:bCs/>
        </w:rPr>
        <w:t>；</w:t>
      </w:r>
    </w:p>
    <w:p>
      <w:pPr>
        <w:spacing w:line="500" w:lineRule="exact"/>
        <w:ind w:firstLine="480" w:firstLineChars="200"/>
      </w:pPr>
      <w:r>
        <w:rPr>
          <w:rFonts w:hint="eastAsia"/>
        </w:rPr>
        <w:t>7、</w:t>
      </w:r>
      <w:r>
        <w:rPr>
          <w:rFonts w:hint="eastAsia"/>
          <w:bCs/>
        </w:rPr>
        <w:t>《天津市财政项目支出绩效评价共性指标体系》（津财预〔2016〕73号）；</w:t>
      </w:r>
      <w:r>
        <w:rPr>
          <w:rFonts w:hint="eastAsia"/>
        </w:rPr>
        <w:t xml:space="preserve"> </w:t>
      </w:r>
    </w:p>
    <w:p>
      <w:pPr>
        <w:spacing w:line="500" w:lineRule="exact"/>
        <w:ind w:firstLine="480" w:firstLineChars="200"/>
        <w:rPr>
          <w:bCs/>
        </w:rPr>
      </w:pPr>
      <w:r>
        <w:rPr>
          <w:rFonts w:hint="eastAsia"/>
          <w:bCs/>
        </w:rPr>
        <w:t>8、</w:t>
      </w:r>
      <w:r>
        <w:rPr>
          <w:rFonts w:hint="eastAsia"/>
        </w:rPr>
        <w:t>《天津市市级财政项目支出绩效评价管理办法》（津财绩效〔2020〕12号）；</w:t>
      </w:r>
      <w:r>
        <w:rPr>
          <w:rFonts w:hint="eastAsia"/>
          <w:bCs/>
        </w:rPr>
        <w:t xml:space="preserve"> </w:t>
      </w:r>
    </w:p>
    <w:p>
      <w:pPr>
        <w:spacing w:line="500" w:lineRule="exact"/>
        <w:ind w:firstLine="480" w:firstLineChars="200"/>
        <w:rPr>
          <w:bCs/>
        </w:rPr>
      </w:pPr>
      <w:r>
        <w:rPr>
          <w:rFonts w:hint="eastAsia"/>
          <w:bCs/>
        </w:rPr>
        <w:t>9、《天津市市级部门预算绩效管理办法》（津财绩效〔2020〕14号）；</w:t>
      </w:r>
    </w:p>
    <w:p>
      <w:pPr>
        <w:spacing w:line="500" w:lineRule="exact"/>
        <w:ind w:firstLine="480" w:firstLineChars="200"/>
        <w:rPr>
          <w:bCs/>
        </w:rPr>
      </w:pPr>
      <w:r>
        <w:rPr>
          <w:rFonts w:hint="eastAsia"/>
          <w:bCs/>
        </w:rPr>
        <w:t>10、《天津市市级部门预算绩效目标管理办法》（津财绩效〔2020〕16号）。</w:t>
      </w:r>
    </w:p>
    <w:p>
      <w:pPr>
        <w:pStyle w:val="2"/>
        <w:numPr>
          <w:ilvl w:val="0"/>
          <w:numId w:val="0"/>
        </w:numPr>
        <w:spacing w:before="0" w:after="0" w:line="360" w:lineRule="auto"/>
        <w:ind w:firstLine="482" w:firstLineChars="200"/>
      </w:pPr>
      <w:bookmarkStart w:id="14" w:name="_Toc19825"/>
      <w:r>
        <w:t>三、绩效评价指标体系、评价标准和评价方法</w:t>
      </w:r>
      <w:bookmarkEnd w:id="14"/>
    </w:p>
    <w:p>
      <w:pPr>
        <w:spacing w:line="500" w:lineRule="exact"/>
        <w:ind w:firstLine="480" w:firstLineChars="200"/>
        <w:outlineLvl w:val="1"/>
        <w:rPr>
          <w:bCs/>
          <w:lang w:bidi="ar"/>
        </w:rPr>
      </w:pPr>
      <w:bookmarkStart w:id="15" w:name="_Toc22878"/>
      <w:r>
        <w:rPr>
          <w:lang w:bidi="ar"/>
        </w:rPr>
        <w:t>（一）</w:t>
      </w:r>
      <w:r>
        <w:rPr>
          <w:bCs/>
          <w:lang w:bidi="ar"/>
        </w:rPr>
        <w:t>指标构建原则及思路</w:t>
      </w:r>
      <w:bookmarkEnd w:id="15"/>
    </w:p>
    <w:p>
      <w:pPr>
        <w:spacing w:line="500" w:lineRule="exact"/>
        <w:ind w:firstLine="480" w:firstLineChars="200"/>
        <w:rPr>
          <w:bCs/>
          <w:lang w:bidi="ar"/>
        </w:rPr>
      </w:pPr>
      <w:r>
        <w:rPr>
          <w:rFonts w:hint="eastAsia"/>
          <w:bCs/>
          <w:lang w:bidi="ar"/>
        </w:rPr>
        <w:t>绩效指标评价体系设计遵循经济性、相关性、重要性、可比性、定量为主原则，结合宣传教育经费项目实施的产出及效果情况，制定绩效指标体系，具体如下：</w:t>
      </w:r>
    </w:p>
    <w:p>
      <w:pPr>
        <w:spacing w:line="500" w:lineRule="exact"/>
        <w:ind w:firstLine="480" w:firstLineChars="200"/>
        <w:jc w:val="center"/>
        <w:rPr>
          <w:bCs/>
          <w:lang w:bidi="ar"/>
        </w:rPr>
      </w:pPr>
      <w:r>
        <w:rPr>
          <w:rFonts w:hint="eastAsia"/>
          <w:bCs/>
          <w:lang w:bidi="ar"/>
        </w:rPr>
        <w:t>表3：绩效指标体系</w:t>
      </w:r>
    </w:p>
    <w:tbl>
      <w:tblPr>
        <w:tblStyle w:val="13"/>
        <w:tblW w:w="8429"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945"/>
        <w:gridCol w:w="967"/>
        <w:gridCol w:w="4804"/>
        <w:gridCol w:w="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blHeader/>
        </w:trPr>
        <w:tc>
          <w:tcPr>
            <w:tcW w:w="967" w:type="dxa"/>
            <w:shd w:val="clear" w:color="auto" w:fill="auto"/>
            <w:vAlign w:val="center"/>
          </w:tcPr>
          <w:p>
            <w:pPr>
              <w:jc w:val="center"/>
              <w:textAlignment w:val="center"/>
              <w:rPr>
                <w:b/>
                <w:bCs/>
                <w:color w:val="000000"/>
                <w:sz w:val="21"/>
                <w:szCs w:val="21"/>
              </w:rPr>
            </w:pPr>
            <w:r>
              <w:rPr>
                <w:rFonts w:hint="eastAsia"/>
                <w:b/>
                <w:bCs/>
                <w:color w:val="000000"/>
                <w:sz w:val="21"/>
                <w:szCs w:val="21"/>
                <w:lang w:bidi="ar"/>
              </w:rPr>
              <w:t>一级评分项</w:t>
            </w:r>
          </w:p>
        </w:tc>
        <w:tc>
          <w:tcPr>
            <w:tcW w:w="945" w:type="dxa"/>
            <w:shd w:val="clear" w:color="auto" w:fill="auto"/>
            <w:vAlign w:val="center"/>
          </w:tcPr>
          <w:p>
            <w:pPr>
              <w:jc w:val="center"/>
              <w:textAlignment w:val="center"/>
              <w:rPr>
                <w:b/>
                <w:bCs/>
                <w:color w:val="000000"/>
                <w:sz w:val="21"/>
                <w:szCs w:val="21"/>
              </w:rPr>
            </w:pPr>
            <w:r>
              <w:rPr>
                <w:rFonts w:hint="eastAsia"/>
                <w:b/>
                <w:bCs/>
                <w:color w:val="000000"/>
                <w:sz w:val="21"/>
                <w:szCs w:val="21"/>
                <w:lang w:bidi="ar"/>
              </w:rPr>
              <w:t>二级评分项</w:t>
            </w:r>
          </w:p>
        </w:tc>
        <w:tc>
          <w:tcPr>
            <w:tcW w:w="967" w:type="dxa"/>
            <w:shd w:val="clear" w:color="auto" w:fill="auto"/>
            <w:vAlign w:val="center"/>
          </w:tcPr>
          <w:p>
            <w:pPr>
              <w:jc w:val="center"/>
              <w:textAlignment w:val="center"/>
              <w:rPr>
                <w:b/>
                <w:bCs/>
                <w:color w:val="000000"/>
                <w:sz w:val="21"/>
                <w:szCs w:val="21"/>
              </w:rPr>
            </w:pPr>
            <w:r>
              <w:rPr>
                <w:rFonts w:hint="eastAsia"/>
                <w:b/>
                <w:bCs/>
                <w:color w:val="000000"/>
                <w:sz w:val="21"/>
                <w:szCs w:val="21"/>
                <w:lang w:bidi="ar"/>
              </w:rPr>
              <w:t>三级评分项</w:t>
            </w:r>
          </w:p>
        </w:tc>
        <w:tc>
          <w:tcPr>
            <w:tcW w:w="4804" w:type="dxa"/>
            <w:shd w:val="clear" w:color="auto" w:fill="auto"/>
            <w:vAlign w:val="center"/>
          </w:tcPr>
          <w:p>
            <w:pPr>
              <w:jc w:val="center"/>
              <w:textAlignment w:val="center"/>
              <w:rPr>
                <w:b/>
                <w:bCs/>
                <w:color w:val="000000"/>
                <w:sz w:val="21"/>
                <w:szCs w:val="21"/>
              </w:rPr>
            </w:pPr>
            <w:r>
              <w:rPr>
                <w:rFonts w:hint="eastAsia"/>
                <w:b/>
                <w:bCs/>
                <w:color w:val="000000"/>
                <w:sz w:val="21"/>
                <w:szCs w:val="21"/>
                <w:lang w:bidi="ar"/>
              </w:rPr>
              <w:t>评价要点</w:t>
            </w:r>
          </w:p>
        </w:tc>
        <w:tc>
          <w:tcPr>
            <w:tcW w:w="746" w:type="dxa"/>
            <w:shd w:val="clear" w:color="auto" w:fill="auto"/>
            <w:vAlign w:val="center"/>
          </w:tcPr>
          <w:p>
            <w:pPr>
              <w:jc w:val="center"/>
              <w:textAlignment w:val="center"/>
              <w:rPr>
                <w:b/>
                <w:bCs/>
                <w:color w:val="000000"/>
                <w:sz w:val="21"/>
                <w:szCs w:val="21"/>
              </w:rPr>
            </w:pPr>
            <w:r>
              <w:rPr>
                <w:rFonts w:hint="eastAsia"/>
                <w:b/>
                <w:bCs/>
                <w:color w:val="000000"/>
                <w:sz w:val="21"/>
                <w:szCs w:val="21"/>
                <w:lang w:bidi="ar"/>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967" w:type="dxa"/>
            <w:vMerge w:val="restart"/>
            <w:shd w:val="clear" w:color="auto" w:fill="auto"/>
            <w:vAlign w:val="center"/>
          </w:tcPr>
          <w:p>
            <w:pPr>
              <w:jc w:val="center"/>
              <w:textAlignment w:val="center"/>
              <w:rPr>
                <w:color w:val="000000"/>
                <w:sz w:val="21"/>
                <w:szCs w:val="21"/>
                <w:lang w:bidi="ar"/>
              </w:rPr>
            </w:pPr>
          </w:p>
          <w:p>
            <w:pPr>
              <w:jc w:val="center"/>
              <w:textAlignment w:val="center"/>
              <w:rPr>
                <w:color w:val="000000"/>
                <w:sz w:val="21"/>
                <w:szCs w:val="21"/>
                <w:lang w:bidi="ar"/>
              </w:rPr>
            </w:pPr>
          </w:p>
          <w:p>
            <w:pPr>
              <w:jc w:val="center"/>
              <w:textAlignment w:val="center"/>
              <w:rPr>
                <w:color w:val="000000"/>
                <w:sz w:val="21"/>
                <w:szCs w:val="21"/>
                <w:lang w:bidi="ar"/>
              </w:rPr>
            </w:pPr>
          </w:p>
          <w:p>
            <w:pPr>
              <w:jc w:val="center"/>
              <w:textAlignment w:val="center"/>
              <w:rPr>
                <w:color w:val="000000"/>
                <w:sz w:val="21"/>
                <w:szCs w:val="21"/>
                <w:lang w:bidi="ar"/>
              </w:rPr>
            </w:pPr>
          </w:p>
          <w:p>
            <w:pPr>
              <w:jc w:val="center"/>
              <w:textAlignment w:val="center"/>
              <w:rPr>
                <w:color w:val="000000"/>
                <w:sz w:val="21"/>
                <w:szCs w:val="21"/>
                <w:lang w:bidi="ar"/>
              </w:rPr>
            </w:pPr>
          </w:p>
          <w:p>
            <w:pPr>
              <w:jc w:val="center"/>
              <w:textAlignment w:val="center"/>
              <w:rPr>
                <w:color w:val="000000"/>
                <w:sz w:val="21"/>
                <w:szCs w:val="21"/>
              </w:rPr>
            </w:pPr>
            <w:r>
              <w:rPr>
                <w:rFonts w:hint="eastAsia"/>
                <w:color w:val="000000"/>
                <w:sz w:val="21"/>
                <w:szCs w:val="21"/>
                <w:lang w:bidi="ar"/>
              </w:rPr>
              <w:t>决策（20分）</w:t>
            </w:r>
          </w:p>
        </w:tc>
        <w:tc>
          <w:tcPr>
            <w:tcW w:w="945" w:type="dxa"/>
            <w:vMerge w:val="restart"/>
            <w:shd w:val="clear" w:color="auto" w:fill="auto"/>
            <w:vAlign w:val="center"/>
          </w:tcPr>
          <w:p>
            <w:pPr>
              <w:jc w:val="center"/>
              <w:textAlignment w:val="center"/>
              <w:rPr>
                <w:color w:val="000000"/>
                <w:sz w:val="21"/>
                <w:szCs w:val="21"/>
              </w:rPr>
            </w:pPr>
            <w:r>
              <w:rPr>
                <w:rFonts w:hint="eastAsia"/>
                <w:color w:val="000000"/>
                <w:sz w:val="21"/>
                <w:szCs w:val="21"/>
                <w:lang w:bidi="ar"/>
              </w:rPr>
              <w:t>项目立项</w:t>
            </w:r>
          </w:p>
        </w:tc>
        <w:tc>
          <w:tcPr>
            <w:tcW w:w="967" w:type="dxa"/>
            <w:shd w:val="clear" w:color="auto" w:fill="auto"/>
            <w:vAlign w:val="center"/>
          </w:tcPr>
          <w:p>
            <w:pPr>
              <w:jc w:val="center"/>
              <w:textAlignment w:val="center"/>
              <w:rPr>
                <w:color w:val="000000"/>
                <w:sz w:val="21"/>
                <w:szCs w:val="21"/>
              </w:rPr>
            </w:pPr>
            <w:r>
              <w:rPr>
                <w:rFonts w:hint="eastAsia"/>
                <w:color w:val="000000"/>
                <w:sz w:val="21"/>
                <w:szCs w:val="21"/>
                <w:lang w:bidi="ar"/>
              </w:rPr>
              <w:t>立项依据充分性</w:t>
            </w:r>
          </w:p>
        </w:tc>
        <w:tc>
          <w:tcPr>
            <w:tcW w:w="4804" w:type="dxa"/>
            <w:shd w:val="clear" w:color="auto" w:fill="auto"/>
            <w:vAlign w:val="center"/>
          </w:tcPr>
          <w:p>
            <w:pPr>
              <w:textAlignment w:val="center"/>
              <w:rPr>
                <w:sz w:val="21"/>
                <w:szCs w:val="21"/>
              </w:rPr>
            </w:pPr>
            <w:r>
              <w:rPr>
                <w:rFonts w:hint="eastAsia"/>
                <w:sz w:val="21"/>
                <w:szCs w:val="21"/>
              </w:rPr>
              <w:t>①项目立项是否符合国家法律法规、国民经济发展规划和相关政策；</w:t>
            </w:r>
          </w:p>
          <w:p>
            <w:pPr>
              <w:textAlignment w:val="center"/>
              <w:rPr>
                <w:sz w:val="21"/>
                <w:szCs w:val="21"/>
              </w:rPr>
            </w:pPr>
            <w:r>
              <w:rPr>
                <w:rFonts w:hint="eastAsia"/>
                <w:sz w:val="21"/>
                <w:szCs w:val="21"/>
              </w:rPr>
              <w:t>②项目立项是否符合行业发展规划和政策要求；</w:t>
            </w:r>
          </w:p>
          <w:p>
            <w:pPr>
              <w:textAlignment w:val="center"/>
              <w:rPr>
                <w:sz w:val="21"/>
                <w:szCs w:val="21"/>
              </w:rPr>
            </w:pPr>
            <w:r>
              <w:rPr>
                <w:rFonts w:hint="eastAsia"/>
                <w:sz w:val="21"/>
                <w:szCs w:val="21"/>
              </w:rPr>
              <w:t>③项目立项是否与部门职责范围相符，属于部门履职所需；</w:t>
            </w:r>
          </w:p>
          <w:p>
            <w:pPr>
              <w:textAlignment w:val="center"/>
              <w:rPr>
                <w:sz w:val="21"/>
                <w:szCs w:val="21"/>
              </w:rPr>
            </w:pPr>
            <w:r>
              <w:rPr>
                <w:rFonts w:hint="eastAsia"/>
                <w:sz w:val="21"/>
                <w:szCs w:val="21"/>
              </w:rPr>
              <w:t>④项目是否属于公共财政支持范围，是否符合中央、地方事权支出责任划分原则；</w:t>
            </w:r>
          </w:p>
          <w:p>
            <w:pPr>
              <w:textAlignment w:val="center"/>
              <w:rPr>
                <w:color w:val="000000"/>
                <w:sz w:val="21"/>
                <w:szCs w:val="21"/>
              </w:rPr>
            </w:pPr>
            <w:r>
              <w:rPr>
                <w:rFonts w:hint="eastAsia"/>
                <w:sz w:val="21"/>
                <w:szCs w:val="21"/>
              </w:rPr>
              <w:t>⑤项目是否与相关部门同类项目或部门内部相关项目重复。</w:t>
            </w:r>
          </w:p>
        </w:tc>
        <w:tc>
          <w:tcPr>
            <w:tcW w:w="746" w:type="dxa"/>
            <w:shd w:val="clear" w:color="auto" w:fill="auto"/>
            <w:vAlign w:val="center"/>
          </w:tcPr>
          <w:p>
            <w:pPr>
              <w:jc w:val="center"/>
              <w:textAlignment w:val="center"/>
              <w:rPr>
                <w:color w:val="000000"/>
                <w:sz w:val="21"/>
                <w:szCs w:val="21"/>
              </w:rPr>
            </w:pPr>
            <w:r>
              <w:rPr>
                <w:rFonts w:hint="eastAsia"/>
                <w:color w:val="000000"/>
                <w:sz w:val="21"/>
                <w:szCs w:val="21"/>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967" w:type="dxa"/>
            <w:vMerge w:val="continue"/>
            <w:shd w:val="clear" w:color="auto" w:fill="auto"/>
            <w:vAlign w:val="center"/>
          </w:tcPr>
          <w:p>
            <w:pPr>
              <w:jc w:val="center"/>
              <w:rPr>
                <w:color w:val="000000"/>
                <w:sz w:val="21"/>
                <w:szCs w:val="21"/>
              </w:rPr>
            </w:pPr>
          </w:p>
        </w:tc>
        <w:tc>
          <w:tcPr>
            <w:tcW w:w="945" w:type="dxa"/>
            <w:vMerge w:val="continue"/>
            <w:shd w:val="clear" w:color="auto" w:fill="auto"/>
            <w:vAlign w:val="center"/>
          </w:tcPr>
          <w:p>
            <w:pPr>
              <w:jc w:val="center"/>
              <w:rPr>
                <w:color w:val="000000"/>
                <w:sz w:val="21"/>
                <w:szCs w:val="21"/>
              </w:rPr>
            </w:pPr>
          </w:p>
        </w:tc>
        <w:tc>
          <w:tcPr>
            <w:tcW w:w="967" w:type="dxa"/>
            <w:shd w:val="clear" w:color="auto" w:fill="auto"/>
            <w:vAlign w:val="center"/>
          </w:tcPr>
          <w:p>
            <w:pPr>
              <w:jc w:val="center"/>
              <w:textAlignment w:val="center"/>
              <w:rPr>
                <w:color w:val="000000"/>
                <w:sz w:val="21"/>
                <w:szCs w:val="21"/>
              </w:rPr>
            </w:pPr>
            <w:r>
              <w:rPr>
                <w:rFonts w:hint="eastAsia"/>
                <w:color w:val="000000"/>
                <w:sz w:val="21"/>
                <w:szCs w:val="21"/>
                <w:lang w:bidi="ar"/>
              </w:rPr>
              <w:t>立项程序规范性</w:t>
            </w:r>
          </w:p>
        </w:tc>
        <w:tc>
          <w:tcPr>
            <w:tcW w:w="4804" w:type="dxa"/>
            <w:shd w:val="clear" w:color="auto" w:fill="auto"/>
            <w:vAlign w:val="center"/>
          </w:tcPr>
          <w:p>
            <w:pPr>
              <w:textAlignment w:val="center"/>
              <w:rPr>
                <w:sz w:val="21"/>
                <w:szCs w:val="21"/>
              </w:rPr>
            </w:pPr>
            <w:r>
              <w:rPr>
                <w:rFonts w:hint="eastAsia"/>
                <w:sz w:val="21"/>
                <w:szCs w:val="21"/>
              </w:rPr>
              <w:t>①项目是否按照规定的程序申请设立；</w:t>
            </w:r>
          </w:p>
          <w:p>
            <w:pPr>
              <w:textAlignment w:val="center"/>
              <w:rPr>
                <w:sz w:val="21"/>
                <w:szCs w:val="21"/>
              </w:rPr>
            </w:pPr>
            <w:r>
              <w:rPr>
                <w:rFonts w:hint="eastAsia"/>
                <w:sz w:val="21"/>
                <w:szCs w:val="21"/>
              </w:rPr>
              <w:t>②审批文件、材料是否符合相关要求；</w:t>
            </w:r>
          </w:p>
          <w:p>
            <w:pPr>
              <w:textAlignment w:val="center"/>
              <w:rPr>
                <w:color w:val="000000"/>
                <w:sz w:val="21"/>
                <w:szCs w:val="21"/>
              </w:rPr>
            </w:pPr>
            <w:r>
              <w:rPr>
                <w:rFonts w:hint="eastAsia"/>
                <w:sz w:val="21"/>
                <w:szCs w:val="21"/>
              </w:rPr>
              <w:t>③事前是否已经过必要的可行性研究、专家论证、风险评估、绩效评估、集体决策。</w:t>
            </w:r>
          </w:p>
        </w:tc>
        <w:tc>
          <w:tcPr>
            <w:tcW w:w="746" w:type="dxa"/>
            <w:shd w:val="clear" w:color="auto" w:fill="auto"/>
            <w:vAlign w:val="center"/>
          </w:tcPr>
          <w:p>
            <w:pPr>
              <w:jc w:val="center"/>
              <w:textAlignment w:val="center"/>
              <w:rPr>
                <w:color w:val="000000"/>
                <w:sz w:val="21"/>
                <w:szCs w:val="21"/>
              </w:rPr>
            </w:pPr>
            <w:r>
              <w:rPr>
                <w:rFonts w:hint="eastAsia"/>
                <w:color w:val="000000"/>
                <w:sz w:val="21"/>
                <w:szCs w:val="21"/>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967" w:type="dxa"/>
            <w:vMerge w:val="continue"/>
            <w:shd w:val="clear" w:color="auto" w:fill="auto"/>
            <w:vAlign w:val="center"/>
          </w:tcPr>
          <w:p>
            <w:pPr>
              <w:jc w:val="center"/>
              <w:rPr>
                <w:color w:val="000000"/>
                <w:sz w:val="21"/>
                <w:szCs w:val="21"/>
              </w:rPr>
            </w:pPr>
          </w:p>
        </w:tc>
        <w:tc>
          <w:tcPr>
            <w:tcW w:w="945" w:type="dxa"/>
            <w:vMerge w:val="restart"/>
            <w:shd w:val="clear" w:color="auto" w:fill="auto"/>
            <w:vAlign w:val="center"/>
          </w:tcPr>
          <w:p>
            <w:pPr>
              <w:jc w:val="center"/>
              <w:textAlignment w:val="center"/>
              <w:rPr>
                <w:color w:val="000000"/>
                <w:sz w:val="21"/>
                <w:szCs w:val="21"/>
              </w:rPr>
            </w:pPr>
            <w:r>
              <w:rPr>
                <w:rFonts w:hint="eastAsia"/>
                <w:color w:val="000000"/>
                <w:sz w:val="21"/>
                <w:szCs w:val="21"/>
                <w:lang w:bidi="ar"/>
              </w:rPr>
              <w:t>绩效目标</w:t>
            </w:r>
          </w:p>
        </w:tc>
        <w:tc>
          <w:tcPr>
            <w:tcW w:w="967" w:type="dxa"/>
            <w:shd w:val="clear" w:color="auto" w:fill="auto"/>
            <w:vAlign w:val="center"/>
          </w:tcPr>
          <w:p>
            <w:pPr>
              <w:jc w:val="center"/>
              <w:textAlignment w:val="center"/>
              <w:rPr>
                <w:color w:val="000000"/>
                <w:sz w:val="21"/>
                <w:szCs w:val="21"/>
              </w:rPr>
            </w:pPr>
            <w:r>
              <w:rPr>
                <w:rFonts w:hint="eastAsia"/>
                <w:color w:val="000000"/>
                <w:sz w:val="21"/>
                <w:szCs w:val="21"/>
                <w:lang w:bidi="ar"/>
              </w:rPr>
              <w:t>绩效目标合理性</w:t>
            </w:r>
          </w:p>
        </w:tc>
        <w:tc>
          <w:tcPr>
            <w:tcW w:w="4804" w:type="dxa"/>
            <w:shd w:val="clear" w:color="auto" w:fill="auto"/>
            <w:vAlign w:val="center"/>
          </w:tcPr>
          <w:p>
            <w:pPr>
              <w:textAlignment w:val="center"/>
              <w:rPr>
                <w:sz w:val="21"/>
                <w:szCs w:val="21"/>
              </w:rPr>
            </w:pPr>
            <w:r>
              <w:rPr>
                <w:rFonts w:hint="eastAsia"/>
                <w:sz w:val="21"/>
                <w:szCs w:val="21"/>
              </w:rPr>
              <w:t>①项目是否有绩效目标；</w:t>
            </w:r>
          </w:p>
          <w:p>
            <w:pPr>
              <w:textAlignment w:val="center"/>
              <w:rPr>
                <w:sz w:val="21"/>
                <w:szCs w:val="21"/>
              </w:rPr>
            </w:pPr>
            <w:r>
              <w:rPr>
                <w:rFonts w:hint="eastAsia"/>
                <w:sz w:val="21"/>
                <w:szCs w:val="21"/>
              </w:rPr>
              <w:t>②项目绩效目标与实际工作内容是否具有相关性；</w:t>
            </w:r>
          </w:p>
          <w:p>
            <w:pPr>
              <w:textAlignment w:val="center"/>
              <w:rPr>
                <w:sz w:val="21"/>
                <w:szCs w:val="21"/>
              </w:rPr>
            </w:pPr>
            <w:r>
              <w:rPr>
                <w:rFonts w:hint="eastAsia"/>
                <w:sz w:val="21"/>
                <w:szCs w:val="21"/>
              </w:rPr>
              <w:t>③项目预期产出效益和效果是否符合正常的业绩水平；</w:t>
            </w:r>
          </w:p>
          <w:p>
            <w:pPr>
              <w:textAlignment w:val="center"/>
              <w:rPr>
                <w:color w:val="000000"/>
                <w:sz w:val="21"/>
                <w:szCs w:val="21"/>
              </w:rPr>
            </w:pPr>
            <w:r>
              <w:rPr>
                <w:rFonts w:hint="eastAsia"/>
                <w:sz w:val="21"/>
                <w:szCs w:val="21"/>
              </w:rPr>
              <w:t>④是否与预算确定的项目投资额或资金量相匹配。</w:t>
            </w:r>
          </w:p>
        </w:tc>
        <w:tc>
          <w:tcPr>
            <w:tcW w:w="746" w:type="dxa"/>
            <w:shd w:val="clear" w:color="auto" w:fill="auto"/>
            <w:vAlign w:val="center"/>
          </w:tcPr>
          <w:p>
            <w:pPr>
              <w:jc w:val="center"/>
              <w:textAlignment w:val="center"/>
              <w:rPr>
                <w:color w:val="000000"/>
                <w:sz w:val="21"/>
                <w:szCs w:val="21"/>
              </w:rPr>
            </w:pPr>
            <w:r>
              <w:rPr>
                <w:rFonts w:hint="eastAsia"/>
                <w:color w:val="000000"/>
                <w:sz w:val="21"/>
                <w:szCs w:val="21"/>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trPr>
        <w:tc>
          <w:tcPr>
            <w:tcW w:w="967" w:type="dxa"/>
            <w:vMerge w:val="continue"/>
            <w:shd w:val="clear" w:color="auto" w:fill="auto"/>
            <w:vAlign w:val="center"/>
          </w:tcPr>
          <w:p>
            <w:pPr>
              <w:jc w:val="center"/>
              <w:rPr>
                <w:color w:val="000000"/>
                <w:sz w:val="21"/>
                <w:szCs w:val="21"/>
              </w:rPr>
            </w:pPr>
          </w:p>
        </w:tc>
        <w:tc>
          <w:tcPr>
            <w:tcW w:w="945" w:type="dxa"/>
            <w:vMerge w:val="continue"/>
            <w:shd w:val="clear" w:color="auto" w:fill="auto"/>
            <w:vAlign w:val="center"/>
          </w:tcPr>
          <w:p>
            <w:pPr>
              <w:jc w:val="center"/>
              <w:rPr>
                <w:color w:val="000000"/>
                <w:sz w:val="21"/>
                <w:szCs w:val="21"/>
              </w:rPr>
            </w:pPr>
          </w:p>
        </w:tc>
        <w:tc>
          <w:tcPr>
            <w:tcW w:w="967" w:type="dxa"/>
            <w:shd w:val="clear" w:color="auto" w:fill="auto"/>
            <w:vAlign w:val="center"/>
          </w:tcPr>
          <w:p>
            <w:pPr>
              <w:jc w:val="center"/>
              <w:textAlignment w:val="center"/>
              <w:rPr>
                <w:color w:val="000000"/>
                <w:sz w:val="21"/>
                <w:szCs w:val="21"/>
              </w:rPr>
            </w:pPr>
            <w:r>
              <w:rPr>
                <w:rFonts w:hint="eastAsia"/>
                <w:color w:val="000000"/>
                <w:sz w:val="21"/>
                <w:szCs w:val="21"/>
                <w:lang w:bidi="ar"/>
              </w:rPr>
              <w:t>绩效目标明确性</w:t>
            </w:r>
          </w:p>
        </w:tc>
        <w:tc>
          <w:tcPr>
            <w:tcW w:w="4804" w:type="dxa"/>
            <w:shd w:val="clear" w:color="auto" w:fill="auto"/>
            <w:vAlign w:val="center"/>
          </w:tcPr>
          <w:p>
            <w:pPr>
              <w:textAlignment w:val="center"/>
              <w:rPr>
                <w:sz w:val="21"/>
                <w:szCs w:val="21"/>
              </w:rPr>
            </w:pPr>
            <w:r>
              <w:rPr>
                <w:rFonts w:hint="eastAsia"/>
                <w:sz w:val="21"/>
                <w:szCs w:val="21"/>
              </w:rPr>
              <w:t>①是否将项目绩效目标细化分解为具体的绩效指标；</w:t>
            </w:r>
          </w:p>
          <w:p>
            <w:pPr>
              <w:textAlignment w:val="center"/>
              <w:rPr>
                <w:sz w:val="21"/>
                <w:szCs w:val="21"/>
              </w:rPr>
            </w:pPr>
            <w:r>
              <w:rPr>
                <w:rFonts w:hint="eastAsia"/>
                <w:sz w:val="21"/>
                <w:szCs w:val="21"/>
              </w:rPr>
              <w:t>②是否通过清晰、可衡量的指标值予以体现；</w:t>
            </w:r>
          </w:p>
          <w:p>
            <w:pPr>
              <w:textAlignment w:val="center"/>
              <w:rPr>
                <w:color w:val="000000"/>
                <w:sz w:val="21"/>
                <w:szCs w:val="21"/>
              </w:rPr>
            </w:pPr>
            <w:r>
              <w:rPr>
                <w:rFonts w:hint="eastAsia"/>
                <w:sz w:val="21"/>
                <w:szCs w:val="21"/>
              </w:rPr>
              <w:t>③是否与项目目标任务数或计划数相对应。</w:t>
            </w:r>
          </w:p>
        </w:tc>
        <w:tc>
          <w:tcPr>
            <w:tcW w:w="746" w:type="dxa"/>
            <w:shd w:val="clear" w:color="auto" w:fill="auto"/>
            <w:vAlign w:val="center"/>
          </w:tcPr>
          <w:p>
            <w:pPr>
              <w:jc w:val="center"/>
              <w:textAlignment w:val="center"/>
              <w:rPr>
                <w:color w:val="000000"/>
                <w:sz w:val="21"/>
                <w:szCs w:val="21"/>
              </w:rPr>
            </w:pPr>
            <w:r>
              <w:rPr>
                <w:rFonts w:hint="eastAsia"/>
                <w:color w:val="000000"/>
                <w:sz w:val="21"/>
                <w:szCs w:val="21"/>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967" w:type="dxa"/>
            <w:vMerge w:val="continue"/>
            <w:shd w:val="clear" w:color="auto" w:fill="auto"/>
            <w:vAlign w:val="center"/>
          </w:tcPr>
          <w:p>
            <w:pPr>
              <w:jc w:val="center"/>
              <w:rPr>
                <w:color w:val="000000"/>
                <w:sz w:val="21"/>
                <w:szCs w:val="21"/>
              </w:rPr>
            </w:pPr>
          </w:p>
        </w:tc>
        <w:tc>
          <w:tcPr>
            <w:tcW w:w="945" w:type="dxa"/>
            <w:vMerge w:val="restart"/>
            <w:shd w:val="clear" w:color="auto" w:fill="auto"/>
            <w:vAlign w:val="center"/>
          </w:tcPr>
          <w:p>
            <w:pPr>
              <w:jc w:val="center"/>
              <w:textAlignment w:val="center"/>
              <w:rPr>
                <w:color w:val="000000"/>
                <w:sz w:val="21"/>
                <w:szCs w:val="21"/>
              </w:rPr>
            </w:pPr>
            <w:r>
              <w:rPr>
                <w:rFonts w:hint="eastAsia"/>
                <w:color w:val="000000"/>
                <w:sz w:val="21"/>
                <w:szCs w:val="21"/>
                <w:lang w:bidi="ar"/>
              </w:rPr>
              <w:t>资金投入</w:t>
            </w:r>
          </w:p>
        </w:tc>
        <w:tc>
          <w:tcPr>
            <w:tcW w:w="967" w:type="dxa"/>
            <w:shd w:val="clear" w:color="auto" w:fill="auto"/>
            <w:vAlign w:val="center"/>
          </w:tcPr>
          <w:p>
            <w:pPr>
              <w:jc w:val="center"/>
              <w:textAlignment w:val="center"/>
              <w:rPr>
                <w:color w:val="000000"/>
                <w:sz w:val="21"/>
                <w:szCs w:val="21"/>
              </w:rPr>
            </w:pPr>
            <w:r>
              <w:rPr>
                <w:rFonts w:hint="eastAsia"/>
                <w:color w:val="000000"/>
                <w:sz w:val="21"/>
                <w:szCs w:val="21"/>
                <w:lang w:bidi="ar"/>
              </w:rPr>
              <w:t>预算编制科学性</w:t>
            </w:r>
          </w:p>
        </w:tc>
        <w:tc>
          <w:tcPr>
            <w:tcW w:w="4804" w:type="dxa"/>
            <w:shd w:val="clear" w:color="auto" w:fill="auto"/>
            <w:vAlign w:val="center"/>
          </w:tcPr>
          <w:p>
            <w:pPr>
              <w:textAlignment w:val="center"/>
              <w:rPr>
                <w:sz w:val="21"/>
                <w:szCs w:val="21"/>
              </w:rPr>
            </w:pPr>
            <w:r>
              <w:rPr>
                <w:rFonts w:hint="eastAsia"/>
                <w:sz w:val="21"/>
                <w:szCs w:val="21"/>
              </w:rPr>
              <w:t>①预算编制是否经过科学论证；</w:t>
            </w:r>
          </w:p>
          <w:p>
            <w:pPr>
              <w:textAlignment w:val="center"/>
              <w:rPr>
                <w:sz w:val="21"/>
                <w:szCs w:val="21"/>
              </w:rPr>
            </w:pPr>
            <w:r>
              <w:rPr>
                <w:rFonts w:hint="eastAsia"/>
                <w:sz w:val="21"/>
                <w:szCs w:val="21"/>
              </w:rPr>
              <w:t>②预算内容与项目内容是否匹配；</w:t>
            </w:r>
          </w:p>
          <w:p>
            <w:pPr>
              <w:textAlignment w:val="center"/>
              <w:rPr>
                <w:sz w:val="21"/>
                <w:szCs w:val="21"/>
              </w:rPr>
            </w:pPr>
            <w:r>
              <w:rPr>
                <w:rFonts w:hint="eastAsia"/>
                <w:sz w:val="21"/>
                <w:szCs w:val="21"/>
              </w:rPr>
              <w:t>③预算额度测算依据是否充分，是否按照标准编制；</w:t>
            </w:r>
          </w:p>
          <w:p>
            <w:pPr>
              <w:textAlignment w:val="center"/>
              <w:rPr>
                <w:color w:val="000000"/>
                <w:sz w:val="21"/>
                <w:szCs w:val="21"/>
              </w:rPr>
            </w:pPr>
            <w:r>
              <w:rPr>
                <w:rFonts w:hint="eastAsia"/>
                <w:sz w:val="21"/>
                <w:szCs w:val="21"/>
              </w:rPr>
              <w:t>④预算确定的项目投资额或资金量是否与工作任务相匹配。</w:t>
            </w:r>
          </w:p>
        </w:tc>
        <w:tc>
          <w:tcPr>
            <w:tcW w:w="746" w:type="dxa"/>
            <w:shd w:val="clear" w:color="auto" w:fill="auto"/>
            <w:vAlign w:val="center"/>
          </w:tcPr>
          <w:p>
            <w:pPr>
              <w:jc w:val="center"/>
              <w:textAlignment w:val="center"/>
              <w:rPr>
                <w:color w:val="000000"/>
                <w:sz w:val="21"/>
                <w:szCs w:val="21"/>
              </w:rPr>
            </w:pPr>
            <w:r>
              <w:rPr>
                <w:rFonts w:hint="eastAsia"/>
                <w:color w:val="000000"/>
                <w:sz w:val="21"/>
                <w:szCs w:val="21"/>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967" w:type="dxa"/>
            <w:vMerge w:val="continue"/>
            <w:shd w:val="clear" w:color="auto" w:fill="auto"/>
            <w:vAlign w:val="center"/>
          </w:tcPr>
          <w:p>
            <w:pPr>
              <w:jc w:val="center"/>
              <w:rPr>
                <w:color w:val="000000"/>
                <w:sz w:val="21"/>
                <w:szCs w:val="21"/>
              </w:rPr>
            </w:pPr>
          </w:p>
        </w:tc>
        <w:tc>
          <w:tcPr>
            <w:tcW w:w="945" w:type="dxa"/>
            <w:vMerge w:val="continue"/>
            <w:shd w:val="clear" w:color="auto" w:fill="auto"/>
            <w:vAlign w:val="center"/>
          </w:tcPr>
          <w:p>
            <w:pPr>
              <w:jc w:val="center"/>
              <w:rPr>
                <w:color w:val="000000"/>
                <w:sz w:val="21"/>
                <w:szCs w:val="21"/>
              </w:rPr>
            </w:pPr>
          </w:p>
        </w:tc>
        <w:tc>
          <w:tcPr>
            <w:tcW w:w="967" w:type="dxa"/>
            <w:shd w:val="clear" w:color="auto" w:fill="auto"/>
            <w:vAlign w:val="center"/>
          </w:tcPr>
          <w:p>
            <w:pPr>
              <w:jc w:val="center"/>
              <w:textAlignment w:val="center"/>
              <w:rPr>
                <w:color w:val="000000"/>
                <w:sz w:val="21"/>
                <w:szCs w:val="21"/>
              </w:rPr>
            </w:pPr>
            <w:r>
              <w:rPr>
                <w:rFonts w:hint="eastAsia"/>
                <w:color w:val="000000"/>
                <w:sz w:val="21"/>
                <w:szCs w:val="21"/>
                <w:lang w:bidi="ar"/>
              </w:rPr>
              <w:t>资金分配合理性</w:t>
            </w:r>
          </w:p>
        </w:tc>
        <w:tc>
          <w:tcPr>
            <w:tcW w:w="4804" w:type="dxa"/>
            <w:shd w:val="clear" w:color="auto" w:fill="auto"/>
            <w:vAlign w:val="center"/>
          </w:tcPr>
          <w:p>
            <w:pPr>
              <w:textAlignment w:val="center"/>
              <w:rPr>
                <w:sz w:val="21"/>
                <w:szCs w:val="21"/>
              </w:rPr>
            </w:pPr>
            <w:r>
              <w:rPr>
                <w:rFonts w:hint="eastAsia"/>
                <w:sz w:val="21"/>
                <w:szCs w:val="21"/>
              </w:rPr>
              <w:t>①预算资金分配依据是否充分；</w:t>
            </w:r>
          </w:p>
          <w:p>
            <w:pPr>
              <w:textAlignment w:val="center"/>
              <w:rPr>
                <w:color w:val="000000"/>
                <w:sz w:val="21"/>
                <w:szCs w:val="21"/>
              </w:rPr>
            </w:pPr>
            <w:r>
              <w:rPr>
                <w:rFonts w:hint="eastAsia"/>
                <w:sz w:val="21"/>
                <w:szCs w:val="21"/>
              </w:rPr>
              <w:t>②资金分配额度是否合理，与项目单位或地方实际是否相适应。</w:t>
            </w:r>
          </w:p>
        </w:tc>
        <w:tc>
          <w:tcPr>
            <w:tcW w:w="746" w:type="dxa"/>
            <w:shd w:val="clear" w:color="auto" w:fill="auto"/>
            <w:vAlign w:val="center"/>
          </w:tcPr>
          <w:p>
            <w:pPr>
              <w:jc w:val="center"/>
              <w:textAlignment w:val="center"/>
              <w:rPr>
                <w:color w:val="000000"/>
                <w:sz w:val="21"/>
                <w:szCs w:val="21"/>
              </w:rPr>
            </w:pPr>
            <w:r>
              <w:rPr>
                <w:rFonts w:hint="eastAsia"/>
                <w:color w:val="000000"/>
                <w:sz w:val="21"/>
                <w:szCs w:val="21"/>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9" w:hRule="atLeast"/>
        </w:trPr>
        <w:tc>
          <w:tcPr>
            <w:tcW w:w="967" w:type="dxa"/>
            <w:vMerge w:val="restart"/>
            <w:shd w:val="clear" w:color="auto" w:fill="auto"/>
            <w:vAlign w:val="center"/>
          </w:tcPr>
          <w:p>
            <w:pPr>
              <w:jc w:val="center"/>
              <w:textAlignment w:val="center"/>
              <w:rPr>
                <w:color w:val="000000"/>
                <w:sz w:val="21"/>
                <w:szCs w:val="21"/>
              </w:rPr>
            </w:pPr>
            <w:r>
              <w:rPr>
                <w:rFonts w:hint="eastAsia"/>
                <w:color w:val="000000"/>
                <w:sz w:val="21"/>
                <w:szCs w:val="21"/>
                <w:lang w:bidi="ar"/>
              </w:rPr>
              <w:t>过程（25分）</w:t>
            </w:r>
          </w:p>
        </w:tc>
        <w:tc>
          <w:tcPr>
            <w:tcW w:w="945" w:type="dxa"/>
            <w:vMerge w:val="restart"/>
            <w:shd w:val="clear" w:color="auto" w:fill="auto"/>
            <w:vAlign w:val="center"/>
          </w:tcPr>
          <w:p>
            <w:pPr>
              <w:jc w:val="center"/>
              <w:textAlignment w:val="center"/>
              <w:rPr>
                <w:color w:val="000000"/>
                <w:sz w:val="21"/>
                <w:szCs w:val="21"/>
              </w:rPr>
            </w:pPr>
            <w:r>
              <w:rPr>
                <w:rFonts w:hint="eastAsia"/>
                <w:color w:val="000000"/>
                <w:sz w:val="21"/>
                <w:szCs w:val="21"/>
                <w:lang w:bidi="ar"/>
              </w:rPr>
              <w:t>资金管理</w:t>
            </w:r>
          </w:p>
        </w:tc>
        <w:tc>
          <w:tcPr>
            <w:tcW w:w="967" w:type="dxa"/>
            <w:shd w:val="clear" w:color="auto" w:fill="auto"/>
            <w:vAlign w:val="center"/>
          </w:tcPr>
          <w:p>
            <w:pPr>
              <w:jc w:val="center"/>
              <w:textAlignment w:val="center"/>
              <w:rPr>
                <w:color w:val="000000"/>
                <w:sz w:val="21"/>
                <w:szCs w:val="21"/>
              </w:rPr>
            </w:pPr>
            <w:r>
              <w:rPr>
                <w:rFonts w:hint="eastAsia"/>
                <w:color w:val="000000"/>
                <w:sz w:val="21"/>
                <w:szCs w:val="21"/>
                <w:lang w:bidi="ar"/>
              </w:rPr>
              <w:t>资金到位率</w:t>
            </w:r>
          </w:p>
        </w:tc>
        <w:tc>
          <w:tcPr>
            <w:tcW w:w="4804" w:type="dxa"/>
            <w:shd w:val="clear" w:color="auto" w:fill="auto"/>
            <w:vAlign w:val="center"/>
          </w:tcPr>
          <w:p>
            <w:pPr>
              <w:textAlignment w:val="center"/>
              <w:rPr>
                <w:sz w:val="21"/>
                <w:szCs w:val="21"/>
              </w:rPr>
            </w:pPr>
            <w:r>
              <w:rPr>
                <w:rFonts w:hint="eastAsia"/>
                <w:sz w:val="21"/>
                <w:szCs w:val="21"/>
              </w:rPr>
              <w:t>资金到位率=(实际到位资金/预算资金)×lOO%。</w:t>
            </w:r>
          </w:p>
          <w:p>
            <w:pPr>
              <w:textAlignment w:val="center"/>
              <w:rPr>
                <w:sz w:val="21"/>
                <w:szCs w:val="21"/>
              </w:rPr>
            </w:pPr>
            <w:r>
              <w:rPr>
                <w:rFonts w:hint="eastAsia"/>
                <w:sz w:val="21"/>
                <w:szCs w:val="21"/>
              </w:rPr>
              <w:t>实际到位资金：一定时期（本年度或项目期）内落实到具体项目的资金。</w:t>
            </w:r>
          </w:p>
          <w:p>
            <w:pPr>
              <w:textAlignment w:val="center"/>
              <w:rPr>
                <w:color w:val="000000"/>
                <w:sz w:val="21"/>
                <w:szCs w:val="21"/>
              </w:rPr>
            </w:pPr>
            <w:r>
              <w:rPr>
                <w:rFonts w:hint="eastAsia"/>
                <w:sz w:val="21"/>
                <w:szCs w:val="21"/>
              </w:rPr>
              <w:t>预算资金：一定时期（本年度或项目期）内预算安排到具体项目的资金。</w:t>
            </w:r>
          </w:p>
        </w:tc>
        <w:tc>
          <w:tcPr>
            <w:tcW w:w="746" w:type="dxa"/>
            <w:shd w:val="clear" w:color="auto" w:fill="auto"/>
            <w:vAlign w:val="center"/>
          </w:tcPr>
          <w:p>
            <w:pPr>
              <w:jc w:val="center"/>
              <w:textAlignment w:val="center"/>
              <w:rPr>
                <w:color w:val="000000"/>
                <w:sz w:val="21"/>
                <w:szCs w:val="21"/>
              </w:rPr>
            </w:pPr>
            <w:r>
              <w:rPr>
                <w:rFonts w:hint="eastAsia"/>
                <w:color w:val="000000"/>
                <w:sz w:val="21"/>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7" w:type="dxa"/>
            <w:vMerge w:val="continue"/>
            <w:shd w:val="clear" w:color="auto" w:fill="auto"/>
            <w:vAlign w:val="center"/>
          </w:tcPr>
          <w:p>
            <w:pPr>
              <w:jc w:val="center"/>
              <w:rPr>
                <w:color w:val="000000"/>
                <w:sz w:val="21"/>
                <w:szCs w:val="21"/>
              </w:rPr>
            </w:pPr>
          </w:p>
        </w:tc>
        <w:tc>
          <w:tcPr>
            <w:tcW w:w="945" w:type="dxa"/>
            <w:vMerge w:val="continue"/>
            <w:shd w:val="clear" w:color="auto" w:fill="auto"/>
            <w:vAlign w:val="center"/>
          </w:tcPr>
          <w:p>
            <w:pPr>
              <w:jc w:val="center"/>
              <w:rPr>
                <w:color w:val="000000"/>
                <w:sz w:val="21"/>
                <w:szCs w:val="21"/>
              </w:rPr>
            </w:pPr>
          </w:p>
        </w:tc>
        <w:tc>
          <w:tcPr>
            <w:tcW w:w="967" w:type="dxa"/>
            <w:shd w:val="clear" w:color="auto" w:fill="auto"/>
            <w:vAlign w:val="center"/>
          </w:tcPr>
          <w:p>
            <w:pPr>
              <w:jc w:val="center"/>
              <w:textAlignment w:val="center"/>
              <w:rPr>
                <w:color w:val="000000"/>
                <w:sz w:val="21"/>
                <w:szCs w:val="21"/>
              </w:rPr>
            </w:pPr>
            <w:r>
              <w:rPr>
                <w:rFonts w:hint="eastAsia"/>
                <w:color w:val="000000"/>
                <w:sz w:val="21"/>
                <w:szCs w:val="21"/>
                <w:lang w:bidi="ar"/>
              </w:rPr>
              <w:t>预算执行率</w:t>
            </w:r>
          </w:p>
        </w:tc>
        <w:tc>
          <w:tcPr>
            <w:tcW w:w="4804" w:type="dxa"/>
            <w:shd w:val="clear" w:color="auto" w:fill="auto"/>
            <w:vAlign w:val="center"/>
          </w:tcPr>
          <w:p>
            <w:pPr>
              <w:textAlignment w:val="center"/>
              <w:rPr>
                <w:sz w:val="21"/>
                <w:szCs w:val="21"/>
              </w:rPr>
            </w:pPr>
            <w:r>
              <w:rPr>
                <w:rFonts w:hint="eastAsia"/>
                <w:sz w:val="21"/>
                <w:szCs w:val="21"/>
              </w:rPr>
              <w:t>预算执行率=（实际支出资金/实际到位资金)×100%。</w:t>
            </w:r>
          </w:p>
          <w:p>
            <w:pPr>
              <w:textAlignment w:val="center"/>
              <w:rPr>
                <w:color w:val="000000"/>
                <w:sz w:val="21"/>
                <w:szCs w:val="21"/>
              </w:rPr>
            </w:pPr>
            <w:r>
              <w:rPr>
                <w:rFonts w:hint="eastAsia"/>
                <w:sz w:val="21"/>
                <w:szCs w:val="21"/>
              </w:rPr>
              <w:t>实际支出资金：一定时期（本年度或项目期）内项目实际拨付的资金。</w:t>
            </w:r>
          </w:p>
        </w:tc>
        <w:tc>
          <w:tcPr>
            <w:tcW w:w="746" w:type="dxa"/>
            <w:shd w:val="clear" w:color="auto" w:fill="auto"/>
            <w:vAlign w:val="center"/>
          </w:tcPr>
          <w:p>
            <w:pPr>
              <w:jc w:val="center"/>
              <w:textAlignment w:val="center"/>
              <w:rPr>
                <w:color w:val="000000"/>
                <w:sz w:val="21"/>
                <w:szCs w:val="21"/>
              </w:rPr>
            </w:pPr>
            <w:r>
              <w:rPr>
                <w:rFonts w:hint="eastAsia"/>
                <w:color w:val="000000"/>
                <w:sz w:val="21"/>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967" w:type="dxa"/>
            <w:vMerge w:val="continue"/>
            <w:shd w:val="clear" w:color="auto" w:fill="auto"/>
            <w:vAlign w:val="center"/>
          </w:tcPr>
          <w:p>
            <w:pPr>
              <w:jc w:val="center"/>
              <w:rPr>
                <w:color w:val="000000"/>
                <w:sz w:val="21"/>
                <w:szCs w:val="21"/>
              </w:rPr>
            </w:pPr>
          </w:p>
        </w:tc>
        <w:tc>
          <w:tcPr>
            <w:tcW w:w="945" w:type="dxa"/>
            <w:vMerge w:val="continue"/>
            <w:shd w:val="clear" w:color="auto" w:fill="auto"/>
            <w:vAlign w:val="center"/>
          </w:tcPr>
          <w:p>
            <w:pPr>
              <w:jc w:val="center"/>
              <w:textAlignment w:val="center"/>
              <w:rPr>
                <w:color w:val="000000"/>
                <w:sz w:val="21"/>
                <w:szCs w:val="21"/>
              </w:rPr>
            </w:pPr>
          </w:p>
        </w:tc>
        <w:tc>
          <w:tcPr>
            <w:tcW w:w="967" w:type="dxa"/>
            <w:shd w:val="clear" w:color="auto" w:fill="auto"/>
            <w:vAlign w:val="center"/>
          </w:tcPr>
          <w:p>
            <w:pPr>
              <w:jc w:val="center"/>
              <w:textAlignment w:val="center"/>
              <w:rPr>
                <w:color w:val="000000"/>
                <w:sz w:val="21"/>
                <w:szCs w:val="21"/>
              </w:rPr>
            </w:pPr>
            <w:r>
              <w:rPr>
                <w:rFonts w:hint="eastAsia"/>
                <w:color w:val="000000"/>
                <w:sz w:val="21"/>
                <w:szCs w:val="21"/>
                <w:lang w:bidi="ar"/>
              </w:rPr>
              <w:t>资金使用合规性</w:t>
            </w:r>
          </w:p>
        </w:tc>
        <w:tc>
          <w:tcPr>
            <w:tcW w:w="4804" w:type="dxa"/>
            <w:shd w:val="clear" w:color="auto" w:fill="auto"/>
            <w:vAlign w:val="center"/>
          </w:tcPr>
          <w:p>
            <w:pPr>
              <w:textAlignment w:val="center"/>
              <w:rPr>
                <w:sz w:val="21"/>
                <w:szCs w:val="21"/>
              </w:rPr>
            </w:pPr>
            <w:r>
              <w:rPr>
                <w:rFonts w:hint="eastAsia"/>
                <w:sz w:val="21"/>
                <w:szCs w:val="21"/>
              </w:rPr>
              <w:t>①是否符合国家财经法规和财务管理制度以及有关专项资金管理办法的规定；</w:t>
            </w:r>
          </w:p>
          <w:p>
            <w:pPr>
              <w:textAlignment w:val="center"/>
              <w:rPr>
                <w:sz w:val="21"/>
                <w:szCs w:val="21"/>
              </w:rPr>
            </w:pPr>
            <w:r>
              <w:rPr>
                <w:rFonts w:hint="eastAsia"/>
                <w:sz w:val="21"/>
                <w:szCs w:val="21"/>
              </w:rPr>
              <w:t>②资金的拨付是否有完整的审批程序和手续；</w:t>
            </w:r>
          </w:p>
          <w:p>
            <w:pPr>
              <w:textAlignment w:val="center"/>
              <w:rPr>
                <w:sz w:val="21"/>
                <w:szCs w:val="21"/>
              </w:rPr>
            </w:pPr>
            <w:r>
              <w:rPr>
                <w:rFonts w:hint="eastAsia"/>
                <w:sz w:val="21"/>
                <w:szCs w:val="21"/>
              </w:rPr>
              <w:t>③是否符合项目预算批复或合同规定的用途；</w:t>
            </w:r>
          </w:p>
          <w:p>
            <w:pPr>
              <w:textAlignment w:val="center"/>
              <w:rPr>
                <w:color w:val="000000"/>
                <w:sz w:val="21"/>
                <w:szCs w:val="21"/>
              </w:rPr>
            </w:pPr>
            <w:r>
              <w:rPr>
                <w:rFonts w:hint="eastAsia"/>
                <w:sz w:val="21"/>
                <w:szCs w:val="21"/>
              </w:rPr>
              <w:t>④是否存在截留、挤占、挪用、虚列支出等情况。</w:t>
            </w:r>
          </w:p>
        </w:tc>
        <w:tc>
          <w:tcPr>
            <w:tcW w:w="746" w:type="dxa"/>
            <w:shd w:val="clear" w:color="auto" w:fill="auto"/>
            <w:vAlign w:val="center"/>
          </w:tcPr>
          <w:p>
            <w:pPr>
              <w:jc w:val="center"/>
              <w:textAlignment w:val="center"/>
              <w:rPr>
                <w:color w:val="000000"/>
                <w:sz w:val="21"/>
                <w:szCs w:val="21"/>
              </w:rPr>
            </w:pPr>
            <w:r>
              <w:rPr>
                <w:rFonts w:hint="eastAsia"/>
                <w:color w:val="000000"/>
                <w:sz w:val="21"/>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967" w:type="dxa"/>
            <w:vMerge w:val="continue"/>
            <w:shd w:val="clear" w:color="auto" w:fill="auto"/>
            <w:vAlign w:val="center"/>
          </w:tcPr>
          <w:p>
            <w:pPr>
              <w:jc w:val="center"/>
              <w:rPr>
                <w:color w:val="000000"/>
                <w:sz w:val="21"/>
                <w:szCs w:val="21"/>
              </w:rPr>
            </w:pPr>
          </w:p>
        </w:tc>
        <w:tc>
          <w:tcPr>
            <w:tcW w:w="945" w:type="dxa"/>
            <w:vMerge w:val="restart"/>
            <w:shd w:val="clear" w:color="auto" w:fill="auto"/>
            <w:vAlign w:val="center"/>
          </w:tcPr>
          <w:p>
            <w:pPr>
              <w:jc w:val="center"/>
              <w:textAlignment w:val="center"/>
              <w:rPr>
                <w:color w:val="000000"/>
                <w:sz w:val="21"/>
                <w:szCs w:val="21"/>
              </w:rPr>
            </w:pPr>
            <w:r>
              <w:rPr>
                <w:rFonts w:hint="eastAsia"/>
                <w:color w:val="000000"/>
                <w:sz w:val="21"/>
                <w:szCs w:val="21"/>
                <w:lang w:bidi="ar"/>
              </w:rPr>
              <w:t>组织实施</w:t>
            </w:r>
          </w:p>
        </w:tc>
        <w:tc>
          <w:tcPr>
            <w:tcW w:w="967" w:type="dxa"/>
            <w:shd w:val="clear" w:color="auto" w:fill="auto"/>
            <w:vAlign w:val="center"/>
          </w:tcPr>
          <w:p>
            <w:pPr>
              <w:jc w:val="center"/>
              <w:textAlignment w:val="center"/>
              <w:rPr>
                <w:color w:val="000000"/>
                <w:sz w:val="21"/>
                <w:szCs w:val="21"/>
              </w:rPr>
            </w:pPr>
            <w:r>
              <w:rPr>
                <w:rFonts w:hint="eastAsia"/>
                <w:color w:val="000000"/>
                <w:sz w:val="21"/>
                <w:szCs w:val="21"/>
                <w:lang w:bidi="ar"/>
              </w:rPr>
              <w:t>管理制度健全性</w:t>
            </w:r>
          </w:p>
        </w:tc>
        <w:tc>
          <w:tcPr>
            <w:tcW w:w="4804" w:type="dxa"/>
            <w:shd w:val="clear" w:color="auto" w:fill="auto"/>
            <w:vAlign w:val="center"/>
          </w:tcPr>
          <w:p>
            <w:pPr>
              <w:textAlignment w:val="center"/>
              <w:rPr>
                <w:sz w:val="21"/>
                <w:szCs w:val="21"/>
              </w:rPr>
            </w:pPr>
            <w:r>
              <w:rPr>
                <w:rFonts w:hint="eastAsia"/>
                <w:sz w:val="21"/>
                <w:szCs w:val="21"/>
              </w:rPr>
              <w:t>①是否已制定或具有相应的财务和业务管理制度；</w:t>
            </w:r>
          </w:p>
          <w:p>
            <w:pPr>
              <w:textAlignment w:val="center"/>
              <w:rPr>
                <w:color w:val="000000"/>
                <w:sz w:val="21"/>
                <w:szCs w:val="21"/>
              </w:rPr>
            </w:pPr>
            <w:r>
              <w:rPr>
                <w:rFonts w:hint="eastAsia"/>
                <w:sz w:val="21"/>
                <w:szCs w:val="21"/>
              </w:rPr>
              <w:t>②财务和业务管理制度是否合法、合规、完整。</w:t>
            </w:r>
          </w:p>
        </w:tc>
        <w:tc>
          <w:tcPr>
            <w:tcW w:w="746" w:type="dxa"/>
            <w:shd w:val="clear" w:color="auto" w:fill="auto"/>
            <w:vAlign w:val="center"/>
          </w:tcPr>
          <w:p>
            <w:pPr>
              <w:jc w:val="center"/>
              <w:textAlignment w:val="center"/>
              <w:rPr>
                <w:color w:val="000000"/>
                <w:sz w:val="21"/>
                <w:szCs w:val="21"/>
              </w:rPr>
            </w:pPr>
            <w:r>
              <w:rPr>
                <w:rFonts w:hint="eastAsia"/>
                <w:color w:val="000000"/>
                <w:sz w:val="21"/>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trPr>
        <w:tc>
          <w:tcPr>
            <w:tcW w:w="967" w:type="dxa"/>
            <w:vMerge w:val="continue"/>
            <w:shd w:val="clear" w:color="auto" w:fill="auto"/>
            <w:vAlign w:val="center"/>
          </w:tcPr>
          <w:p>
            <w:pPr>
              <w:jc w:val="center"/>
              <w:rPr>
                <w:color w:val="000000"/>
                <w:sz w:val="21"/>
                <w:szCs w:val="21"/>
              </w:rPr>
            </w:pPr>
          </w:p>
        </w:tc>
        <w:tc>
          <w:tcPr>
            <w:tcW w:w="945" w:type="dxa"/>
            <w:vMerge w:val="continue"/>
            <w:shd w:val="clear" w:color="auto" w:fill="auto"/>
            <w:vAlign w:val="center"/>
          </w:tcPr>
          <w:p>
            <w:pPr>
              <w:jc w:val="center"/>
              <w:rPr>
                <w:color w:val="000000"/>
                <w:sz w:val="21"/>
                <w:szCs w:val="21"/>
              </w:rPr>
            </w:pPr>
          </w:p>
        </w:tc>
        <w:tc>
          <w:tcPr>
            <w:tcW w:w="967" w:type="dxa"/>
            <w:shd w:val="clear" w:color="auto" w:fill="auto"/>
            <w:vAlign w:val="center"/>
          </w:tcPr>
          <w:p>
            <w:pPr>
              <w:jc w:val="center"/>
              <w:textAlignment w:val="center"/>
              <w:rPr>
                <w:color w:val="000000"/>
                <w:sz w:val="21"/>
                <w:szCs w:val="21"/>
              </w:rPr>
            </w:pPr>
            <w:r>
              <w:rPr>
                <w:rFonts w:hint="eastAsia"/>
                <w:color w:val="000000"/>
                <w:sz w:val="21"/>
                <w:szCs w:val="21"/>
                <w:lang w:bidi="ar"/>
              </w:rPr>
              <w:t>制度执行有效性</w:t>
            </w:r>
          </w:p>
        </w:tc>
        <w:tc>
          <w:tcPr>
            <w:tcW w:w="4804" w:type="dxa"/>
            <w:shd w:val="clear" w:color="auto" w:fill="auto"/>
            <w:vAlign w:val="center"/>
          </w:tcPr>
          <w:p>
            <w:pPr>
              <w:textAlignment w:val="center"/>
              <w:rPr>
                <w:sz w:val="21"/>
                <w:szCs w:val="21"/>
              </w:rPr>
            </w:pPr>
            <w:r>
              <w:rPr>
                <w:rFonts w:hint="eastAsia"/>
                <w:sz w:val="21"/>
                <w:szCs w:val="21"/>
              </w:rPr>
              <w:t>①是否遵守相关法律法规和相关管理规定；</w:t>
            </w:r>
          </w:p>
          <w:p>
            <w:pPr>
              <w:textAlignment w:val="center"/>
              <w:rPr>
                <w:sz w:val="21"/>
                <w:szCs w:val="21"/>
              </w:rPr>
            </w:pPr>
            <w:r>
              <w:rPr>
                <w:rFonts w:hint="eastAsia"/>
                <w:sz w:val="21"/>
                <w:szCs w:val="21"/>
              </w:rPr>
              <w:t>②项目调整及支出调整手续是否完备；</w:t>
            </w:r>
          </w:p>
          <w:p>
            <w:pPr>
              <w:textAlignment w:val="center"/>
              <w:rPr>
                <w:sz w:val="21"/>
                <w:szCs w:val="21"/>
              </w:rPr>
            </w:pPr>
            <w:r>
              <w:rPr>
                <w:rFonts w:hint="eastAsia"/>
                <w:sz w:val="21"/>
                <w:szCs w:val="21"/>
              </w:rPr>
              <w:t>③项目合同书、验收报告、技术鉴定等资料是否齐全并及时归档；</w:t>
            </w:r>
          </w:p>
          <w:p>
            <w:pPr>
              <w:textAlignment w:val="center"/>
              <w:rPr>
                <w:color w:val="000000"/>
                <w:sz w:val="21"/>
                <w:szCs w:val="21"/>
              </w:rPr>
            </w:pPr>
            <w:r>
              <w:rPr>
                <w:rFonts w:hint="eastAsia"/>
                <w:sz w:val="21"/>
                <w:szCs w:val="21"/>
              </w:rPr>
              <w:t>④项目实施的人员条件、场地设备、信息支撑等是否落实到位。</w:t>
            </w:r>
          </w:p>
        </w:tc>
        <w:tc>
          <w:tcPr>
            <w:tcW w:w="746" w:type="dxa"/>
            <w:shd w:val="clear" w:color="auto" w:fill="auto"/>
            <w:vAlign w:val="center"/>
          </w:tcPr>
          <w:p>
            <w:pPr>
              <w:jc w:val="center"/>
              <w:textAlignment w:val="center"/>
              <w:rPr>
                <w:color w:val="000000"/>
                <w:sz w:val="21"/>
                <w:szCs w:val="21"/>
              </w:rPr>
            </w:pPr>
            <w:r>
              <w:rPr>
                <w:rFonts w:hint="eastAsia"/>
                <w:color w:val="000000"/>
                <w:sz w:val="21"/>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4" w:hRule="atLeast"/>
        </w:trPr>
        <w:tc>
          <w:tcPr>
            <w:tcW w:w="967" w:type="dxa"/>
            <w:vMerge w:val="restart"/>
            <w:shd w:val="clear" w:color="auto" w:fill="auto"/>
            <w:vAlign w:val="center"/>
          </w:tcPr>
          <w:p>
            <w:pPr>
              <w:jc w:val="center"/>
              <w:textAlignment w:val="center"/>
              <w:rPr>
                <w:color w:val="000000"/>
                <w:sz w:val="21"/>
                <w:szCs w:val="21"/>
              </w:rPr>
            </w:pPr>
            <w:r>
              <w:rPr>
                <w:rFonts w:hint="eastAsia"/>
                <w:color w:val="000000"/>
                <w:sz w:val="21"/>
                <w:szCs w:val="21"/>
                <w:lang w:bidi="ar"/>
              </w:rPr>
              <w:t>产出（30分）</w:t>
            </w:r>
          </w:p>
        </w:tc>
        <w:tc>
          <w:tcPr>
            <w:tcW w:w="945" w:type="dxa"/>
            <w:shd w:val="clear" w:color="auto" w:fill="auto"/>
            <w:vAlign w:val="center"/>
          </w:tcPr>
          <w:p>
            <w:pPr>
              <w:jc w:val="center"/>
              <w:textAlignment w:val="center"/>
              <w:rPr>
                <w:color w:val="000000"/>
                <w:sz w:val="21"/>
                <w:szCs w:val="21"/>
              </w:rPr>
            </w:pPr>
            <w:r>
              <w:rPr>
                <w:rFonts w:hint="eastAsia"/>
                <w:color w:val="000000"/>
                <w:sz w:val="21"/>
                <w:szCs w:val="21"/>
                <w:lang w:bidi="ar"/>
              </w:rPr>
              <w:t>产出数量</w:t>
            </w:r>
          </w:p>
        </w:tc>
        <w:tc>
          <w:tcPr>
            <w:tcW w:w="967" w:type="dxa"/>
            <w:shd w:val="clear" w:color="auto" w:fill="auto"/>
            <w:vAlign w:val="center"/>
          </w:tcPr>
          <w:p>
            <w:pPr>
              <w:jc w:val="center"/>
              <w:textAlignment w:val="center"/>
              <w:rPr>
                <w:color w:val="000000"/>
                <w:sz w:val="21"/>
                <w:szCs w:val="21"/>
              </w:rPr>
            </w:pPr>
            <w:r>
              <w:rPr>
                <w:rFonts w:hint="eastAsia"/>
                <w:color w:val="000000"/>
                <w:sz w:val="21"/>
                <w:szCs w:val="21"/>
                <w:lang w:bidi="ar"/>
              </w:rPr>
              <w:t>定期巡检完成率</w:t>
            </w:r>
          </w:p>
        </w:tc>
        <w:tc>
          <w:tcPr>
            <w:tcW w:w="4804" w:type="dxa"/>
            <w:shd w:val="clear" w:color="auto" w:fill="auto"/>
            <w:vAlign w:val="center"/>
          </w:tcPr>
          <w:p>
            <w:pPr>
              <w:textAlignment w:val="center"/>
              <w:rPr>
                <w:sz w:val="21"/>
                <w:szCs w:val="21"/>
              </w:rPr>
            </w:pPr>
            <w:r>
              <w:rPr>
                <w:rFonts w:hint="eastAsia"/>
                <w:sz w:val="21"/>
                <w:szCs w:val="21"/>
              </w:rPr>
              <w:t>实际完成率=（实际产出数/计划产出数）×100%。</w:t>
            </w:r>
          </w:p>
          <w:p>
            <w:pPr>
              <w:textAlignment w:val="center"/>
              <w:rPr>
                <w:sz w:val="21"/>
                <w:szCs w:val="21"/>
              </w:rPr>
            </w:pPr>
            <w:r>
              <w:rPr>
                <w:rFonts w:hint="eastAsia"/>
                <w:sz w:val="21"/>
                <w:szCs w:val="21"/>
              </w:rPr>
              <w:t>实际产出数：一定时期（本年度或项目期）内项目实际产出的产品或提供的服务数量。</w:t>
            </w:r>
          </w:p>
          <w:p>
            <w:pPr>
              <w:textAlignment w:val="center"/>
              <w:rPr>
                <w:color w:val="000000"/>
                <w:sz w:val="21"/>
                <w:szCs w:val="21"/>
              </w:rPr>
            </w:pPr>
            <w:r>
              <w:rPr>
                <w:rFonts w:hint="eastAsia"/>
                <w:sz w:val="21"/>
                <w:szCs w:val="21"/>
              </w:rPr>
              <w:t>计划产出数：项目绩效目标确定的在一定时期（本年度或项目期）内计划产出的产品或提供的服务数量。</w:t>
            </w:r>
          </w:p>
        </w:tc>
        <w:tc>
          <w:tcPr>
            <w:tcW w:w="746" w:type="dxa"/>
            <w:shd w:val="clear" w:color="auto" w:fill="auto"/>
            <w:vAlign w:val="center"/>
          </w:tcPr>
          <w:p>
            <w:pPr>
              <w:jc w:val="center"/>
              <w:textAlignment w:val="center"/>
              <w:rPr>
                <w:color w:val="000000"/>
                <w:sz w:val="21"/>
                <w:szCs w:val="21"/>
              </w:rPr>
            </w:pPr>
            <w:r>
              <w:rPr>
                <w:rFonts w:hint="eastAsia"/>
                <w:color w:val="000000"/>
                <w:sz w:val="21"/>
                <w:szCs w:val="21"/>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trPr>
        <w:tc>
          <w:tcPr>
            <w:tcW w:w="967" w:type="dxa"/>
            <w:vMerge w:val="continue"/>
            <w:shd w:val="clear" w:color="auto" w:fill="auto"/>
            <w:vAlign w:val="center"/>
          </w:tcPr>
          <w:p>
            <w:pPr>
              <w:jc w:val="center"/>
              <w:rPr>
                <w:color w:val="000000"/>
                <w:sz w:val="21"/>
                <w:szCs w:val="21"/>
              </w:rPr>
            </w:pPr>
          </w:p>
        </w:tc>
        <w:tc>
          <w:tcPr>
            <w:tcW w:w="945" w:type="dxa"/>
            <w:shd w:val="clear" w:color="auto" w:fill="auto"/>
            <w:vAlign w:val="center"/>
          </w:tcPr>
          <w:p>
            <w:pPr>
              <w:jc w:val="center"/>
              <w:textAlignment w:val="center"/>
              <w:rPr>
                <w:color w:val="000000"/>
                <w:sz w:val="21"/>
                <w:szCs w:val="21"/>
              </w:rPr>
            </w:pPr>
            <w:r>
              <w:rPr>
                <w:rFonts w:hint="eastAsia"/>
                <w:color w:val="000000"/>
                <w:sz w:val="21"/>
                <w:szCs w:val="21"/>
                <w:lang w:bidi="ar"/>
              </w:rPr>
              <w:t>产出质量</w:t>
            </w:r>
          </w:p>
        </w:tc>
        <w:tc>
          <w:tcPr>
            <w:tcW w:w="967" w:type="dxa"/>
            <w:shd w:val="clear" w:color="auto" w:fill="auto"/>
            <w:vAlign w:val="center"/>
          </w:tcPr>
          <w:p>
            <w:pPr>
              <w:jc w:val="center"/>
              <w:textAlignment w:val="center"/>
              <w:rPr>
                <w:color w:val="000000"/>
                <w:sz w:val="21"/>
                <w:szCs w:val="21"/>
              </w:rPr>
            </w:pPr>
            <w:r>
              <w:rPr>
                <w:rFonts w:hint="eastAsia"/>
                <w:color w:val="000000"/>
                <w:sz w:val="21"/>
                <w:szCs w:val="21"/>
                <w:lang w:bidi="ar"/>
              </w:rPr>
              <w:t>设备维护覆盖率</w:t>
            </w:r>
          </w:p>
        </w:tc>
        <w:tc>
          <w:tcPr>
            <w:tcW w:w="4804" w:type="dxa"/>
            <w:shd w:val="clear" w:color="auto" w:fill="auto"/>
            <w:vAlign w:val="center"/>
          </w:tcPr>
          <w:p>
            <w:pPr>
              <w:textAlignment w:val="center"/>
              <w:rPr>
                <w:sz w:val="21"/>
                <w:szCs w:val="21"/>
              </w:rPr>
            </w:pPr>
            <w:r>
              <w:rPr>
                <w:rFonts w:hint="eastAsia"/>
                <w:sz w:val="21"/>
                <w:szCs w:val="21"/>
              </w:rPr>
              <w:t>质量达标率=（质量达标产出数/实际产出数）×100%。</w:t>
            </w:r>
          </w:p>
          <w:p>
            <w:pPr>
              <w:textAlignment w:val="center"/>
              <w:rPr>
                <w:color w:val="000000"/>
                <w:sz w:val="21"/>
                <w:szCs w:val="21"/>
              </w:rPr>
            </w:pPr>
            <w:r>
              <w:rPr>
                <w:rFonts w:hint="eastAsia"/>
                <w:sz w:val="21"/>
                <w:szCs w:val="21"/>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46" w:type="dxa"/>
            <w:shd w:val="clear" w:color="auto" w:fill="auto"/>
            <w:vAlign w:val="center"/>
          </w:tcPr>
          <w:p>
            <w:pPr>
              <w:jc w:val="center"/>
              <w:textAlignment w:val="center"/>
              <w:rPr>
                <w:color w:val="000000"/>
                <w:sz w:val="21"/>
                <w:szCs w:val="21"/>
              </w:rPr>
            </w:pPr>
            <w:r>
              <w:rPr>
                <w:rFonts w:hint="eastAsia"/>
                <w:color w:val="000000"/>
                <w:sz w:val="21"/>
                <w:szCs w:val="21"/>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trPr>
        <w:tc>
          <w:tcPr>
            <w:tcW w:w="967" w:type="dxa"/>
            <w:vMerge w:val="continue"/>
            <w:shd w:val="clear" w:color="auto" w:fill="auto"/>
            <w:vAlign w:val="center"/>
          </w:tcPr>
          <w:p>
            <w:pPr>
              <w:jc w:val="center"/>
              <w:rPr>
                <w:color w:val="000000"/>
                <w:sz w:val="21"/>
                <w:szCs w:val="21"/>
              </w:rPr>
            </w:pPr>
          </w:p>
        </w:tc>
        <w:tc>
          <w:tcPr>
            <w:tcW w:w="945" w:type="dxa"/>
            <w:shd w:val="clear" w:color="auto" w:fill="auto"/>
            <w:vAlign w:val="center"/>
          </w:tcPr>
          <w:p>
            <w:pPr>
              <w:jc w:val="center"/>
              <w:textAlignment w:val="center"/>
              <w:rPr>
                <w:color w:val="000000"/>
                <w:sz w:val="21"/>
                <w:szCs w:val="21"/>
              </w:rPr>
            </w:pPr>
            <w:r>
              <w:rPr>
                <w:rFonts w:hint="eastAsia"/>
                <w:color w:val="000000"/>
                <w:sz w:val="21"/>
                <w:szCs w:val="21"/>
                <w:lang w:bidi="ar"/>
              </w:rPr>
              <w:t>产出时效</w:t>
            </w:r>
          </w:p>
        </w:tc>
        <w:tc>
          <w:tcPr>
            <w:tcW w:w="967" w:type="dxa"/>
            <w:shd w:val="clear" w:color="auto" w:fill="auto"/>
            <w:vAlign w:val="center"/>
          </w:tcPr>
          <w:p>
            <w:pPr>
              <w:jc w:val="center"/>
              <w:textAlignment w:val="center"/>
              <w:rPr>
                <w:color w:val="000000"/>
                <w:sz w:val="21"/>
                <w:szCs w:val="21"/>
              </w:rPr>
            </w:pPr>
            <w:r>
              <w:rPr>
                <w:rFonts w:hint="eastAsia"/>
                <w:color w:val="000000"/>
                <w:sz w:val="21"/>
                <w:szCs w:val="21"/>
                <w:lang w:bidi="ar"/>
              </w:rPr>
              <w:t>完成及时率</w:t>
            </w:r>
          </w:p>
        </w:tc>
        <w:tc>
          <w:tcPr>
            <w:tcW w:w="4804" w:type="dxa"/>
            <w:shd w:val="clear" w:color="auto" w:fill="auto"/>
            <w:vAlign w:val="center"/>
          </w:tcPr>
          <w:p>
            <w:pPr>
              <w:textAlignment w:val="center"/>
              <w:rPr>
                <w:sz w:val="21"/>
                <w:szCs w:val="21"/>
              </w:rPr>
            </w:pPr>
            <w:r>
              <w:rPr>
                <w:rFonts w:hint="eastAsia"/>
                <w:sz w:val="21"/>
                <w:szCs w:val="21"/>
              </w:rPr>
              <w:t>实际完成时间：项目实施单位完成该项目实际所耗用的时间。</w:t>
            </w:r>
          </w:p>
          <w:p>
            <w:pPr>
              <w:textAlignment w:val="center"/>
              <w:rPr>
                <w:color w:val="000000"/>
                <w:sz w:val="21"/>
                <w:szCs w:val="21"/>
              </w:rPr>
            </w:pPr>
            <w:r>
              <w:rPr>
                <w:rFonts w:hint="eastAsia"/>
                <w:sz w:val="21"/>
                <w:szCs w:val="21"/>
              </w:rPr>
              <w:t>计划完成时间：按照项目实施计划或相关规定完成该项目所需的时间。</w:t>
            </w:r>
          </w:p>
        </w:tc>
        <w:tc>
          <w:tcPr>
            <w:tcW w:w="746" w:type="dxa"/>
            <w:shd w:val="clear" w:color="auto" w:fill="auto"/>
            <w:vAlign w:val="center"/>
          </w:tcPr>
          <w:p>
            <w:pPr>
              <w:jc w:val="center"/>
              <w:textAlignment w:val="center"/>
              <w:rPr>
                <w:color w:val="000000"/>
                <w:sz w:val="21"/>
                <w:szCs w:val="21"/>
              </w:rPr>
            </w:pPr>
            <w:r>
              <w:rPr>
                <w:rFonts w:hint="eastAsia"/>
                <w:color w:val="000000"/>
                <w:sz w:val="21"/>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967" w:type="dxa"/>
            <w:vMerge w:val="continue"/>
            <w:shd w:val="clear" w:color="auto" w:fill="auto"/>
            <w:vAlign w:val="center"/>
          </w:tcPr>
          <w:p>
            <w:pPr>
              <w:jc w:val="center"/>
              <w:rPr>
                <w:color w:val="000000"/>
                <w:sz w:val="21"/>
                <w:szCs w:val="21"/>
              </w:rPr>
            </w:pPr>
          </w:p>
        </w:tc>
        <w:tc>
          <w:tcPr>
            <w:tcW w:w="945" w:type="dxa"/>
            <w:shd w:val="clear" w:color="auto" w:fill="auto"/>
            <w:vAlign w:val="center"/>
          </w:tcPr>
          <w:p>
            <w:pPr>
              <w:jc w:val="center"/>
              <w:textAlignment w:val="center"/>
              <w:rPr>
                <w:color w:val="000000"/>
                <w:sz w:val="21"/>
                <w:szCs w:val="21"/>
              </w:rPr>
            </w:pPr>
            <w:r>
              <w:rPr>
                <w:rFonts w:hint="eastAsia"/>
                <w:color w:val="000000"/>
                <w:sz w:val="21"/>
                <w:szCs w:val="21"/>
                <w:lang w:bidi="ar"/>
              </w:rPr>
              <w:t>产出成本</w:t>
            </w:r>
          </w:p>
        </w:tc>
        <w:tc>
          <w:tcPr>
            <w:tcW w:w="967" w:type="dxa"/>
            <w:shd w:val="clear" w:color="auto" w:fill="auto"/>
            <w:vAlign w:val="center"/>
          </w:tcPr>
          <w:p>
            <w:pPr>
              <w:jc w:val="center"/>
              <w:textAlignment w:val="center"/>
              <w:rPr>
                <w:color w:val="000000"/>
                <w:sz w:val="21"/>
                <w:szCs w:val="21"/>
              </w:rPr>
            </w:pPr>
            <w:r>
              <w:rPr>
                <w:rFonts w:hint="eastAsia"/>
                <w:color w:val="000000"/>
                <w:sz w:val="21"/>
                <w:szCs w:val="21"/>
                <w:lang w:bidi="ar"/>
              </w:rPr>
              <w:t>成本节约率</w:t>
            </w:r>
          </w:p>
        </w:tc>
        <w:tc>
          <w:tcPr>
            <w:tcW w:w="4804" w:type="dxa"/>
            <w:shd w:val="clear" w:color="auto" w:fill="auto"/>
            <w:vAlign w:val="center"/>
          </w:tcPr>
          <w:p>
            <w:pPr>
              <w:textAlignment w:val="center"/>
              <w:rPr>
                <w:sz w:val="21"/>
                <w:szCs w:val="21"/>
              </w:rPr>
            </w:pPr>
            <w:r>
              <w:rPr>
                <w:rFonts w:hint="eastAsia"/>
                <w:sz w:val="21"/>
                <w:szCs w:val="21"/>
              </w:rPr>
              <w:t>成本节约率=［（计划成本-实际成本）/计划成本］×100%。</w:t>
            </w:r>
          </w:p>
          <w:p>
            <w:pPr>
              <w:textAlignment w:val="center"/>
              <w:rPr>
                <w:sz w:val="21"/>
                <w:szCs w:val="21"/>
              </w:rPr>
            </w:pPr>
            <w:r>
              <w:rPr>
                <w:rFonts w:hint="eastAsia"/>
                <w:sz w:val="21"/>
                <w:szCs w:val="21"/>
              </w:rPr>
              <w:t>实际成本：项目实施单位如期、保质、保量完成既定工作目标实际所耗费的支出。</w:t>
            </w:r>
          </w:p>
          <w:p>
            <w:pPr>
              <w:textAlignment w:val="center"/>
              <w:rPr>
                <w:color w:val="000000"/>
                <w:sz w:val="21"/>
                <w:szCs w:val="21"/>
              </w:rPr>
            </w:pPr>
            <w:r>
              <w:rPr>
                <w:rFonts w:hint="eastAsia"/>
                <w:sz w:val="21"/>
                <w:szCs w:val="21"/>
              </w:rPr>
              <w:t>计划成本：项目实施单位为完成工作目标计划安排的支出，一般以项目预算为参考。</w:t>
            </w:r>
          </w:p>
        </w:tc>
        <w:tc>
          <w:tcPr>
            <w:tcW w:w="746" w:type="dxa"/>
            <w:shd w:val="clear" w:color="auto" w:fill="auto"/>
            <w:vAlign w:val="center"/>
          </w:tcPr>
          <w:p>
            <w:pPr>
              <w:jc w:val="center"/>
              <w:textAlignment w:val="center"/>
              <w:rPr>
                <w:color w:val="000000"/>
                <w:sz w:val="21"/>
                <w:szCs w:val="21"/>
              </w:rPr>
            </w:pPr>
            <w:r>
              <w:rPr>
                <w:rFonts w:hint="eastAsia"/>
                <w:color w:val="000000"/>
                <w:sz w:val="21"/>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967" w:type="dxa"/>
            <w:vMerge w:val="restart"/>
            <w:shd w:val="clear" w:color="auto" w:fill="auto"/>
            <w:vAlign w:val="center"/>
          </w:tcPr>
          <w:p>
            <w:pPr>
              <w:jc w:val="center"/>
              <w:textAlignment w:val="center"/>
              <w:rPr>
                <w:color w:val="000000"/>
                <w:sz w:val="21"/>
                <w:szCs w:val="21"/>
              </w:rPr>
            </w:pPr>
            <w:r>
              <w:rPr>
                <w:rFonts w:hint="eastAsia"/>
                <w:color w:val="000000"/>
                <w:sz w:val="21"/>
                <w:szCs w:val="21"/>
                <w:lang w:bidi="ar"/>
              </w:rPr>
              <w:t>效益（25分）</w:t>
            </w:r>
          </w:p>
        </w:tc>
        <w:tc>
          <w:tcPr>
            <w:tcW w:w="945" w:type="dxa"/>
            <w:shd w:val="clear" w:color="auto" w:fill="auto"/>
            <w:vAlign w:val="center"/>
          </w:tcPr>
          <w:p>
            <w:pPr>
              <w:jc w:val="center"/>
              <w:textAlignment w:val="center"/>
              <w:rPr>
                <w:color w:val="000000"/>
                <w:sz w:val="21"/>
                <w:szCs w:val="21"/>
              </w:rPr>
            </w:pPr>
            <w:r>
              <w:rPr>
                <w:rFonts w:hint="eastAsia"/>
                <w:color w:val="000000"/>
                <w:sz w:val="21"/>
                <w:szCs w:val="21"/>
                <w:lang w:bidi="ar"/>
              </w:rPr>
              <w:t>社会效益</w:t>
            </w:r>
          </w:p>
        </w:tc>
        <w:tc>
          <w:tcPr>
            <w:tcW w:w="967" w:type="dxa"/>
            <w:shd w:val="clear" w:color="auto" w:fill="auto"/>
            <w:vAlign w:val="center"/>
          </w:tcPr>
          <w:p>
            <w:pPr>
              <w:jc w:val="center"/>
              <w:textAlignment w:val="center"/>
              <w:rPr>
                <w:color w:val="000000"/>
                <w:sz w:val="21"/>
                <w:szCs w:val="21"/>
              </w:rPr>
            </w:pPr>
            <w:r>
              <w:rPr>
                <w:rFonts w:hint="eastAsia"/>
                <w:sz w:val="21"/>
                <w:szCs w:val="21"/>
              </w:rPr>
              <w:t>对提高公众安全常识影响程度</w:t>
            </w:r>
          </w:p>
        </w:tc>
        <w:tc>
          <w:tcPr>
            <w:tcW w:w="4804" w:type="dxa"/>
            <w:shd w:val="clear" w:color="auto" w:fill="auto"/>
            <w:vAlign w:val="center"/>
          </w:tcPr>
          <w:p>
            <w:pPr>
              <w:textAlignment w:val="center"/>
              <w:rPr>
                <w:color w:val="000000"/>
                <w:sz w:val="21"/>
                <w:szCs w:val="21"/>
              </w:rPr>
            </w:pPr>
            <w:r>
              <w:rPr>
                <w:rFonts w:hint="eastAsia"/>
                <w:sz w:val="21"/>
                <w:szCs w:val="21"/>
              </w:rPr>
              <w:t>项目实施所产生的社会效益，具体评价项目实施对提高公众安全常识影响程度。</w:t>
            </w:r>
          </w:p>
        </w:tc>
        <w:tc>
          <w:tcPr>
            <w:tcW w:w="746" w:type="dxa"/>
            <w:shd w:val="clear" w:color="auto" w:fill="auto"/>
            <w:vAlign w:val="center"/>
          </w:tcPr>
          <w:p>
            <w:pPr>
              <w:jc w:val="center"/>
              <w:textAlignment w:val="center"/>
              <w:rPr>
                <w:color w:val="000000"/>
                <w:sz w:val="21"/>
                <w:szCs w:val="21"/>
              </w:rPr>
            </w:pPr>
            <w:r>
              <w:rPr>
                <w:rFonts w:hint="eastAsia"/>
                <w:color w:val="000000"/>
                <w:sz w:val="21"/>
                <w:szCs w:val="21"/>
                <w:lang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967" w:type="dxa"/>
            <w:vMerge w:val="continue"/>
            <w:shd w:val="clear" w:color="auto" w:fill="auto"/>
            <w:vAlign w:val="center"/>
          </w:tcPr>
          <w:p>
            <w:pPr>
              <w:jc w:val="center"/>
              <w:rPr>
                <w:color w:val="000000"/>
                <w:sz w:val="21"/>
                <w:szCs w:val="21"/>
              </w:rPr>
            </w:pPr>
          </w:p>
        </w:tc>
        <w:tc>
          <w:tcPr>
            <w:tcW w:w="945" w:type="dxa"/>
            <w:shd w:val="clear" w:color="auto" w:fill="auto"/>
            <w:vAlign w:val="center"/>
          </w:tcPr>
          <w:p>
            <w:pPr>
              <w:jc w:val="center"/>
              <w:rPr>
                <w:color w:val="000000"/>
                <w:sz w:val="21"/>
                <w:szCs w:val="21"/>
              </w:rPr>
            </w:pPr>
            <w:r>
              <w:rPr>
                <w:rFonts w:hint="eastAsia"/>
                <w:color w:val="000000"/>
                <w:sz w:val="21"/>
                <w:szCs w:val="21"/>
              </w:rPr>
              <w:t>可持续影响</w:t>
            </w:r>
          </w:p>
        </w:tc>
        <w:tc>
          <w:tcPr>
            <w:tcW w:w="967" w:type="dxa"/>
            <w:shd w:val="clear" w:color="auto" w:fill="auto"/>
            <w:vAlign w:val="center"/>
          </w:tcPr>
          <w:p>
            <w:pPr>
              <w:jc w:val="center"/>
              <w:textAlignment w:val="center"/>
              <w:rPr>
                <w:color w:val="000000"/>
                <w:sz w:val="21"/>
                <w:szCs w:val="21"/>
              </w:rPr>
            </w:pPr>
            <w:r>
              <w:rPr>
                <w:rFonts w:hint="eastAsia"/>
                <w:sz w:val="21"/>
                <w:szCs w:val="21"/>
              </w:rPr>
              <w:t>对提升公众安全意识影响长远程度</w:t>
            </w:r>
          </w:p>
        </w:tc>
        <w:tc>
          <w:tcPr>
            <w:tcW w:w="4804" w:type="dxa"/>
            <w:shd w:val="clear" w:color="auto" w:fill="auto"/>
            <w:vAlign w:val="center"/>
          </w:tcPr>
          <w:p>
            <w:pPr>
              <w:textAlignment w:val="center"/>
              <w:rPr>
                <w:color w:val="000000"/>
                <w:sz w:val="21"/>
                <w:szCs w:val="21"/>
              </w:rPr>
            </w:pPr>
            <w:r>
              <w:rPr>
                <w:rFonts w:hint="eastAsia"/>
                <w:sz w:val="21"/>
                <w:szCs w:val="21"/>
              </w:rPr>
              <w:t>项目实施所产生的可持续影响，具体评价项目实施对提升公众安全意识影响长远程度。</w:t>
            </w:r>
          </w:p>
        </w:tc>
        <w:tc>
          <w:tcPr>
            <w:tcW w:w="746" w:type="dxa"/>
            <w:shd w:val="clear" w:color="auto" w:fill="auto"/>
            <w:vAlign w:val="center"/>
          </w:tcPr>
          <w:p>
            <w:pPr>
              <w:jc w:val="center"/>
              <w:textAlignment w:val="center"/>
              <w:rPr>
                <w:color w:val="000000"/>
                <w:sz w:val="21"/>
                <w:szCs w:val="21"/>
              </w:rPr>
            </w:pPr>
            <w:r>
              <w:rPr>
                <w:rFonts w:hint="eastAsia"/>
                <w:color w:val="000000"/>
                <w:sz w:val="21"/>
                <w:szCs w:val="21"/>
                <w:lang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967" w:type="dxa"/>
            <w:vMerge w:val="continue"/>
            <w:shd w:val="clear" w:color="auto" w:fill="auto"/>
            <w:vAlign w:val="center"/>
          </w:tcPr>
          <w:p>
            <w:pPr>
              <w:jc w:val="center"/>
              <w:rPr>
                <w:color w:val="000000"/>
                <w:sz w:val="21"/>
                <w:szCs w:val="21"/>
              </w:rPr>
            </w:pPr>
          </w:p>
        </w:tc>
        <w:tc>
          <w:tcPr>
            <w:tcW w:w="945" w:type="dxa"/>
            <w:shd w:val="clear" w:color="auto" w:fill="auto"/>
            <w:vAlign w:val="center"/>
          </w:tcPr>
          <w:p>
            <w:pPr>
              <w:jc w:val="center"/>
              <w:rPr>
                <w:color w:val="000000"/>
                <w:sz w:val="21"/>
                <w:szCs w:val="21"/>
              </w:rPr>
            </w:pPr>
            <w:r>
              <w:rPr>
                <w:rFonts w:hint="eastAsia"/>
                <w:color w:val="000000"/>
                <w:sz w:val="21"/>
                <w:szCs w:val="21"/>
              </w:rPr>
              <w:t>服务对象满意度</w:t>
            </w:r>
          </w:p>
        </w:tc>
        <w:tc>
          <w:tcPr>
            <w:tcW w:w="967" w:type="dxa"/>
            <w:shd w:val="clear" w:color="auto" w:fill="auto"/>
            <w:vAlign w:val="center"/>
          </w:tcPr>
          <w:p>
            <w:pPr>
              <w:jc w:val="center"/>
              <w:textAlignment w:val="center"/>
              <w:rPr>
                <w:color w:val="000000"/>
                <w:sz w:val="21"/>
                <w:szCs w:val="21"/>
              </w:rPr>
            </w:pPr>
            <w:r>
              <w:rPr>
                <w:rFonts w:hint="eastAsia"/>
                <w:sz w:val="21"/>
                <w:szCs w:val="21"/>
              </w:rPr>
              <w:t>公众满意度</w:t>
            </w:r>
          </w:p>
        </w:tc>
        <w:tc>
          <w:tcPr>
            <w:tcW w:w="4804" w:type="dxa"/>
            <w:shd w:val="clear" w:color="auto" w:fill="auto"/>
            <w:vAlign w:val="center"/>
          </w:tcPr>
          <w:p>
            <w:pPr>
              <w:textAlignment w:val="center"/>
              <w:rPr>
                <w:color w:val="000000"/>
                <w:sz w:val="21"/>
                <w:szCs w:val="21"/>
              </w:rPr>
            </w:pPr>
            <w:r>
              <w:rPr>
                <w:rFonts w:hint="eastAsia"/>
                <w:sz w:val="21"/>
                <w:szCs w:val="21"/>
              </w:rPr>
              <w:t>社会公众或服务对象是指因该项目实施而受到影响的部门（单位）、群体或个人。一般采取社会调查的方式。</w:t>
            </w:r>
          </w:p>
        </w:tc>
        <w:tc>
          <w:tcPr>
            <w:tcW w:w="746" w:type="dxa"/>
            <w:shd w:val="clear" w:color="auto" w:fill="auto"/>
            <w:vAlign w:val="center"/>
          </w:tcPr>
          <w:p>
            <w:pPr>
              <w:jc w:val="center"/>
              <w:textAlignment w:val="center"/>
              <w:rPr>
                <w:color w:val="000000"/>
                <w:sz w:val="21"/>
                <w:szCs w:val="21"/>
              </w:rPr>
            </w:pPr>
            <w:r>
              <w:rPr>
                <w:rFonts w:hint="eastAsia"/>
                <w:color w:val="000000"/>
                <w:sz w:val="21"/>
                <w:szCs w:val="21"/>
                <w:lang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7683" w:type="dxa"/>
            <w:gridSpan w:val="4"/>
            <w:shd w:val="clear" w:color="auto" w:fill="auto"/>
            <w:noWrap/>
            <w:vAlign w:val="center"/>
          </w:tcPr>
          <w:p>
            <w:pPr>
              <w:jc w:val="center"/>
              <w:textAlignment w:val="bottom"/>
              <w:rPr>
                <w:color w:val="000000"/>
                <w:sz w:val="21"/>
                <w:szCs w:val="21"/>
              </w:rPr>
            </w:pPr>
            <w:r>
              <w:rPr>
                <w:rFonts w:hint="eastAsia"/>
                <w:color w:val="000000"/>
                <w:sz w:val="21"/>
                <w:szCs w:val="21"/>
                <w:lang w:bidi="ar"/>
              </w:rPr>
              <w:t>分值合计</w:t>
            </w:r>
          </w:p>
        </w:tc>
        <w:tc>
          <w:tcPr>
            <w:tcW w:w="746" w:type="dxa"/>
            <w:shd w:val="clear" w:color="auto" w:fill="auto"/>
            <w:vAlign w:val="center"/>
          </w:tcPr>
          <w:p>
            <w:pPr>
              <w:jc w:val="center"/>
              <w:textAlignment w:val="center"/>
              <w:rPr>
                <w:color w:val="000000"/>
                <w:sz w:val="21"/>
                <w:szCs w:val="21"/>
              </w:rPr>
            </w:pPr>
            <w:r>
              <w:rPr>
                <w:rFonts w:hint="eastAsia"/>
                <w:color w:val="000000"/>
                <w:sz w:val="21"/>
                <w:szCs w:val="21"/>
                <w:lang w:bidi="ar"/>
              </w:rPr>
              <w:t>100</w:t>
            </w:r>
          </w:p>
        </w:tc>
      </w:tr>
    </w:tbl>
    <w:p>
      <w:pPr>
        <w:spacing w:line="360" w:lineRule="auto"/>
        <w:ind w:firstLine="480" w:firstLineChars="200"/>
        <w:outlineLvl w:val="1"/>
        <w:rPr>
          <w:bCs/>
          <w:lang w:bidi="ar"/>
        </w:rPr>
      </w:pPr>
      <w:bookmarkStart w:id="16" w:name="_Toc23544"/>
      <w:r>
        <w:rPr>
          <w:rFonts w:hint="eastAsia"/>
          <w:lang w:bidi="ar"/>
        </w:rPr>
        <w:t>（二）</w:t>
      </w:r>
      <w:r>
        <w:rPr>
          <w:rFonts w:hint="eastAsia"/>
          <w:bCs/>
          <w:lang w:bidi="ar"/>
        </w:rPr>
        <w:t>评价标准</w:t>
      </w:r>
      <w:bookmarkEnd w:id="16"/>
    </w:p>
    <w:p>
      <w:pPr>
        <w:spacing w:line="500" w:lineRule="exact"/>
        <w:ind w:firstLine="480" w:firstLineChars="200"/>
        <w:rPr>
          <w:bCs/>
          <w:lang w:bidi="ar"/>
        </w:rPr>
      </w:pPr>
      <w:r>
        <w:rPr>
          <w:rFonts w:hint="eastAsia"/>
          <w:bCs/>
          <w:lang w:bidi="ar"/>
        </w:rPr>
        <w:t>绩效评价采用百分制，项目决策、项目过程、项目产出、项目绩效四大类一级指标共100分。其中项目决策指标20分，项目过程25分，项目产出30分，项目绩效25分。</w:t>
      </w:r>
    </w:p>
    <w:p>
      <w:pPr>
        <w:spacing w:line="500" w:lineRule="exact"/>
        <w:ind w:firstLine="480" w:firstLineChars="200"/>
        <w:outlineLvl w:val="1"/>
        <w:rPr>
          <w:bCs/>
          <w:lang w:bidi="ar"/>
        </w:rPr>
      </w:pPr>
      <w:bookmarkStart w:id="17" w:name="_Toc4792"/>
      <w:r>
        <w:rPr>
          <w:rFonts w:hint="eastAsia"/>
          <w:lang w:bidi="ar"/>
        </w:rPr>
        <w:t>（三）</w:t>
      </w:r>
      <w:r>
        <w:rPr>
          <w:rFonts w:hint="eastAsia"/>
          <w:bCs/>
          <w:lang w:bidi="ar"/>
        </w:rPr>
        <w:t>评价结果等级</w:t>
      </w:r>
      <w:bookmarkEnd w:id="17"/>
    </w:p>
    <w:p>
      <w:pPr>
        <w:spacing w:line="500" w:lineRule="exact"/>
        <w:ind w:firstLine="480" w:firstLineChars="200"/>
        <w:rPr>
          <w:bCs/>
          <w:lang w:bidi="ar"/>
        </w:rPr>
      </w:pPr>
      <w:r>
        <w:rPr>
          <w:rFonts w:hint="eastAsia"/>
          <w:bCs/>
          <w:lang w:bidi="ar"/>
        </w:rPr>
        <w:t>为便于对评价结果的直接运用和判断，将专项资金的绩效评价分为四个等级：</w:t>
      </w:r>
    </w:p>
    <w:p>
      <w:pPr>
        <w:spacing w:line="500" w:lineRule="exact"/>
        <w:ind w:firstLine="480" w:firstLineChars="200"/>
        <w:rPr>
          <w:bCs/>
          <w:lang w:bidi="ar"/>
        </w:rPr>
      </w:pPr>
      <w:r>
        <w:rPr>
          <w:rFonts w:hint="eastAsia"/>
          <w:bCs/>
          <w:lang w:bidi="ar"/>
        </w:rPr>
        <w:t>优：</w:t>
      </w:r>
      <w:r>
        <w:rPr>
          <w:bCs/>
          <w:lang w:bidi="ar"/>
        </w:rPr>
        <w:t>S≥90分</w:t>
      </w:r>
    </w:p>
    <w:p>
      <w:pPr>
        <w:spacing w:line="500" w:lineRule="exact"/>
        <w:ind w:firstLine="480" w:firstLineChars="200"/>
        <w:rPr>
          <w:bCs/>
          <w:lang w:bidi="ar"/>
        </w:rPr>
      </w:pPr>
      <w:r>
        <w:rPr>
          <w:rFonts w:hint="eastAsia"/>
          <w:bCs/>
          <w:lang w:bidi="ar"/>
        </w:rPr>
        <w:t>良：</w:t>
      </w:r>
      <w:r>
        <w:rPr>
          <w:bCs/>
          <w:lang w:bidi="ar"/>
        </w:rPr>
        <w:t>75≤S＜90分</w:t>
      </w:r>
    </w:p>
    <w:p>
      <w:pPr>
        <w:spacing w:line="500" w:lineRule="exact"/>
        <w:ind w:firstLine="480" w:firstLineChars="200"/>
        <w:rPr>
          <w:bCs/>
          <w:lang w:bidi="ar"/>
        </w:rPr>
      </w:pPr>
      <w:r>
        <w:rPr>
          <w:rFonts w:hint="eastAsia"/>
          <w:bCs/>
          <w:lang w:bidi="ar"/>
        </w:rPr>
        <w:t>中：</w:t>
      </w:r>
      <w:r>
        <w:rPr>
          <w:bCs/>
          <w:lang w:bidi="ar"/>
        </w:rPr>
        <w:t>60≤S＜75分</w:t>
      </w:r>
    </w:p>
    <w:p>
      <w:pPr>
        <w:spacing w:line="500" w:lineRule="exact"/>
        <w:ind w:firstLine="480" w:firstLineChars="200"/>
        <w:rPr>
          <w:bCs/>
          <w:lang w:bidi="ar"/>
        </w:rPr>
      </w:pPr>
      <w:r>
        <w:rPr>
          <w:rFonts w:hint="eastAsia"/>
          <w:bCs/>
          <w:lang w:bidi="ar"/>
        </w:rPr>
        <w:t>差：</w:t>
      </w:r>
      <w:r>
        <w:rPr>
          <w:bCs/>
          <w:lang w:bidi="ar"/>
        </w:rPr>
        <w:t>S＜60分</w:t>
      </w:r>
    </w:p>
    <w:p>
      <w:pPr>
        <w:spacing w:line="360" w:lineRule="auto"/>
        <w:ind w:firstLine="480" w:firstLineChars="200"/>
        <w:outlineLvl w:val="1"/>
        <w:rPr>
          <w:bCs/>
          <w:lang w:bidi="ar"/>
        </w:rPr>
      </w:pPr>
      <w:bookmarkStart w:id="18" w:name="_Toc23998"/>
      <w:r>
        <w:rPr>
          <w:rFonts w:hint="eastAsia"/>
          <w:lang w:bidi="ar"/>
        </w:rPr>
        <w:t>（四）</w:t>
      </w:r>
      <w:r>
        <w:rPr>
          <w:rFonts w:hint="eastAsia"/>
          <w:bCs/>
          <w:lang w:bidi="ar"/>
        </w:rPr>
        <w:t>评价方法</w:t>
      </w:r>
      <w:bookmarkEnd w:id="18"/>
    </w:p>
    <w:p>
      <w:pPr>
        <w:spacing w:line="500" w:lineRule="exact"/>
        <w:ind w:firstLine="480" w:firstLineChars="200"/>
        <w:rPr>
          <w:bCs/>
          <w:lang w:bidi="ar"/>
        </w:rPr>
      </w:pPr>
      <w:r>
        <w:rPr>
          <w:rFonts w:hint="eastAsia"/>
          <w:bCs/>
          <w:lang w:bidi="ar"/>
        </w:rPr>
        <w:t>绩效评价主要采用以下三种方法：</w:t>
      </w:r>
    </w:p>
    <w:p>
      <w:pPr>
        <w:spacing w:line="500" w:lineRule="exact"/>
        <w:ind w:firstLine="480" w:firstLineChars="200"/>
        <w:rPr>
          <w:bCs/>
          <w:lang w:bidi="ar"/>
        </w:rPr>
      </w:pPr>
      <w:r>
        <w:rPr>
          <w:rFonts w:hint="eastAsia"/>
          <w:bCs/>
          <w:lang w:bidi="ar"/>
        </w:rPr>
        <w:t>（1）成本效益分析法。将一定时期内的支出与效益进行对比分析，评价绩效目标实现程度。</w:t>
      </w:r>
    </w:p>
    <w:p>
      <w:pPr>
        <w:spacing w:line="500" w:lineRule="exact"/>
        <w:ind w:firstLine="480" w:firstLineChars="200"/>
        <w:rPr>
          <w:bCs/>
          <w:lang w:bidi="ar"/>
        </w:rPr>
      </w:pPr>
      <w:r>
        <w:rPr>
          <w:rFonts w:hint="eastAsia"/>
          <w:bCs/>
          <w:lang w:bidi="ar"/>
        </w:rPr>
        <w:t>（2）比较法。通过对绩效目标与实施效果、历史与当期情况、不同部门和地区同类支出的比较，综合分析绩效目标实现程度。</w:t>
      </w:r>
    </w:p>
    <w:p>
      <w:pPr>
        <w:spacing w:line="500" w:lineRule="exact"/>
        <w:ind w:firstLine="480" w:firstLineChars="200"/>
        <w:rPr>
          <w:bCs/>
          <w:lang w:bidi="ar"/>
        </w:rPr>
      </w:pPr>
      <w:r>
        <w:rPr>
          <w:rFonts w:hint="eastAsia"/>
          <w:bCs/>
          <w:lang w:bidi="ar"/>
        </w:rPr>
        <w:t>（3）公众评判法。通过专家评估、公众问卷及抽样调查等对财政支出效果进行评判，评价绩效目标实现程度。</w:t>
      </w:r>
    </w:p>
    <w:p>
      <w:pPr>
        <w:spacing w:line="360" w:lineRule="auto"/>
        <w:ind w:firstLine="482" w:firstLineChars="200"/>
        <w:outlineLvl w:val="0"/>
        <w:rPr>
          <w:b/>
          <w:lang w:bidi="ar"/>
        </w:rPr>
      </w:pPr>
      <w:bookmarkStart w:id="19" w:name="_Toc28171"/>
      <w:r>
        <w:rPr>
          <w:b/>
          <w:lang w:bidi="ar"/>
        </w:rPr>
        <w:t>四、</w:t>
      </w:r>
      <w:r>
        <w:rPr>
          <w:rFonts w:hint="eastAsia"/>
          <w:b/>
          <w:lang w:bidi="ar"/>
        </w:rPr>
        <w:t>项目绩效与评价结论</w:t>
      </w:r>
      <w:bookmarkEnd w:id="19"/>
    </w:p>
    <w:p>
      <w:pPr>
        <w:spacing w:line="360" w:lineRule="auto"/>
        <w:ind w:firstLine="480" w:firstLineChars="200"/>
        <w:outlineLvl w:val="1"/>
        <w:rPr>
          <w:lang w:bidi="ar"/>
        </w:rPr>
      </w:pPr>
      <w:bookmarkStart w:id="20" w:name="_Toc27514"/>
      <w:r>
        <w:rPr>
          <w:rFonts w:hint="eastAsia"/>
          <w:lang w:bidi="ar"/>
        </w:rPr>
        <w:t>（一）评价得分情况</w:t>
      </w:r>
      <w:bookmarkEnd w:id="20"/>
    </w:p>
    <w:p>
      <w:pPr>
        <w:spacing w:line="500" w:lineRule="exact"/>
        <w:ind w:firstLine="480" w:firstLineChars="200"/>
        <w:rPr>
          <w:bCs/>
          <w:lang w:bidi="ar"/>
        </w:rPr>
      </w:pPr>
      <w:r>
        <w:rPr>
          <w:rFonts w:hint="eastAsia"/>
          <w:lang w:bidi="ar"/>
        </w:rPr>
        <w:t>经综合评价，宣传教育经费评价综合得分为85分，等级为良。具体指标评价分值如下表</w:t>
      </w:r>
      <w:r>
        <w:rPr>
          <w:bCs/>
          <w:lang w:bidi="ar"/>
        </w:rPr>
        <w:t>：</w:t>
      </w:r>
    </w:p>
    <w:p>
      <w:pPr>
        <w:spacing w:line="500" w:lineRule="exact"/>
        <w:ind w:firstLine="480" w:firstLineChars="200"/>
        <w:jc w:val="center"/>
        <w:rPr>
          <w:bCs/>
          <w:lang w:bidi="ar"/>
        </w:rPr>
      </w:pPr>
    </w:p>
    <w:p>
      <w:pPr>
        <w:spacing w:line="500" w:lineRule="exact"/>
        <w:ind w:firstLine="480" w:firstLineChars="200"/>
        <w:jc w:val="center"/>
        <w:rPr>
          <w:bCs/>
          <w:lang w:bidi="ar"/>
        </w:rPr>
      </w:pPr>
      <w:r>
        <w:rPr>
          <w:rFonts w:hint="eastAsia"/>
          <w:bCs/>
          <w:lang w:bidi="ar"/>
        </w:rPr>
        <w:t>表</w:t>
      </w:r>
      <w:r>
        <w:rPr>
          <w:bCs/>
          <w:lang w:bidi="ar"/>
        </w:rPr>
        <w:t>4</w:t>
      </w:r>
      <w:r>
        <w:rPr>
          <w:rFonts w:hint="eastAsia"/>
          <w:bCs/>
          <w:lang w:bidi="ar"/>
        </w:rPr>
        <w:t>：绩效评价得分情况表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6"/>
        <w:gridCol w:w="2084"/>
        <w:gridCol w:w="2080"/>
        <w:gridCol w:w="2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6" w:type="dxa"/>
          </w:tcPr>
          <w:p>
            <w:pPr>
              <w:widowControl w:val="0"/>
              <w:jc w:val="center"/>
              <w:rPr>
                <w:rFonts w:asciiTheme="minorEastAsia" w:hAnsiTheme="minorEastAsia" w:eastAsiaTheme="minorEastAsia"/>
                <w:lang w:bidi="ar"/>
              </w:rPr>
            </w:pPr>
            <w:r>
              <w:rPr>
                <w:rFonts w:hint="eastAsia" w:asciiTheme="minorEastAsia" w:hAnsiTheme="minorEastAsia" w:eastAsiaTheme="minorEastAsia"/>
                <w:lang w:bidi="ar"/>
              </w:rPr>
              <w:t>指标</w:t>
            </w:r>
          </w:p>
        </w:tc>
        <w:tc>
          <w:tcPr>
            <w:tcW w:w="2084" w:type="dxa"/>
          </w:tcPr>
          <w:p>
            <w:pPr>
              <w:widowControl w:val="0"/>
              <w:jc w:val="center"/>
              <w:rPr>
                <w:rFonts w:asciiTheme="minorEastAsia" w:hAnsiTheme="minorEastAsia" w:eastAsiaTheme="minorEastAsia"/>
                <w:lang w:bidi="ar"/>
              </w:rPr>
            </w:pPr>
            <w:r>
              <w:rPr>
                <w:rFonts w:hint="eastAsia" w:asciiTheme="minorEastAsia" w:hAnsiTheme="minorEastAsia" w:eastAsiaTheme="minorEastAsia"/>
                <w:lang w:bidi="ar"/>
              </w:rPr>
              <w:t>分值</w:t>
            </w:r>
          </w:p>
        </w:tc>
        <w:tc>
          <w:tcPr>
            <w:tcW w:w="2080" w:type="dxa"/>
          </w:tcPr>
          <w:p>
            <w:pPr>
              <w:widowControl w:val="0"/>
              <w:jc w:val="center"/>
              <w:rPr>
                <w:rFonts w:asciiTheme="minorEastAsia" w:hAnsiTheme="minorEastAsia" w:eastAsiaTheme="minorEastAsia"/>
                <w:lang w:bidi="ar"/>
              </w:rPr>
            </w:pPr>
            <w:r>
              <w:rPr>
                <w:rFonts w:hint="eastAsia" w:asciiTheme="minorEastAsia" w:hAnsiTheme="minorEastAsia" w:eastAsiaTheme="minorEastAsia"/>
                <w:lang w:bidi="ar"/>
              </w:rPr>
              <w:t>评分</w:t>
            </w:r>
          </w:p>
        </w:tc>
        <w:tc>
          <w:tcPr>
            <w:tcW w:w="2066" w:type="dxa"/>
          </w:tcPr>
          <w:p>
            <w:pPr>
              <w:widowControl w:val="0"/>
              <w:jc w:val="center"/>
              <w:rPr>
                <w:rFonts w:asciiTheme="minorEastAsia" w:hAnsiTheme="minorEastAsia" w:eastAsiaTheme="minorEastAsia"/>
                <w:lang w:bidi="ar"/>
              </w:rPr>
            </w:pPr>
            <w:r>
              <w:rPr>
                <w:rFonts w:hint="eastAsia" w:asciiTheme="minorEastAsia" w:hAnsiTheme="minorEastAsia" w:eastAsiaTheme="minorEastAsia"/>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6" w:type="dxa"/>
          </w:tcPr>
          <w:p>
            <w:pPr>
              <w:widowControl w:val="0"/>
              <w:jc w:val="center"/>
              <w:rPr>
                <w:rFonts w:asciiTheme="minorEastAsia" w:hAnsiTheme="minorEastAsia" w:eastAsiaTheme="minorEastAsia"/>
                <w:lang w:bidi="ar"/>
              </w:rPr>
            </w:pPr>
            <w:r>
              <w:rPr>
                <w:rFonts w:hint="eastAsia" w:asciiTheme="minorEastAsia" w:hAnsiTheme="minorEastAsia" w:eastAsiaTheme="minorEastAsia"/>
                <w:lang w:bidi="ar"/>
              </w:rPr>
              <w:t>项目决策</w:t>
            </w:r>
          </w:p>
        </w:tc>
        <w:tc>
          <w:tcPr>
            <w:tcW w:w="2084" w:type="dxa"/>
          </w:tcPr>
          <w:p>
            <w:pPr>
              <w:widowControl w:val="0"/>
              <w:jc w:val="center"/>
              <w:rPr>
                <w:rFonts w:asciiTheme="minorEastAsia" w:hAnsiTheme="minorEastAsia" w:eastAsiaTheme="minorEastAsia"/>
                <w:lang w:bidi="ar"/>
              </w:rPr>
            </w:pPr>
            <w:r>
              <w:rPr>
                <w:rFonts w:hint="eastAsia" w:asciiTheme="minorEastAsia" w:hAnsiTheme="minorEastAsia" w:eastAsiaTheme="minorEastAsia"/>
                <w:lang w:bidi="ar"/>
              </w:rPr>
              <w:t>2</w:t>
            </w:r>
            <w:r>
              <w:rPr>
                <w:rFonts w:asciiTheme="minorEastAsia" w:hAnsiTheme="minorEastAsia" w:eastAsiaTheme="minorEastAsia"/>
                <w:lang w:bidi="ar"/>
              </w:rPr>
              <w:t>0.00</w:t>
            </w:r>
          </w:p>
        </w:tc>
        <w:tc>
          <w:tcPr>
            <w:tcW w:w="2080" w:type="dxa"/>
          </w:tcPr>
          <w:p>
            <w:pPr>
              <w:widowControl w:val="0"/>
              <w:jc w:val="center"/>
              <w:rPr>
                <w:rFonts w:asciiTheme="minorEastAsia" w:hAnsiTheme="minorEastAsia" w:eastAsiaTheme="minorEastAsia"/>
                <w:lang w:bidi="ar"/>
              </w:rPr>
            </w:pPr>
            <w:r>
              <w:rPr>
                <w:rFonts w:asciiTheme="minorEastAsia" w:hAnsiTheme="minorEastAsia" w:eastAsiaTheme="minorEastAsia"/>
                <w:lang w:bidi="ar"/>
              </w:rPr>
              <w:t>12.00</w:t>
            </w:r>
          </w:p>
        </w:tc>
        <w:tc>
          <w:tcPr>
            <w:tcW w:w="2066" w:type="dxa"/>
          </w:tcPr>
          <w:p>
            <w:pPr>
              <w:widowControl w:val="0"/>
              <w:jc w:val="center"/>
              <w:rPr>
                <w:rFonts w:asciiTheme="minorEastAsia" w:hAnsiTheme="minorEastAsia" w:eastAsiaTheme="minorEastAsia"/>
                <w:lang w:bidi="ar"/>
              </w:rPr>
            </w:pPr>
            <w: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6" w:type="dxa"/>
          </w:tcPr>
          <w:p>
            <w:pPr>
              <w:widowControl w:val="0"/>
              <w:jc w:val="center"/>
              <w:rPr>
                <w:rFonts w:asciiTheme="minorEastAsia" w:hAnsiTheme="minorEastAsia" w:eastAsiaTheme="minorEastAsia"/>
                <w:lang w:bidi="ar"/>
              </w:rPr>
            </w:pPr>
            <w:r>
              <w:rPr>
                <w:rFonts w:hint="eastAsia" w:asciiTheme="minorEastAsia" w:hAnsiTheme="minorEastAsia" w:eastAsiaTheme="minorEastAsia"/>
                <w:lang w:bidi="ar"/>
              </w:rPr>
              <w:t>项目过程</w:t>
            </w:r>
          </w:p>
        </w:tc>
        <w:tc>
          <w:tcPr>
            <w:tcW w:w="2084" w:type="dxa"/>
          </w:tcPr>
          <w:p>
            <w:pPr>
              <w:widowControl w:val="0"/>
              <w:jc w:val="center"/>
              <w:rPr>
                <w:rFonts w:asciiTheme="minorEastAsia" w:hAnsiTheme="minorEastAsia" w:eastAsiaTheme="minorEastAsia"/>
                <w:lang w:bidi="ar"/>
              </w:rPr>
            </w:pPr>
            <w:r>
              <w:rPr>
                <w:rFonts w:hint="eastAsia" w:asciiTheme="minorEastAsia" w:hAnsiTheme="minorEastAsia" w:eastAsiaTheme="minorEastAsia"/>
                <w:lang w:bidi="ar"/>
              </w:rPr>
              <w:t>2</w:t>
            </w:r>
            <w:r>
              <w:rPr>
                <w:rFonts w:asciiTheme="minorEastAsia" w:hAnsiTheme="minorEastAsia" w:eastAsiaTheme="minorEastAsia"/>
                <w:lang w:bidi="ar"/>
              </w:rPr>
              <w:t>5.00</w:t>
            </w:r>
          </w:p>
        </w:tc>
        <w:tc>
          <w:tcPr>
            <w:tcW w:w="2080" w:type="dxa"/>
          </w:tcPr>
          <w:p>
            <w:pPr>
              <w:widowControl w:val="0"/>
              <w:jc w:val="center"/>
              <w:rPr>
                <w:rFonts w:asciiTheme="minorEastAsia" w:hAnsiTheme="minorEastAsia" w:eastAsiaTheme="minorEastAsia"/>
                <w:lang w:bidi="ar"/>
              </w:rPr>
            </w:pPr>
            <w:r>
              <w:rPr>
                <w:rFonts w:asciiTheme="minorEastAsia" w:hAnsiTheme="minorEastAsia" w:eastAsiaTheme="minorEastAsia"/>
                <w:lang w:bidi="ar"/>
              </w:rPr>
              <w:t>22.00</w:t>
            </w:r>
          </w:p>
        </w:tc>
        <w:tc>
          <w:tcPr>
            <w:tcW w:w="2066" w:type="dxa"/>
          </w:tcPr>
          <w:p>
            <w:pPr>
              <w:widowControl w:val="0"/>
              <w:jc w:val="center"/>
              <w:rPr>
                <w:rFonts w:asciiTheme="minorEastAsia" w:hAnsiTheme="minorEastAsia" w:eastAsiaTheme="minorEastAsia"/>
                <w:lang w:bidi="ar"/>
              </w:rPr>
            </w:pPr>
            <w:r>
              <w:t>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6" w:type="dxa"/>
          </w:tcPr>
          <w:p>
            <w:pPr>
              <w:widowControl w:val="0"/>
              <w:jc w:val="center"/>
              <w:rPr>
                <w:rFonts w:asciiTheme="minorEastAsia" w:hAnsiTheme="minorEastAsia" w:eastAsiaTheme="minorEastAsia"/>
                <w:lang w:bidi="ar"/>
              </w:rPr>
            </w:pPr>
            <w:r>
              <w:rPr>
                <w:rFonts w:hint="eastAsia" w:asciiTheme="minorEastAsia" w:hAnsiTheme="minorEastAsia" w:eastAsiaTheme="minorEastAsia"/>
                <w:lang w:bidi="ar"/>
              </w:rPr>
              <w:t>项目产出</w:t>
            </w:r>
          </w:p>
        </w:tc>
        <w:tc>
          <w:tcPr>
            <w:tcW w:w="2084" w:type="dxa"/>
          </w:tcPr>
          <w:p>
            <w:pPr>
              <w:widowControl w:val="0"/>
              <w:jc w:val="center"/>
              <w:rPr>
                <w:rFonts w:asciiTheme="minorEastAsia" w:hAnsiTheme="minorEastAsia" w:eastAsiaTheme="minorEastAsia"/>
                <w:lang w:bidi="ar"/>
              </w:rPr>
            </w:pPr>
            <w:r>
              <w:rPr>
                <w:rFonts w:asciiTheme="minorEastAsia" w:hAnsiTheme="minorEastAsia" w:eastAsiaTheme="minorEastAsia"/>
                <w:lang w:bidi="ar"/>
              </w:rPr>
              <w:t>30.00</w:t>
            </w:r>
          </w:p>
        </w:tc>
        <w:tc>
          <w:tcPr>
            <w:tcW w:w="2080" w:type="dxa"/>
          </w:tcPr>
          <w:p>
            <w:pPr>
              <w:widowControl w:val="0"/>
              <w:jc w:val="center"/>
              <w:rPr>
                <w:rFonts w:asciiTheme="minorEastAsia" w:hAnsiTheme="minorEastAsia" w:eastAsiaTheme="minorEastAsia"/>
                <w:lang w:bidi="ar"/>
              </w:rPr>
            </w:pPr>
            <w:r>
              <w:rPr>
                <w:rFonts w:hint="eastAsia" w:asciiTheme="minorEastAsia" w:hAnsiTheme="minorEastAsia" w:eastAsiaTheme="minorEastAsia"/>
                <w:lang w:bidi="ar"/>
              </w:rPr>
              <w:t>3</w:t>
            </w:r>
            <w:r>
              <w:rPr>
                <w:rFonts w:asciiTheme="minorEastAsia" w:hAnsiTheme="minorEastAsia" w:eastAsiaTheme="minorEastAsia"/>
                <w:lang w:bidi="ar"/>
              </w:rPr>
              <w:t>0.00</w:t>
            </w:r>
          </w:p>
        </w:tc>
        <w:tc>
          <w:tcPr>
            <w:tcW w:w="2066" w:type="dxa"/>
          </w:tcPr>
          <w:p>
            <w:pPr>
              <w:widowControl w:val="0"/>
              <w:jc w:val="center"/>
              <w:rPr>
                <w:rFonts w:asciiTheme="minorEastAsia" w:hAnsiTheme="minorEastAsia" w:eastAsiaTheme="minorEastAsia"/>
                <w:lang w:bidi="ar"/>
              </w:rPr>
            </w:pPr>
            <w: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6" w:type="dxa"/>
          </w:tcPr>
          <w:p>
            <w:pPr>
              <w:widowControl w:val="0"/>
              <w:jc w:val="center"/>
              <w:rPr>
                <w:rFonts w:asciiTheme="minorEastAsia" w:hAnsiTheme="minorEastAsia" w:eastAsiaTheme="minorEastAsia"/>
                <w:lang w:bidi="ar"/>
              </w:rPr>
            </w:pPr>
            <w:r>
              <w:rPr>
                <w:rFonts w:hint="eastAsia" w:asciiTheme="minorEastAsia" w:hAnsiTheme="minorEastAsia" w:eastAsiaTheme="minorEastAsia"/>
                <w:lang w:bidi="ar"/>
              </w:rPr>
              <w:t>项目效益</w:t>
            </w:r>
          </w:p>
        </w:tc>
        <w:tc>
          <w:tcPr>
            <w:tcW w:w="2084" w:type="dxa"/>
          </w:tcPr>
          <w:p>
            <w:pPr>
              <w:widowControl w:val="0"/>
              <w:jc w:val="center"/>
              <w:rPr>
                <w:rFonts w:asciiTheme="minorEastAsia" w:hAnsiTheme="minorEastAsia" w:eastAsiaTheme="minorEastAsia"/>
                <w:lang w:bidi="ar"/>
              </w:rPr>
            </w:pPr>
            <w:r>
              <w:rPr>
                <w:rFonts w:asciiTheme="minorEastAsia" w:hAnsiTheme="minorEastAsia" w:eastAsiaTheme="minorEastAsia"/>
                <w:lang w:bidi="ar"/>
              </w:rPr>
              <w:t>25.00</w:t>
            </w:r>
          </w:p>
        </w:tc>
        <w:tc>
          <w:tcPr>
            <w:tcW w:w="2080" w:type="dxa"/>
          </w:tcPr>
          <w:p>
            <w:pPr>
              <w:widowControl w:val="0"/>
              <w:jc w:val="center"/>
              <w:rPr>
                <w:rFonts w:asciiTheme="minorEastAsia" w:hAnsiTheme="minorEastAsia" w:eastAsiaTheme="minorEastAsia"/>
                <w:lang w:bidi="ar"/>
              </w:rPr>
            </w:pPr>
            <w:r>
              <w:rPr>
                <w:rFonts w:hint="eastAsia" w:asciiTheme="minorEastAsia" w:hAnsiTheme="minorEastAsia" w:eastAsiaTheme="minorEastAsia"/>
                <w:lang w:bidi="ar"/>
              </w:rPr>
              <w:t>2</w:t>
            </w:r>
            <w:r>
              <w:rPr>
                <w:rFonts w:asciiTheme="minorEastAsia" w:hAnsiTheme="minorEastAsia" w:eastAsiaTheme="minorEastAsia"/>
                <w:lang w:bidi="ar"/>
              </w:rPr>
              <w:t>1.00</w:t>
            </w:r>
          </w:p>
        </w:tc>
        <w:tc>
          <w:tcPr>
            <w:tcW w:w="2066" w:type="dxa"/>
          </w:tcPr>
          <w:p>
            <w:pPr>
              <w:widowControl w:val="0"/>
              <w:jc w:val="center"/>
              <w:rPr>
                <w:rFonts w:asciiTheme="minorEastAsia" w:hAnsiTheme="minorEastAsia" w:eastAsiaTheme="minorEastAsia"/>
                <w:lang w:bidi="ar"/>
              </w:rPr>
            </w:pPr>
            <w:r>
              <w:t>84.00%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6" w:type="dxa"/>
          </w:tcPr>
          <w:p>
            <w:pPr>
              <w:widowControl w:val="0"/>
              <w:jc w:val="center"/>
              <w:rPr>
                <w:rFonts w:asciiTheme="minorEastAsia" w:hAnsiTheme="minorEastAsia" w:eastAsiaTheme="minorEastAsia"/>
                <w:lang w:bidi="ar"/>
              </w:rPr>
            </w:pPr>
            <w:r>
              <w:rPr>
                <w:rFonts w:hint="eastAsia" w:asciiTheme="minorEastAsia" w:hAnsiTheme="minorEastAsia" w:eastAsiaTheme="minorEastAsia"/>
                <w:lang w:bidi="ar"/>
              </w:rPr>
              <w:t>合计</w:t>
            </w:r>
          </w:p>
        </w:tc>
        <w:tc>
          <w:tcPr>
            <w:tcW w:w="2084" w:type="dxa"/>
          </w:tcPr>
          <w:p>
            <w:pPr>
              <w:widowControl w:val="0"/>
              <w:jc w:val="center"/>
              <w:rPr>
                <w:rFonts w:asciiTheme="minorEastAsia" w:hAnsiTheme="minorEastAsia" w:eastAsiaTheme="minorEastAsia"/>
                <w:lang w:bidi="ar"/>
              </w:rPr>
            </w:pPr>
            <w:r>
              <w:rPr>
                <w:rFonts w:hint="eastAsia" w:asciiTheme="minorEastAsia" w:hAnsiTheme="minorEastAsia" w:eastAsiaTheme="minorEastAsia"/>
                <w:lang w:bidi="ar"/>
              </w:rPr>
              <w:t>1</w:t>
            </w:r>
            <w:r>
              <w:rPr>
                <w:rFonts w:asciiTheme="minorEastAsia" w:hAnsiTheme="minorEastAsia" w:eastAsiaTheme="minorEastAsia"/>
                <w:lang w:bidi="ar"/>
              </w:rPr>
              <w:t>00.00</w:t>
            </w:r>
          </w:p>
        </w:tc>
        <w:tc>
          <w:tcPr>
            <w:tcW w:w="2080" w:type="dxa"/>
          </w:tcPr>
          <w:p>
            <w:pPr>
              <w:widowControl w:val="0"/>
              <w:jc w:val="center"/>
              <w:rPr>
                <w:rFonts w:asciiTheme="minorEastAsia" w:hAnsiTheme="minorEastAsia" w:eastAsiaTheme="minorEastAsia"/>
                <w:lang w:bidi="ar"/>
              </w:rPr>
            </w:pPr>
            <w:r>
              <w:rPr>
                <w:rFonts w:asciiTheme="minorEastAsia" w:hAnsiTheme="minorEastAsia" w:eastAsiaTheme="minorEastAsia"/>
                <w:lang w:bidi="ar"/>
              </w:rPr>
              <w:t>85.00</w:t>
            </w:r>
          </w:p>
        </w:tc>
        <w:tc>
          <w:tcPr>
            <w:tcW w:w="2066" w:type="dxa"/>
          </w:tcPr>
          <w:p>
            <w:pPr>
              <w:widowControl w:val="0"/>
              <w:jc w:val="center"/>
              <w:rPr>
                <w:rFonts w:asciiTheme="minorEastAsia" w:hAnsiTheme="minorEastAsia" w:eastAsiaTheme="minorEastAsia"/>
                <w:lang w:bidi="ar"/>
              </w:rPr>
            </w:pPr>
            <w:r>
              <w:t>85.00%</w:t>
            </w:r>
          </w:p>
        </w:tc>
      </w:tr>
    </w:tbl>
    <w:p>
      <w:pPr>
        <w:spacing w:line="500" w:lineRule="exact"/>
        <w:ind w:firstLine="480" w:firstLineChars="200"/>
        <w:rPr>
          <w:bCs/>
          <w:lang w:bidi="ar"/>
        </w:rPr>
      </w:pPr>
    </w:p>
    <w:p>
      <w:pPr>
        <w:spacing w:line="500" w:lineRule="exact"/>
        <w:ind w:firstLine="480" w:firstLineChars="200"/>
        <w:rPr>
          <w:bCs/>
          <w:lang w:bidi="ar"/>
        </w:rPr>
      </w:pPr>
      <w:r>
        <w:rPr>
          <w:rFonts w:hint="eastAsia"/>
          <w:lang w:bidi="ar"/>
        </w:rPr>
        <w:t>该项目在项目决策方面，立项依据充分、规范，绩效目标设置不够合理、具体指标不明确，资金投入预算编制不够科学、缺少资金分配依据；在项目过程方面，资金管理到位，预算执行与计划基本相符，组织机构健全，资金使用合规；在项目产出方面，产出效果较为显著，对提高东丽区公众安全生产意识促进作用显著。</w:t>
      </w:r>
    </w:p>
    <w:p>
      <w:pPr>
        <w:spacing w:line="500" w:lineRule="exact"/>
        <w:ind w:firstLine="480" w:firstLineChars="200"/>
        <w:outlineLvl w:val="1"/>
        <w:rPr>
          <w:bCs/>
          <w:lang w:bidi="ar"/>
        </w:rPr>
      </w:pPr>
      <w:bookmarkStart w:id="21" w:name="_Toc8408"/>
      <w:r>
        <w:rPr>
          <w:rFonts w:hint="eastAsia"/>
          <w:bCs/>
          <w:lang w:bidi="ar"/>
        </w:rPr>
        <w:t>（二）项目所实现的主要绩效</w:t>
      </w:r>
      <w:bookmarkEnd w:id="21"/>
    </w:p>
    <w:p>
      <w:pPr>
        <w:spacing w:line="500" w:lineRule="exact"/>
        <w:ind w:firstLine="480"/>
      </w:pPr>
      <w:r>
        <w:rPr>
          <w:rFonts w:hint="eastAsia"/>
        </w:rPr>
        <w:t>2</w:t>
      </w:r>
      <w:r>
        <w:t>020</w:t>
      </w:r>
      <w:r>
        <w:rPr>
          <w:rFonts w:hint="eastAsia"/>
        </w:rPr>
        <w:t>年度开展宣传教育经费工作内容包括：安全生产月宣传、线上宣传活动、发放危化学习读本、安装应急避难疏散牌、发放防灾减灾宣传用品、通过微信公众号宣传安全生产知识等。具体活动开展情况如下：</w:t>
      </w:r>
    </w:p>
    <w:p>
      <w:pPr>
        <w:spacing w:line="500" w:lineRule="exact"/>
        <w:ind w:firstLine="480"/>
      </w:pPr>
      <w:r>
        <w:rPr>
          <w:rFonts w:hint="eastAsia"/>
        </w:rPr>
        <w:t>1、以“落实安全责任，推动安全发展”为主题，开展“安全生产月”系列活动。活动形式包括：组组织专题学习、组织观看《生命重于泰山——学习习近平总书记关于安全生产重要论述》电视专题片、集中开展“领导干部讲安全”活动等。活动开展中，发动群众参与安全生产工作，增强群众风险防范、安全应急意识，将安全意识落实到居民生活、企业生产中，助力东丽区区安全生产专项整治三年行动集中攻坚和综合整治行动扎实开展，促进</w:t>
      </w:r>
      <w:r>
        <w:t>营造安全稳定环境。</w:t>
      </w:r>
    </w:p>
    <w:p>
      <w:pPr>
        <w:spacing w:line="500" w:lineRule="exact"/>
        <w:ind w:firstLine="480"/>
      </w:pPr>
      <w:r>
        <w:rPr>
          <w:rFonts w:hint="eastAsia"/>
        </w:rPr>
        <w:t>2、</w:t>
      </w:r>
      <w:r>
        <w:t>利用多种形式做好防灾减灾宣传活动，</w:t>
      </w:r>
      <w:r>
        <w:rPr>
          <w:rFonts w:hint="eastAsia"/>
        </w:rPr>
        <w:t>组织参观“</w:t>
      </w:r>
      <w:r>
        <w:t>512”防灾减灾救灾宣传展板，了解防灾减灾救灾知识</w:t>
      </w:r>
      <w:r>
        <w:rPr>
          <w:rFonts w:hint="eastAsia"/>
        </w:rPr>
        <w:t>；</w:t>
      </w:r>
      <w:r>
        <w:t>利用宣传大屏幕播放宣传标语和防灾减灾宣传片</w:t>
      </w:r>
      <w:r>
        <w:rPr>
          <w:rFonts w:hint="eastAsia"/>
        </w:rPr>
        <w:t>；开展了防灾减灾应急演练活动，建立健全应急联动体系，优化应急资源配置，进一步提升了应急救援能力，增强了跨区联动、协同作战能力。</w:t>
      </w:r>
      <w:r>
        <w:tab/>
      </w:r>
    </w:p>
    <w:p>
      <w:pPr>
        <w:spacing w:line="500" w:lineRule="exact"/>
        <w:ind w:firstLine="480"/>
      </w:pPr>
      <w:r>
        <w:rPr>
          <w:rFonts w:hint="eastAsia"/>
        </w:rPr>
        <w:t>3、按照《天津市全面加强危险化学品安全生产重点工作任务清单》要求，东丽区共涉及</w:t>
      </w:r>
      <w:r>
        <w:t>89项任务。2020年底前必须需完成10项任务，</w:t>
      </w:r>
      <w:r>
        <w:rPr>
          <w:rFonts w:hint="eastAsia"/>
        </w:rPr>
        <w:t>截至2</w:t>
      </w:r>
      <w:r>
        <w:t>020</w:t>
      </w:r>
      <w:r>
        <w:rPr>
          <w:rFonts w:hint="eastAsia"/>
        </w:rPr>
        <w:t>年年底均已完成。通过全面系统排查，消除风险隐患，共检查企业</w:t>
      </w:r>
      <w:r>
        <w:t>274家次，共排查出隐患490处，现已整改490处</w:t>
      </w:r>
      <w:r>
        <w:rPr>
          <w:rFonts w:hint="eastAsia"/>
        </w:rPr>
        <w:t>；参加市局组织的危化安全监管执法干部业务知识培训和实操训练</w:t>
      </w:r>
      <w:r>
        <w:t>1次</w:t>
      </w:r>
      <w:r>
        <w:rPr>
          <w:rFonts w:hint="eastAsia"/>
        </w:rPr>
        <w:t>；分发学习读本</w:t>
      </w:r>
      <w:r>
        <w:t>100本</w:t>
      </w:r>
      <w:r>
        <w:rPr>
          <w:rFonts w:hint="eastAsia"/>
        </w:rPr>
        <w:t>，组织集中观看宣传片等。通过以上活动开展，提高风险管控能力，提升东丽区安全水平。</w:t>
      </w:r>
    </w:p>
    <w:p>
      <w:pPr>
        <w:spacing w:line="360" w:lineRule="auto"/>
        <w:ind w:firstLine="482" w:firstLineChars="200"/>
        <w:outlineLvl w:val="0"/>
        <w:rPr>
          <w:b/>
          <w:lang w:bidi="ar"/>
        </w:rPr>
      </w:pPr>
      <w:bookmarkStart w:id="22" w:name="_Toc3497"/>
      <w:r>
        <w:rPr>
          <w:rFonts w:hint="eastAsia"/>
          <w:b/>
          <w:lang w:bidi="ar"/>
        </w:rPr>
        <w:t>五</w:t>
      </w:r>
      <w:r>
        <w:rPr>
          <w:b/>
          <w:lang w:bidi="ar"/>
        </w:rPr>
        <w:t>、</w:t>
      </w:r>
      <w:r>
        <w:rPr>
          <w:rFonts w:hint="eastAsia"/>
          <w:b/>
          <w:lang w:bidi="ar"/>
        </w:rPr>
        <w:t>绩效评价指标分析</w:t>
      </w:r>
      <w:bookmarkEnd w:id="22"/>
    </w:p>
    <w:p>
      <w:pPr>
        <w:spacing w:line="500" w:lineRule="exact"/>
        <w:ind w:firstLine="480" w:firstLineChars="200"/>
        <w:outlineLvl w:val="1"/>
        <w:rPr>
          <w:bCs/>
          <w:lang w:bidi="ar"/>
        </w:rPr>
      </w:pPr>
      <w:bookmarkStart w:id="23" w:name="_Toc7849"/>
      <w:r>
        <w:rPr>
          <w:rFonts w:hint="eastAsia"/>
          <w:bCs/>
          <w:lang w:bidi="ar"/>
        </w:rPr>
        <w:t>（一）项目决策</w:t>
      </w:r>
      <w:bookmarkEnd w:id="23"/>
    </w:p>
    <w:p>
      <w:pPr>
        <w:spacing w:line="500" w:lineRule="exact"/>
        <w:ind w:firstLine="480" w:firstLineChars="200"/>
        <w:rPr>
          <w:bCs/>
          <w:lang w:bidi="ar"/>
        </w:rPr>
      </w:pPr>
      <w:r>
        <w:rPr>
          <w:rFonts w:hint="eastAsia"/>
          <w:bCs/>
          <w:lang w:bidi="ar"/>
        </w:rPr>
        <w:t>项目决策下设项目立项、绩效目标、资金投入三大类二级指标，设计总分20分；经评价该项总计得分12分，具体评价过程和理由分述如下：</w:t>
      </w:r>
    </w:p>
    <w:p>
      <w:pPr>
        <w:spacing w:line="500" w:lineRule="exact"/>
        <w:ind w:firstLine="480" w:firstLineChars="200"/>
        <w:rPr>
          <w:bCs/>
          <w:lang w:bidi="ar"/>
        </w:rPr>
      </w:pPr>
      <w:r>
        <w:rPr>
          <w:rFonts w:hint="eastAsia"/>
          <w:bCs/>
          <w:lang w:bidi="ar"/>
        </w:rPr>
        <w:t>1、项目立项</w:t>
      </w:r>
    </w:p>
    <w:p>
      <w:pPr>
        <w:spacing w:line="500" w:lineRule="exact"/>
        <w:ind w:firstLine="480" w:firstLineChars="200"/>
        <w:rPr>
          <w:bCs/>
          <w:lang w:bidi="ar"/>
        </w:rPr>
      </w:pPr>
      <w:r>
        <w:rPr>
          <w:rFonts w:hint="eastAsia"/>
          <w:bCs/>
          <w:lang w:bidi="ar"/>
        </w:rPr>
        <w:t>（1）立项依据充分性</w:t>
      </w:r>
    </w:p>
    <w:p>
      <w:pPr>
        <w:spacing w:line="500" w:lineRule="exact"/>
        <w:ind w:firstLine="480"/>
        <w:rPr>
          <w:bCs/>
          <w:lang w:bidi="ar"/>
        </w:rPr>
      </w:pPr>
      <w:r>
        <w:rPr>
          <w:rFonts w:hint="eastAsia"/>
        </w:rPr>
        <w:t>为做好2</w:t>
      </w:r>
      <w:r>
        <w:t>020</w:t>
      </w:r>
      <w:r>
        <w:rPr>
          <w:rFonts w:hint="eastAsia"/>
        </w:rPr>
        <w:t>年“安全生产月”有关工作，切实提升各项活动宣传效果，按照《区安委会办公室关于开展2</w:t>
      </w:r>
      <w:r>
        <w:t>020</w:t>
      </w:r>
      <w:r>
        <w:rPr>
          <w:rFonts w:hint="eastAsia"/>
        </w:rPr>
        <w:t>年“安全生产月”和“安全生产万里行”活动的通知》的相关安排，区应急局综合协调科组织开展宣传教育活动，立项依据充分，计4分。</w:t>
      </w:r>
    </w:p>
    <w:p>
      <w:pPr>
        <w:spacing w:line="500" w:lineRule="exact"/>
        <w:ind w:firstLine="600" w:firstLineChars="250"/>
        <w:rPr>
          <w:bCs/>
          <w:lang w:bidi="ar"/>
        </w:rPr>
      </w:pPr>
      <w:r>
        <w:rPr>
          <w:rFonts w:hint="eastAsia"/>
          <w:bCs/>
          <w:lang w:bidi="ar"/>
        </w:rPr>
        <w:t>（2）立项程序规范性</w:t>
      </w:r>
    </w:p>
    <w:p>
      <w:pPr>
        <w:spacing w:line="500" w:lineRule="exact"/>
        <w:ind w:firstLine="480"/>
        <w:rPr>
          <w:bCs/>
          <w:lang w:bidi="ar"/>
        </w:rPr>
      </w:pPr>
      <w:r>
        <w:rPr>
          <w:rFonts w:hint="eastAsia"/>
        </w:rPr>
        <w:t>区应急局按照《区安委会办公室关于开展2</w:t>
      </w:r>
      <w:r>
        <w:t>020</w:t>
      </w:r>
      <w:r>
        <w:rPr>
          <w:rFonts w:hint="eastAsia"/>
        </w:rPr>
        <w:t>年“安全生产月”和“安全生产万里行”活动的通知》的相关安排申请宣传教育经费立项</w:t>
      </w:r>
      <w:r>
        <w:rPr>
          <w:rFonts w:hint="eastAsia"/>
          <w:bCs/>
          <w:lang w:bidi="ar"/>
        </w:rPr>
        <w:t>，立项程序规范，</w:t>
      </w:r>
      <w:r>
        <w:rPr>
          <w:rFonts w:hint="eastAsia"/>
        </w:rPr>
        <w:t>计4分。</w:t>
      </w:r>
    </w:p>
    <w:p>
      <w:pPr>
        <w:pStyle w:val="5"/>
        <w:ind w:firstLine="480" w:firstLineChars="200"/>
        <w:rPr>
          <w:rFonts w:cs="宋体"/>
        </w:rPr>
      </w:pPr>
      <w:r>
        <w:rPr>
          <w:rFonts w:hint="eastAsia" w:cs="宋体"/>
          <w:lang w:bidi="ar"/>
        </w:rPr>
        <w:t>2、项目绩效</w:t>
      </w:r>
    </w:p>
    <w:p>
      <w:pPr>
        <w:spacing w:line="500" w:lineRule="exact"/>
        <w:rPr>
          <w:bCs/>
          <w:lang w:bidi="ar"/>
        </w:rPr>
      </w:pPr>
      <w:r>
        <w:rPr>
          <w:rFonts w:hint="eastAsia"/>
          <w:bCs/>
          <w:lang w:bidi="ar"/>
        </w:rPr>
        <w:t xml:space="preserve">    （1）绩效目标合理性</w:t>
      </w:r>
    </w:p>
    <w:p>
      <w:pPr>
        <w:spacing w:line="500" w:lineRule="exact"/>
        <w:ind w:firstLine="480"/>
        <w:rPr>
          <w:bCs/>
          <w:lang w:bidi="ar"/>
        </w:rPr>
      </w:pPr>
      <w:r>
        <w:rPr>
          <w:rFonts w:hint="eastAsia"/>
          <w:bCs/>
          <w:lang w:bidi="ar"/>
        </w:rPr>
        <w:t>针对2</w:t>
      </w:r>
      <w:r>
        <w:rPr>
          <w:bCs/>
          <w:lang w:bidi="ar"/>
        </w:rPr>
        <w:t>020</w:t>
      </w:r>
      <w:r>
        <w:rPr>
          <w:rFonts w:hint="eastAsia"/>
          <w:bCs/>
          <w:lang w:bidi="ar"/>
        </w:rPr>
        <w:t>年度宣传教育经费填报绩效目标表，但整体绩效目标表合理性不足，未设置</w:t>
      </w:r>
      <w:r>
        <w:rPr>
          <w:rFonts w:hint="eastAsia"/>
        </w:rPr>
        <w:t>产出数量指标、成本指标等内容，</w:t>
      </w:r>
      <w:r>
        <w:rPr>
          <w:rFonts w:hint="eastAsia"/>
          <w:bCs/>
          <w:lang w:bidi="ar"/>
        </w:rPr>
        <w:t>绩效目标合理性不足，不便于对绩效目标实现情况的考核，扣</w:t>
      </w:r>
      <w:r>
        <w:rPr>
          <w:bCs/>
          <w:lang w:bidi="ar"/>
        </w:rPr>
        <w:t>2</w:t>
      </w:r>
      <w:r>
        <w:rPr>
          <w:rFonts w:hint="eastAsia"/>
          <w:bCs/>
          <w:lang w:bidi="ar"/>
        </w:rPr>
        <w:t>分，计1分。</w:t>
      </w:r>
    </w:p>
    <w:p>
      <w:pPr>
        <w:spacing w:line="500" w:lineRule="exact"/>
        <w:ind w:firstLine="600" w:firstLineChars="250"/>
        <w:rPr>
          <w:bCs/>
          <w:lang w:bidi="ar"/>
        </w:rPr>
      </w:pPr>
      <w:r>
        <w:rPr>
          <w:rFonts w:hint="eastAsia"/>
          <w:bCs/>
          <w:lang w:bidi="ar"/>
        </w:rPr>
        <w:t>（2）绩效目标明确性</w:t>
      </w:r>
    </w:p>
    <w:p>
      <w:pPr>
        <w:spacing w:line="500" w:lineRule="exact"/>
        <w:ind w:firstLine="480"/>
      </w:pPr>
      <w:r>
        <w:rPr>
          <w:rFonts w:hint="eastAsia"/>
        </w:rPr>
        <w:t>未针对年度宣传教育工作开展情况设置产出数量指标、成本指标等内容，产出质量指标内容为“进一步提高”，未明确年度印刷活动资料内容、批次或数量情况，缺少对年度开展宣传教育活动形式、次数、内容设定。产出时效指标不明确，绩效目标表内容不明确</w:t>
      </w:r>
      <w:r>
        <w:rPr>
          <w:rFonts w:hint="eastAsia"/>
          <w:bCs/>
          <w:lang w:bidi="ar"/>
        </w:rPr>
        <w:t>。扣</w:t>
      </w:r>
      <w:r>
        <w:rPr>
          <w:bCs/>
          <w:lang w:bidi="ar"/>
        </w:rPr>
        <w:t>2</w:t>
      </w:r>
      <w:r>
        <w:rPr>
          <w:rFonts w:hint="eastAsia"/>
          <w:bCs/>
          <w:lang w:bidi="ar"/>
        </w:rPr>
        <w:t>分，计1分。</w:t>
      </w:r>
    </w:p>
    <w:p>
      <w:pPr>
        <w:spacing w:line="500" w:lineRule="exact"/>
        <w:ind w:firstLine="600" w:firstLineChars="250"/>
        <w:rPr>
          <w:bCs/>
          <w:lang w:bidi="ar"/>
        </w:rPr>
      </w:pPr>
      <w:r>
        <w:rPr>
          <w:rFonts w:hint="eastAsia"/>
          <w:bCs/>
          <w:lang w:bidi="ar"/>
        </w:rPr>
        <w:t>3、资金投入</w:t>
      </w:r>
    </w:p>
    <w:p>
      <w:pPr>
        <w:spacing w:line="500" w:lineRule="exact"/>
        <w:ind w:firstLine="600" w:firstLineChars="250"/>
        <w:rPr>
          <w:bCs/>
          <w:lang w:bidi="ar"/>
        </w:rPr>
      </w:pPr>
      <w:r>
        <w:rPr>
          <w:rFonts w:hint="eastAsia"/>
          <w:bCs/>
          <w:lang w:bidi="ar"/>
        </w:rPr>
        <w:t>（1）预算编制科学性</w:t>
      </w:r>
    </w:p>
    <w:p>
      <w:pPr>
        <w:spacing w:line="500" w:lineRule="exact"/>
        <w:ind w:firstLine="480" w:firstLineChars="200"/>
      </w:pPr>
      <w:r>
        <w:rPr>
          <w:rFonts w:hint="eastAsia"/>
        </w:rPr>
        <w:t>2</w:t>
      </w:r>
      <w:r>
        <w:t>020</w:t>
      </w:r>
      <w:r>
        <w:rPr>
          <w:rFonts w:hint="eastAsia"/>
        </w:rPr>
        <w:t>年宣传教育经费年度预算</w:t>
      </w:r>
      <w:r>
        <w:t>10</w:t>
      </w:r>
      <w:r>
        <w:rPr>
          <w:rFonts w:hint="eastAsia"/>
        </w:rPr>
        <w:t>万元，未提供1</w:t>
      </w:r>
      <w:r>
        <w:t>0</w:t>
      </w:r>
      <w:r>
        <w:rPr>
          <w:rFonts w:hint="eastAsia"/>
        </w:rPr>
        <w:t>万元预算构成明细，预算编制科学性不足，</w:t>
      </w:r>
      <w:r>
        <w:rPr>
          <w:rFonts w:hint="eastAsia"/>
          <w:bCs/>
          <w:lang w:bidi="ar"/>
        </w:rPr>
        <w:t>扣</w:t>
      </w:r>
      <w:r>
        <w:rPr>
          <w:bCs/>
          <w:lang w:bidi="ar"/>
        </w:rPr>
        <w:t>2</w:t>
      </w:r>
      <w:r>
        <w:rPr>
          <w:rFonts w:hint="eastAsia"/>
          <w:bCs/>
          <w:lang w:bidi="ar"/>
        </w:rPr>
        <w:t>分，计1分。</w:t>
      </w:r>
    </w:p>
    <w:p>
      <w:pPr>
        <w:spacing w:line="500" w:lineRule="exact"/>
        <w:ind w:firstLine="480" w:firstLineChars="200"/>
      </w:pPr>
      <w:r>
        <w:rPr>
          <w:rFonts w:hint="eastAsia"/>
        </w:rPr>
        <w:t>（2）资金分配合理性</w:t>
      </w:r>
    </w:p>
    <w:p>
      <w:pPr>
        <w:spacing w:line="500" w:lineRule="exact"/>
        <w:ind w:firstLine="480" w:firstLineChars="200"/>
        <w:rPr>
          <w:bCs/>
          <w:sz w:val="28"/>
          <w:szCs w:val="28"/>
          <w:lang w:bidi="ar"/>
        </w:rPr>
      </w:pPr>
      <w:r>
        <w:rPr>
          <w:rFonts w:hint="eastAsia"/>
        </w:rPr>
        <w:t>资金缺少明细构成，资金分配合理性不足，</w:t>
      </w:r>
      <w:r>
        <w:rPr>
          <w:rFonts w:hint="eastAsia"/>
          <w:bCs/>
          <w:lang w:bidi="ar"/>
        </w:rPr>
        <w:t>扣</w:t>
      </w:r>
      <w:r>
        <w:rPr>
          <w:bCs/>
          <w:lang w:bidi="ar"/>
        </w:rPr>
        <w:t>2</w:t>
      </w:r>
      <w:r>
        <w:rPr>
          <w:rFonts w:hint="eastAsia"/>
          <w:bCs/>
          <w:lang w:bidi="ar"/>
        </w:rPr>
        <w:t>分，计1分</w:t>
      </w:r>
      <w:r>
        <w:rPr>
          <w:rFonts w:hint="eastAsia"/>
        </w:rPr>
        <w:t>。</w:t>
      </w:r>
    </w:p>
    <w:p>
      <w:pPr>
        <w:spacing w:line="500" w:lineRule="exact"/>
        <w:ind w:firstLine="480" w:firstLineChars="200"/>
        <w:outlineLvl w:val="1"/>
        <w:rPr>
          <w:bCs/>
          <w:lang w:bidi="ar"/>
        </w:rPr>
      </w:pPr>
      <w:bookmarkStart w:id="24" w:name="_Toc10944"/>
      <w:r>
        <w:rPr>
          <w:rFonts w:hint="eastAsia"/>
          <w:bCs/>
          <w:lang w:bidi="ar"/>
        </w:rPr>
        <w:t>（二）项目过程</w:t>
      </w:r>
      <w:bookmarkEnd w:id="24"/>
    </w:p>
    <w:p>
      <w:pPr>
        <w:spacing w:line="500" w:lineRule="exact"/>
        <w:ind w:firstLine="480" w:firstLineChars="200"/>
      </w:pPr>
      <w:r>
        <w:rPr>
          <w:rFonts w:hint="eastAsia"/>
          <w:bCs/>
          <w:lang w:bidi="ar"/>
        </w:rPr>
        <w:t>项目过程下设资金管理、组织实施两大类二级指标，设计总分25分；经评价，该项总计得分22分，具体评价过程和理由分述如下：</w:t>
      </w:r>
    </w:p>
    <w:p>
      <w:pPr>
        <w:spacing w:line="500" w:lineRule="exact"/>
        <w:ind w:firstLine="480"/>
      </w:pPr>
      <w:r>
        <w:rPr>
          <w:rFonts w:hint="eastAsia"/>
        </w:rPr>
        <w:t>1、资金管理</w:t>
      </w:r>
    </w:p>
    <w:p>
      <w:pPr>
        <w:spacing w:line="500" w:lineRule="exact"/>
        <w:ind w:firstLine="480" w:firstLineChars="200"/>
        <w:rPr>
          <w:bCs/>
          <w:lang w:bidi="ar"/>
        </w:rPr>
      </w:pPr>
      <w:r>
        <w:rPr>
          <w:rFonts w:hint="eastAsia"/>
          <w:bCs/>
          <w:lang w:bidi="ar"/>
        </w:rPr>
        <w:t>（1）资金到位率：</w:t>
      </w:r>
      <w:r>
        <w:rPr>
          <w:rFonts w:hint="eastAsia"/>
        </w:rPr>
        <w:t>宣传教育经费年度预算为</w:t>
      </w:r>
      <w:r>
        <w:t>10</w:t>
      </w:r>
      <w:r>
        <w:rPr>
          <w:rFonts w:hint="eastAsia"/>
        </w:rPr>
        <w:t>万元，2</w:t>
      </w:r>
      <w:r>
        <w:t>020</w:t>
      </w:r>
      <w:r>
        <w:rPr>
          <w:rFonts w:hint="eastAsia"/>
        </w:rPr>
        <w:t>年度实际到位资金</w:t>
      </w:r>
      <w:r>
        <w:t>10</w:t>
      </w:r>
      <w:r>
        <w:rPr>
          <w:rFonts w:hint="eastAsia"/>
        </w:rPr>
        <w:t>万元，资金到位率为100%，计5分。</w:t>
      </w:r>
    </w:p>
    <w:p>
      <w:pPr>
        <w:spacing w:line="500" w:lineRule="exact"/>
        <w:ind w:firstLine="480" w:firstLineChars="200"/>
        <w:rPr>
          <w:bCs/>
          <w:lang w:bidi="ar"/>
        </w:rPr>
      </w:pPr>
      <w:r>
        <w:rPr>
          <w:rFonts w:hint="eastAsia"/>
          <w:bCs/>
          <w:lang w:bidi="ar"/>
        </w:rPr>
        <w:t>（2）项目预算执行率：该项目预算到位金额为</w:t>
      </w:r>
      <w:r>
        <w:rPr>
          <w:bCs/>
          <w:lang w:bidi="ar"/>
        </w:rPr>
        <w:t>10</w:t>
      </w:r>
      <w:r>
        <w:rPr>
          <w:rFonts w:hint="eastAsia"/>
          <w:bCs/>
          <w:lang w:bidi="ar"/>
        </w:rPr>
        <w:t>万元，项目实际执行金额为</w:t>
      </w:r>
      <w:r>
        <w:rPr>
          <w:bCs/>
          <w:lang w:bidi="ar"/>
        </w:rPr>
        <w:t>8.54</w:t>
      </w:r>
      <w:r>
        <w:rPr>
          <w:rFonts w:hint="eastAsia"/>
          <w:bCs/>
          <w:lang w:bidi="ar"/>
        </w:rPr>
        <w:t>万元，预算执行率为</w:t>
      </w:r>
      <w:r>
        <w:rPr>
          <w:bCs/>
          <w:lang w:bidi="ar"/>
        </w:rPr>
        <w:t>85.4</w:t>
      </w:r>
      <w:r>
        <w:rPr>
          <w:rFonts w:hint="eastAsia"/>
          <w:bCs/>
          <w:lang w:bidi="ar"/>
        </w:rPr>
        <w:t>%，扣1分，计</w:t>
      </w:r>
      <w:r>
        <w:rPr>
          <w:bCs/>
          <w:lang w:bidi="ar"/>
        </w:rPr>
        <w:t>4</w:t>
      </w:r>
      <w:r>
        <w:rPr>
          <w:rFonts w:hint="eastAsia"/>
          <w:bCs/>
          <w:lang w:bidi="ar"/>
        </w:rPr>
        <w:t>分。</w:t>
      </w:r>
    </w:p>
    <w:p>
      <w:pPr>
        <w:spacing w:line="500" w:lineRule="exact"/>
        <w:ind w:firstLine="480" w:firstLineChars="200"/>
      </w:pPr>
      <w:r>
        <w:rPr>
          <w:rFonts w:hint="eastAsia"/>
        </w:rPr>
        <w:t>（3）</w:t>
      </w:r>
      <w:r>
        <w:rPr>
          <w:rFonts w:hint="eastAsia"/>
          <w:bCs/>
          <w:lang w:bidi="ar"/>
        </w:rPr>
        <w:t>资金使用合规性：</w:t>
      </w:r>
      <w:r>
        <w:rPr>
          <w:rFonts w:hint="eastAsia"/>
        </w:rPr>
        <w:t>我们检查了区应急局宣传教育经费项目收支财务明细账、记账凭证、合同签署等资料，2</w:t>
      </w:r>
      <w:r>
        <w:t>020</w:t>
      </w:r>
      <w:r>
        <w:rPr>
          <w:rFonts w:hint="eastAsia"/>
        </w:rPr>
        <w:t>年度经费支出内容如下：</w:t>
      </w:r>
    </w:p>
    <w:tbl>
      <w:tblPr>
        <w:tblStyle w:val="13"/>
        <w:tblW w:w="5000" w:type="pct"/>
        <w:tblInd w:w="0" w:type="dxa"/>
        <w:tblLayout w:type="autofit"/>
        <w:tblCellMar>
          <w:top w:w="0" w:type="dxa"/>
          <w:left w:w="108" w:type="dxa"/>
          <w:bottom w:w="0" w:type="dxa"/>
          <w:right w:w="108" w:type="dxa"/>
        </w:tblCellMar>
      </w:tblPr>
      <w:tblGrid>
        <w:gridCol w:w="1051"/>
        <w:gridCol w:w="4880"/>
        <w:gridCol w:w="2591"/>
      </w:tblGrid>
      <w:tr>
        <w:tblPrEx>
          <w:tblCellMar>
            <w:top w:w="0" w:type="dxa"/>
            <w:left w:w="108" w:type="dxa"/>
            <w:bottom w:w="0" w:type="dxa"/>
            <w:right w:w="108" w:type="dxa"/>
          </w:tblCellMar>
        </w:tblPrEx>
        <w:trPr>
          <w:trHeight w:val="270" w:hRule="atLeast"/>
        </w:trPr>
        <w:tc>
          <w:tcPr>
            <w:tcW w:w="617" w:type="pct"/>
            <w:tcBorders>
              <w:top w:val="single" w:color="auto" w:sz="4" w:space="0"/>
              <w:left w:val="single" w:color="auto" w:sz="4" w:space="0"/>
              <w:bottom w:val="single" w:color="auto" w:sz="4" w:space="0"/>
              <w:right w:val="single" w:color="auto" w:sz="4" w:space="0"/>
            </w:tcBorders>
            <w:shd w:val="clear" w:color="auto" w:fill="auto"/>
            <w:noWrap/>
            <w:vAlign w:val="bottom"/>
          </w:tcPr>
          <w:p>
            <w:pPr>
              <w:jc w:val="center"/>
              <w:rPr>
                <w:color w:val="000000"/>
                <w:sz w:val="22"/>
                <w:szCs w:val="22"/>
              </w:rPr>
            </w:pPr>
            <w:r>
              <w:rPr>
                <w:rFonts w:hint="eastAsia"/>
                <w:color w:val="000000"/>
                <w:sz w:val="22"/>
                <w:szCs w:val="22"/>
              </w:rPr>
              <w:t>序号</w:t>
            </w:r>
          </w:p>
        </w:tc>
        <w:tc>
          <w:tcPr>
            <w:tcW w:w="2863" w:type="pct"/>
            <w:tcBorders>
              <w:top w:val="single" w:color="auto" w:sz="4" w:space="0"/>
              <w:left w:val="nil"/>
              <w:bottom w:val="single" w:color="auto" w:sz="4" w:space="0"/>
              <w:right w:val="single" w:color="auto" w:sz="4" w:space="0"/>
            </w:tcBorders>
            <w:shd w:val="clear" w:color="auto" w:fill="auto"/>
            <w:noWrap/>
            <w:vAlign w:val="bottom"/>
          </w:tcPr>
          <w:p>
            <w:pPr>
              <w:jc w:val="center"/>
              <w:rPr>
                <w:color w:val="000000"/>
                <w:sz w:val="22"/>
                <w:szCs w:val="22"/>
              </w:rPr>
            </w:pPr>
            <w:r>
              <w:rPr>
                <w:rFonts w:hint="eastAsia"/>
                <w:color w:val="000000"/>
                <w:sz w:val="22"/>
                <w:szCs w:val="22"/>
              </w:rPr>
              <w:t>内容</w:t>
            </w:r>
          </w:p>
        </w:tc>
        <w:tc>
          <w:tcPr>
            <w:tcW w:w="1520" w:type="pct"/>
            <w:tcBorders>
              <w:top w:val="single" w:color="auto" w:sz="4" w:space="0"/>
              <w:left w:val="nil"/>
              <w:bottom w:val="single" w:color="auto" w:sz="4" w:space="0"/>
              <w:right w:val="single" w:color="auto" w:sz="4" w:space="0"/>
            </w:tcBorders>
            <w:shd w:val="clear" w:color="auto" w:fill="auto"/>
            <w:noWrap/>
            <w:vAlign w:val="bottom"/>
          </w:tcPr>
          <w:p>
            <w:pPr>
              <w:jc w:val="center"/>
              <w:rPr>
                <w:color w:val="000000"/>
                <w:sz w:val="22"/>
                <w:szCs w:val="22"/>
              </w:rPr>
            </w:pPr>
            <w:r>
              <w:rPr>
                <w:rFonts w:hint="eastAsia"/>
                <w:color w:val="000000"/>
                <w:sz w:val="22"/>
                <w:szCs w:val="22"/>
              </w:rPr>
              <w:t xml:space="preserve"> 金额 </w:t>
            </w:r>
          </w:p>
        </w:tc>
      </w:tr>
      <w:tr>
        <w:tblPrEx>
          <w:tblCellMar>
            <w:top w:w="0" w:type="dxa"/>
            <w:left w:w="108" w:type="dxa"/>
            <w:bottom w:w="0" w:type="dxa"/>
            <w:right w:w="108" w:type="dxa"/>
          </w:tblCellMar>
        </w:tblPrEx>
        <w:trPr>
          <w:trHeight w:val="270" w:hRule="atLeast"/>
        </w:trPr>
        <w:tc>
          <w:tcPr>
            <w:tcW w:w="617" w:type="pct"/>
            <w:tcBorders>
              <w:top w:val="nil"/>
              <w:left w:val="single" w:color="auto" w:sz="4" w:space="0"/>
              <w:bottom w:val="single" w:color="auto" w:sz="4" w:space="0"/>
              <w:right w:val="single" w:color="auto" w:sz="4" w:space="0"/>
            </w:tcBorders>
            <w:shd w:val="clear" w:color="auto" w:fill="auto"/>
            <w:noWrap/>
            <w:vAlign w:val="bottom"/>
          </w:tcPr>
          <w:p>
            <w:pPr>
              <w:jc w:val="center"/>
              <w:rPr>
                <w:color w:val="000000"/>
                <w:sz w:val="22"/>
                <w:szCs w:val="22"/>
              </w:rPr>
            </w:pPr>
            <w:r>
              <w:rPr>
                <w:rFonts w:hint="eastAsia"/>
                <w:color w:val="000000"/>
                <w:sz w:val="22"/>
                <w:szCs w:val="22"/>
              </w:rPr>
              <w:t>1</w:t>
            </w:r>
          </w:p>
        </w:tc>
        <w:tc>
          <w:tcPr>
            <w:tcW w:w="2863" w:type="pct"/>
            <w:tcBorders>
              <w:top w:val="nil"/>
              <w:left w:val="nil"/>
              <w:bottom w:val="single" w:color="auto" w:sz="4" w:space="0"/>
              <w:right w:val="single" w:color="auto" w:sz="4" w:space="0"/>
            </w:tcBorders>
            <w:shd w:val="clear" w:color="auto" w:fill="auto"/>
            <w:noWrap/>
            <w:vAlign w:val="bottom"/>
          </w:tcPr>
          <w:p>
            <w:pPr>
              <w:rPr>
                <w:color w:val="000000"/>
                <w:sz w:val="22"/>
                <w:szCs w:val="22"/>
              </w:rPr>
            </w:pPr>
            <w:r>
              <w:rPr>
                <w:rFonts w:hint="eastAsia"/>
                <w:color w:val="000000"/>
                <w:sz w:val="22"/>
                <w:szCs w:val="22"/>
              </w:rPr>
              <w:t>安全生产月宣传资料印刷</w:t>
            </w:r>
          </w:p>
        </w:tc>
        <w:tc>
          <w:tcPr>
            <w:tcW w:w="1520" w:type="pct"/>
            <w:tcBorders>
              <w:top w:val="nil"/>
              <w:left w:val="nil"/>
              <w:bottom w:val="single" w:color="auto" w:sz="4" w:space="0"/>
              <w:right w:val="single" w:color="auto" w:sz="4" w:space="0"/>
            </w:tcBorders>
            <w:shd w:val="clear" w:color="auto" w:fill="auto"/>
            <w:noWrap/>
            <w:vAlign w:val="bottom"/>
          </w:tcPr>
          <w:p>
            <w:pPr>
              <w:jc w:val="right"/>
              <w:rPr>
                <w:color w:val="000000"/>
                <w:sz w:val="22"/>
                <w:szCs w:val="22"/>
              </w:rPr>
            </w:pPr>
            <w:r>
              <w:rPr>
                <w:rFonts w:hint="eastAsia"/>
                <w:color w:val="000000"/>
                <w:sz w:val="22"/>
                <w:szCs w:val="22"/>
              </w:rPr>
              <w:t xml:space="preserve"> 13,400.00 </w:t>
            </w:r>
          </w:p>
        </w:tc>
      </w:tr>
      <w:tr>
        <w:tblPrEx>
          <w:tblCellMar>
            <w:top w:w="0" w:type="dxa"/>
            <w:left w:w="108" w:type="dxa"/>
            <w:bottom w:w="0" w:type="dxa"/>
            <w:right w:w="108" w:type="dxa"/>
          </w:tblCellMar>
        </w:tblPrEx>
        <w:trPr>
          <w:trHeight w:val="270" w:hRule="atLeast"/>
        </w:trPr>
        <w:tc>
          <w:tcPr>
            <w:tcW w:w="617" w:type="pct"/>
            <w:tcBorders>
              <w:top w:val="nil"/>
              <w:left w:val="single" w:color="auto" w:sz="4" w:space="0"/>
              <w:bottom w:val="single" w:color="auto" w:sz="4" w:space="0"/>
              <w:right w:val="single" w:color="auto" w:sz="4" w:space="0"/>
            </w:tcBorders>
            <w:shd w:val="clear" w:color="auto" w:fill="auto"/>
            <w:noWrap/>
            <w:vAlign w:val="bottom"/>
          </w:tcPr>
          <w:p>
            <w:pPr>
              <w:jc w:val="center"/>
              <w:rPr>
                <w:color w:val="000000"/>
                <w:sz w:val="22"/>
                <w:szCs w:val="22"/>
              </w:rPr>
            </w:pPr>
            <w:r>
              <w:rPr>
                <w:rFonts w:hint="eastAsia"/>
                <w:color w:val="000000"/>
                <w:sz w:val="22"/>
                <w:szCs w:val="22"/>
              </w:rPr>
              <w:t>2</w:t>
            </w:r>
          </w:p>
        </w:tc>
        <w:tc>
          <w:tcPr>
            <w:tcW w:w="2863" w:type="pct"/>
            <w:tcBorders>
              <w:top w:val="nil"/>
              <w:left w:val="nil"/>
              <w:bottom w:val="single" w:color="auto" w:sz="4" w:space="0"/>
              <w:right w:val="single" w:color="auto" w:sz="4" w:space="0"/>
            </w:tcBorders>
            <w:shd w:val="clear" w:color="auto" w:fill="auto"/>
            <w:noWrap/>
            <w:vAlign w:val="bottom"/>
          </w:tcPr>
          <w:p>
            <w:pPr>
              <w:rPr>
                <w:color w:val="000000"/>
                <w:sz w:val="22"/>
                <w:szCs w:val="22"/>
              </w:rPr>
            </w:pPr>
            <w:r>
              <w:rPr>
                <w:rFonts w:hint="eastAsia"/>
                <w:color w:val="000000"/>
                <w:sz w:val="22"/>
                <w:szCs w:val="22"/>
              </w:rPr>
              <w:t>线上宣传活动</w:t>
            </w:r>
          </w:p>
        </w:tc>
        <w:tc>
          <w:tcPr>
            <w:tcW w:w="1520" w:type="pct"/>
            <w:tcBorders>
              <w:top w:val="nil"/>
              <w:left w:val="nil"/>
              <w:bottom w:val="single" w:color="auto" w:sz="4" w:space="0"/>
              <w:right w:val="single" w:color="auto" w:sz="4" w:space="0"/>
            </w:tcBorders>
            <w:shd w:val="clear" w:color="auto" w:fill="auto"/>
            <w:noWrap/>
            <w:vAlign w:val="bottom"/>
          </w:tcPr>
          <w:p>
            <w:pPr>
              <w:jc w:val="right"/>
              <w:rPr>
                <w:color w:val="000000"/>
                <w:sz w:val="22"/>
                <w:szCs w:val="22"/>
              </w:rPr>
            </w:pPr>
            <w:r>
              <w:rPr>
                <w:rFonts w:hint="eastAsia"/>
                <w:color w:val="000000"/>
                <w:sz w:val="22"/>
                <w:szCs w:val="22"/>
              </w:rPr>
              <w:t xml:space="preserve"> 31,000.00 </w:t>
            </w:r>
          </w:p>
        </w:tc>
      </w:tr>
      <w:tr>
        <w:tblPrEx>
          <w:tblCellMar>
            <w:top w:w="0" w:type="dxa"/>
            <w:left w:w="108" w:type="dxa"/>
            <w:bottom w:w="0" w:type="dxa"/>
            <w:right w:w="108" w:type="dxa"/>
          </w:tblCellMar>
        </w:tblPrEx>
        <w:trPr>
          <w:trHeight w:val="270" w:hRule="atLeast"/>
        </w:trPr>
        <w:tc>
          <w:tcPr>
            <w:tcW w:w="617" w:type="pct"/>
            <w:tcBorders>
              <w:top w:val="nil"/>
              <w:left w:val="single" w:color="auto" w:sz="4" w:space="0"/>
              <w:bottom w:val="single" w:color="auto" w:sz="4" w:space="0"/>
              <w:right w:val="single" w:color="auto" w:sz="4" w:space="0"/>
            </w:tcBorders>
            <w:shd w:val="clear" w:color="auto" w:fill="auto"/>
            <w:noWrap/>
            <w:vAlign w:val="bottom"/>
          </w:tcPr>
          <w:p>
            <w:pPr>
              <w:jc w:val="center"/>
              <w:rPr>
                <w:color w:val="000000"/>
                <w:sz w:val="22"/>
                <w:szCs w:val="22"/>
              </w:rPr>
            </w:pPr>
            <w:r>
              <w:rPr>
                <w:rFonts w:hint="eastAsia"/>
                <w:color w:val="000000"/>
                <w:sz w:val="22"/>
                <w:szCs w:val="22"/>
              </w:rPr>
              <w:t>3</w:t>
            </w:r>
          </w:p>
        </w:tc>
        <w:tc>
          <w:tcPr>
            <w:tcW w:w="2863" w:type="pct"/>
            <w:tcBorders>
              <w:top w:val="nil"/>
              <w:left w:val="nil"/>
              <w:bottom w:val="single" w:color="auto" w:sz="4" w:space="0"/>
              <w:right w:val="single" w:color="auto" w:sz="4" w:space="0"/>
            </w:tcBorders>
            <w:shd w:val="clear" w:color="auto" w:fill="auto"/>
            <w:noWrap/>
            <w:vAlign w:val="bottom"/>
          </w:tcPr>
          <w:p>
            <w:pPr>
              <w:rPr>
                <w:color w:val="000000"/>
                <w:sz w:val="22"/>
                <w:szCs w:val="22"/>
              </w:rPr>
            </w:pPr>
            <w:r>
              <w:rPr>
                <w:rFonts w:hint="eastAsia"/>
                <w:color w:val="000000"/>
                <w:sz w:val="22"/>
                <w:szCs w:val="22"/>
              </w:rPr>
              <w:t>付危化学习读本</w:t>
            </w:r>
          </w:p>
        </w:tc>
        <w:tc>
          <w:tcPr>
            <w:tcW w:w="1520" w:type="pct"/>
            <w:tcBorders>
              <w:top w:val="nil"/>
              <w:left w:val="nil"/>
              <w:bottom w:val="single" w:color="auto" w:sz="4" w:space="0"/>
              <w:right w:val="single" w:color="auto" w:sz="4" w:space="0"/>
            </w:tcBorders>
            <w:shd w:val="clear" w:color="auto" w:fill="auto"/>
            <w:noWrap/>
            <w:vAlign w:val="bottom"/>
          </w:tcPr>
          <w:p>
            <w:pPr>
              <w:jc w:val="right"/>
              <w:rPr>
                <w:color w:val="000000"/>
                <w:sz w:val="22"/>
                <w:szCs w:val="22"/>
              </w:rPr>
            </w:pPr>
            <w:r>
              <w:rPr>
                <w:rFonts w:hint="eastAsia"/>
                <w:color w:val="000000"/>
                <w:sz w:val="22"/>
                <w:szCs w:val="22"/>
              </w:rPr>
              <w:t xml:space="preserve">  3,900.00 </w:t>
            </w:r>
          </w:p>
        </w:tc>
      </w:tr>
      <w:tr>
        <w:tblPrEx>
          <w:tblCellMar>
            <w:top w:w="0" w:type="dxa"/>
            <w:left w:w="108" w:type="dxa"/>
            <w:bottom w:w="0" w:type="dxa"/>
            <w:right w:w="108" w:type="dxa"/>
          </w:tblCellMar>
        </w:tblPrEx>
        <w:trPr>
          <w:trHeight w:val="270" w:hRule="atLeast"/>
        </w:trPr>
        <w:tc>
          <w:tcPr>
            <w:tcW w:w="617" w:type="pct"/>
            <w:tcBorders>
              <w:top w:val="nil"/>
              <w:left w:val="single" w:color="auto" w:sz="4" w:space="0"/>
              <w:bottom w:val="single" w:color="auto" w:sz="4" w:space="0"/>
              <w:right w:val="single" w:color="auto" w:sz="4" w:space="0"/>
            </w:tcBorders>
            <w:shd w:val="clear" w:color="auto" w:fill="auto"/>
            <w:noWrap/>
            <w:vAlign w:val="bottom"/>
          </w:tcPr>
          <w:p>
            <w:pPr>
              <w:jc w:val="center"/>
              <w:rPr>
                <w:color w:val="000000"/>
                <w:sz w:val="22"/>
                <w:szCs w:val="22"/>
              </w:rPr>
            </w:pPr>
            <w:r>
              <w:rPr>
                <w:rFonts w:hint="eastAsia"/>
                <w:color w:val="000000"/>
                <w:sz w:val="22"/>
                <w:szCs w:val="22"/>
              </w:rPr>
              <w:t>4</w:t>
            </w:r>
          </w:p>
        </w:tc>
        <w:tc>
          <w:tcPr>
            <w:tcW w:w="2863" w:type="pct"/>
            <w:tcBorders>
              <w:top w:val="nil"/>
              <w:left w:val="nil"/>
              <w:bottom w:val="single" w:color="auto" w:sz="4" w:space="0"/>
              <w:right w:val="single" w:color="auto" w:sz="4" w:space="0"/>
            </w:tcBorders>
            <w:shd w:val="clear" w:color="auto" w:fill="auto"/>
            <w:noWrap/>
            <w:vAlign w:val="bottom"/>
          </w:tcPr>
          <w:p>
            <w:pPr>
              <w:rPr>
                <w:color w:val="000000"/>
                <w:sz w:val="22"/>
                <w:szCs w:val="22"/>
              </w:rPr>
            </w:pPr>
            <w:r>
              <w:rPr>
                <w:rFonts w:hint="eastAsia"/>
                <w:color w:val="000000"/>
                <w:sz w:val="22"/>
                <w:szCs w:val="22"/>
              </w:rPr>
              <w:t>应急避难疏散牌</w:t>
            </w:r>
          </w:p>
        </w:tc>
        <w:tc>
          <w:tcPr>
            <w:tcW w:w="1520" w:type="pct"/>
            <w:tcBorders>
              <w:top w:val="nil"/>
              <w:left w:val="nil"/>
              <w:bottom w:val="single" w:color="auto" w:sz="4" w:space="0"/>
              <w:right w:val="single" w:color="auto" w:sz="4" w:space="0"/>
            </w:tcBorders>
            <w:shd w:val="clear" w:color="auto" w:fill="auto"/>
            <w:noWrap/>
            <w:vAlign w:val="bottom"/>
          </w:tcPr>
          <w:p>
            <w:pPr>
              <w:jc w:val="right"/>
              <w:rPr>
                <w:color w:val="000000"/>
                <w:sz w:val="22"/>
                <w:szCs w:val="22"/>
              </w:rPr>
            </w:pPr>
            <w:r>
              <w:rPr>
                <w:rFonts w:hint="eastAsia"/>
                <w:color w:val="000000"/>
                <w:sz w:val="22"/>
                <w:szCs w:val="22"/>
              </w:rPr>
              <w:t xml:space="preserve">  1,500.00 </w:t>
            </w:r>
          </w:p>
        </w:tc>
      </w:tr>
      <w:tr>
        <w:tblPrEx>
          <w:tblCellMar>
            <w:top w:w="0" w:type="dxa"/>
            <w:left w:w="108" w:type="dxa"/>
            <w:bottom w:w="0" w:type="dxa"/>
            <w:right w:w="108" w:type="dxa"/>
          </w:tblCellMar>
        </w:tblPrEx>
        <w:trPr>
          <w:trHeight w:val="270" w:hRule="atLeast"/>
        </w:trPr>
        <w:tc>
          <w:tcPr>
            <w:tcW w:w="617" w:type="pct"/>
            <w:tcBorders>
              <w:top w:val="nil"/>
              <w:left w:val="single" w:color="auto" w:sz="4" w:space="0"/>
              <w:bottom w:val="single" w:color="auto" w:sz="4" w:space="0"/>
              <w:right w:val="single" w:color="auto" w:sz="4" w:space="0"/>
            </w:tcBorders>
            <w:shd w:val="clear" w:color="auto" w:fill="auto"/>
            <w:noWrap/>
            <w:vAlign w:val="bottom"/>
          </w:tcPr>
          <w:p>
            <w:pPr>
              <w:jc w:val="center"/>
              <w:rPr>
                <w:color w:val="000000"/>
                <w:sz w:val="22"/>
                <w:szCs w:val="22"/>
              </w:rPr>
            </w:pPr>
            <w:r>
              <w:rPr>
                <w:rFonts w:hint="eastAsia"/>
                <w:color w:val="000000"/>
                <w:sz w:val="22"/>
                <w:szCs w:val="22"/>
              </w:rPr>
              <w:t>5</w:t>
            </w:r>
          </w:p>
        </w:tc>
        <w:tc>
          <w:tcPr>
            <w:tcW w:w="2863" w:type="pct"/>
            <w:tcBorders>
              <w:top w:val="nil"/>
              <w:left w:val="nil"/>
              <w:bottom w:val="single" w:color="auto" w:sz="4" w:space="0"/>
              <w:right w:val="single" w:color="auto" w:sz="4" w:space="0"/>
            </w:tcBorders>
            <w:shd w:val="clear" w:color="auto" w:fill="auto"/>
            <w:noWrap/>
            <w:vAlign w:val="bottom"/>
          </w:tcPr>
          <w:p>
            <w:pPr>
              <w:rPr>
                <w:color w:val="000000"/>
                <w:sz w:val="22"/>
                <w:szCs w:val="22"/>
              </w:rPr>
            </w:pPr>
            <w:r>
              <w:rPr>
                <w:rFonts w:hint="eastAsia"/>
                <w:color w:val="000000"/>
                <w:sz w:val="22"/>
                <w:szCs w:val="22"/>
              </w:rPr>
              <w:t>防灾减灾宣传用品</w:t>
            </w:r>
          </w:p>
        </w:tc>
        <w:tc>
          <w:tcPr>
            <w:tcW w:w="1520" w:type="pct"/>
            <w:tcBorders>
              <w:top w:val="nil"/>
              <w:left w:val="nil"/>
              <w:bottom w:val="single" w:color="auto" w:sz="4" w:space="0"/>
              <w:right w:val="single" w:color="auto" w:sz="4" w:space="0"/>
            </w:tcBorders>
            <w:shd w:val="clear" w:color="auto" w:fill="auto"/>
            <w:noWrap/>
            <w:vAlign w:val="bottom"/>
          </w:tcPr>
          <w:p>
            <w:pPr>
              <w:jc w:val="right"/>
              <w:rPr>
                <w:color w:val="000000"/>
                <w:sz w:val="22"/>
                <w:szCs w:val="22"/>
              </w:rPr>
            </w:pPr>
            <w:r>
              <w:rPr>
                <w:rFonts w:hint="eastAsia"/>
                <w:color w:val="000000"/>
                <w:sz w:val="22"/>
                <w:szCs w:val="22"/>
              </w:rPr>
              <w:t xml:space="preserve">  6,739.00 </w:t>
            </w:r>
          </w:p>
        </w:tc>
      </w:tr>
      <w:tr>
        <w:tblPrEx>
          <w:tblCellMar>
            <w:top w:w="0" w:type="dxa"/>
            <w:left w:w="108" w:type="dxa"/>
            <w:bottom w:w="0" w:type="dxa"/>
            <w:right w:w="108" w:type="dxa"/>
          </w:tblCellMar>
        </w:tblPrEx>
        <w:trPr>
          <w:trHeight w:val="270" w:hRule="atLeast"/>
        </w:trPr>
        <w:tc>
          <w:tcPr>
            <w:tcW w:w="617" w:type="pct"/>
            <w:tcBorders>
              <w:top w:val="single" w:color="auto" w:sz="4" w:space="0"/>
              <w:left w:val="single" w:color="auto" w:sz="4" w:space="0"/>
              <w:bottom w:val="single" w:color="auto" w:sz="4" w:space="0"/>
              <w:right w:val="single" w:color="auto" w:sz="4" w:space="0"/>
            </w:tcBorders>
            <w:shd w:val="clear" w:color="auto" w:fill="auto"/>
            <w:noWrap/>
            <w:vAlign w:val="bottom"/>
          </w:tcPr>
          <w:p>
            <w:pPr>
              <w:jc w:val="center"/>
              <w:rPr>
                <w:color w:val="000000"/>
                <w:sz w:val="22"/>
                <w:szCs w:val="22"/>
              </w:rPr>
            </w:pPr>
            <w:r>
              <w:rPr>
                <w:rFonts w:hint="eastAsia"/>
                <w:color w:val="000000"/>
                <w:sz w:val="22"/>
                <w:szCs w:val="22"/>
              </w:rPr>
              <w:t>6</w:t>
            </w:r>
          </w:p>
        </w:tc>
        <w:tc>
          <w:tcPr>
            <w:tcW w:w="2863" w:type="pct"/>
            <w:tcBorders>
              <w:top w:val="single" w:color="auto" w:sz="4" w:space="0"/>
              <w:left w:val="nil"/>
              <w:bottom w:val="single" w:color="auto" w:sz="4" w:space="0"/>
              <w:right w:val="single" w:color="auto" w:sz="4" w:space="0"/>
            </w:tcBorders>
            <w:shd w:val="clear" w:color="auto" w:fill="auto"/>
            <w:noWrap/>
            <w:vAlign w:val="bottom"/>
          </w:tcPr>
          <w:p>
            <w:pPr>
              <w:rPr>
                <w:color w:val="000000"/>
                <w:sz w:val="22"/>
                <w:szCs w:val="22"/>
              </w:rPr>
            </w:pPr>
            <w:r>
              <w:rPr>
                <w:rFonts w:hint="eastAsia"/>
                <w:color w:val="000000"/>
                <w:sz w:val="22"/>
                <w:szCs w:val="22"/>
              </w:rPr>
              <w:t>微信公众号宣传费用</w:t>
            </w:r>
          </w:p>
        </w:tc>
        <w:tc>
          <w:tcPr>
            <w:tcW w:w="1520" w:type="pct"/>
            <w:tcBorders>
              <w:top w:val="single" w:color="auto" w:sz="4" w:space="0"/>
              <w:left w:val="nil"/>
              <w:bottom w:val="single" w:color="auto" w:sz="4" w:space="0"/>
              <w:right w:val="single" w:color="auto" w:sz="4" w:space="0"/>
            </w:tcBorders>
            <w:shd w:val="clear" w:color="auto" w:fill="auto"/>
            <w:noWrap/>
            <w:vAlign w:val="bottom"/>
          </w:tcPr>
          <w:p>
            <w:pPr>
              <w:jc w:val="right"/>
              <w:rPr>
                <w:color w:val="000000"/>
                <w:sz w:val="22"/>
                <w:szCs w:val="22"/>
              </w:rPr>
            </w:pPr>
            <w:r>
              <w:rPr>
                <w:rFonts w:hint="eastAsia"/>
                <w:color w:val="000000"/>
                <w:sz w:val="22"/>
                <w:szCs w:val="22"/>
              </w:rPr>
              <w:t xml:space="preserve"> 28,884.00 </w:t>
            </w:r>
          </w:p>
        </w:tc>
      </w:tr>
      <w:tr>
        <w:tblPrEx>
          <w:tblCellMar>
            <w:top w:w="0" w:type="dxa"/>
            <w:left w:w="108" w:type="dxa"/>
            <w:bottom w:w="0" w:type="dxa"/>
            <w:right w:w="108" w:type="dxa"/>
          </w:tblCellMar>
        </w:tblPrEx>
        <w:trPr>
          <w:trHeight w:val="270" w:hRule="atLeast"/>
        </w:trPr>
        <w:tc>
          <w:tcPr>
            <w:tcW w:w="3480" w:type="pct"/>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jc w:val="center"/>
              <w:rPr>
                <w:color w:val="000000"/>
                <w:sz w:val="22"/>
                <w:szCs w:val="22"/>
              </w:rPr>
            </w:pPr>
            <w:r>
              <w:rPr>
                <w:rFonts w:hint="eastAsia"/>
                <w:color w:val="000000"/>
                <w:sz w:val="22"/>
                <w:szCs w:val="22"/>
              </w:rPr>
              <w:t>合计</w:t>
            </w:r>
          </w:p>
        </w:tc>
        <w:tc>
          <w:tcPr>
            <w:tcW w:w="1520" w:type="pct"/>
            <w:tcBorders>
              <w:top w:val="single" w:color="auto" w:sz="4" w:space="0"/>
              <w:left w:val="nil"/>
              <w:bottom w:val="single" w:color="auto" w:sz="4" w:space="0"/>
              <w:right w:val="single" w:color="auto" w:sz="4" w:space="0"/>
            </w:tcBorders>
            <w:shd w:val="clear" w:color="auto" w:fill="auto"/>
            <w:noWrap/>
            <w:vAlign w:val="bottom"/>
          </w:tcPr>
          <w:p>
            <w:pPr>
              <w:jc w:val="right"/>
              <w:rPr>
                <w:color w:val="000000"/>
                <w:sz w:val="22"/>
                <w:szCs w:val="22"/>
              </w:rPr>
            </w:pPr>
            <w:r>
              <w:rPr>
                <w:rFonts w:hint="eastAsia"/>
                <w:color w:val="000000"/>
                <w:sz w:val="22"/>
                <w:szCs w:val="22"/>
              </w:rPr>
              <w:t xml:space="preserve"> 85,423.00 </w:t>
            </w:r>
          </w:p>
        </w:tc>
      </w:tr>
    </w:tbl>
    <w:p>
      <w:pPr>
        <w:spacing w:line="500" w:lineRule="exact"/>
        <w:ind w:firstLine="480" w:firstLineChars="200"/>
        <w:rPr>
          <w:lang w:bidi="ar"/>
        </w:rPr>
      </w:pPr>
      <w:r>
        <w:rPr>
          <w:rFonts w:hint="eastAsia"/>
        </w:rPr>
        <w:t>2</w:t>
      </w:r>
      <w:r>
        <w:t>020</w:t>
      </w:r>
      <w:r>
        <w:rPr>
          <w:rFonts w:hint="eastAsia"/>
        </w:rPr>
        <w:t>年实际支付宣传教育经费</w:t>
      </w:r>
      <w:r>
        <w:t>8.54</w:t>
      </w:r>
      <w:r>
        <w:rPr>
          <w:rFonts w:hint="eastAsia"/>
        </w:rPr>
        <w:t>万元，每次经费支出均报局领导审批。未发现违规挤占、挪用补助资金的情况，</w:t>
      </w:r>
      <w:r>
        <w:rPr>
          <w:rFonts w:hint="eastAsia"/>
          <w:bCs/>
          <w:lang w:bidi="ar"/>
        </w:rPr>
        <w:t>计5分。</w:t>
      </w:r>
    </w:p>
    <w:p>
      <w:pPr>
        <w:spacing w:line="500" w:lineRule="exact"/>
        <w:ind w:firstLine="480" w:firstLineChars="200"/>
        <w:rPr>
          <w:bCs/>
          <w:lang w:bidi="ar"/>
        </w:rPr>
      </w:pPr>
      <w:r>
        <w:rPr>
          <w:rFonts w:hint="eastAsia"/>
          <w:bCs/>
          <w:lang w:bidi="ar"/>
        </w:rPr>
        <w:t>2、组织实施</w:t>
      </w:r>
    </w:p>
    <w:p>
      <w:pPr>
        <w:spacing w:line="500" w:lineRule="exact"/>
        <w:ind w:firstLine="480" w:firstLineChars="200"/>
        <w:rPr>
          <w:bCs/>
          <w:lang w:bidi="ar"/>
        </w:rPr>
      </w:pPr>
      <w:r>
        <w:rPr>
          <w:rFonts w:hint="eastAsia"/>
          <w:bCs/>
          <w:lang w:bidi="ar"/>
        </w:rPr>
        <w:t>（1）管理制度的健全性：未提供内控手册，影响对管理制度健全性的评价。扣2分，计3分。</w:t>
      </w:r>
    </w:p>
    <w:p>
      <w:pPr>
        <w:spacing w:line="500" w:lineRule="exact"/>
        <w:ind w:firstLine="480" w:firstLineChars="200"/>
        <w:rPr>
          <w:bCs/>
          <w:lang w:bidi="ar"/>
        </w:rPr>
      </w:pPr>
      <w:r>
        <w:rPr>
          <w:rFonts w:hint="eastAsia"/>
          <w:bCs/>
          <w:lang w:bidi="ar"/>
        </w:rPr>
        <w:t>（2）制度执行有效性：该项目整体金额为1</w:t>
      </w:r>
      <w:r>
        <w:rPr>
          <w:bCs/>
          <w:lang w:bidi="ar"/>
        </w:rPr>
        <w:t>0</w:t>
      </w:r>
      <w:r>
        <w:rPr>
          <w:rFonts w:hint="eastAsia"/>
          <w:bCs/>
          <w:lang w:bidi="ar"/>
        </w:rPr>
        <w:t>万元，未达到执行公开招投标程序，但培训、印刷等内容属于政府采购范围，与服务单位签署服务协议，并由律师事务所出具法律意见书，支付款项时均报局领导批示，合同签署、款项支付流程严谨，计5分。</w:t>
      </w:r>
    </w:p>
    <w:p>
      <w:pPr>
        <w:spacing w:line="500" w:lineRule="exact"/>
        <w:ind w:firstLine="480" w:firstLineChars="200"/>
        <w:outlineLvl w:val="1"/>
        <w:rPr>
          <w:bCs/>
          <w:lang w:bidi="ar"/>
        </w:rPr>
      </w:pPr>
      <w:bookmarkStart w:id="25" w:name="_Toc14565"/>
      <w:r>
        <w:rPr>
          <w:rFonts w:hint="eastAsia"/>
          <w:bCs/>
          <w:lang w:bidi="ar"/>
        </w:rPr>
        <w:t>（三）项目产出</w:t>
      </w:r>
      <w:bookmarkEnd w:id="25"/>
    </w:p>
    <w:p>
      <w:pPr>
        <w:spacing w:line="500" w:lineRule="exact"/>
        <w:ind w:firstLine="480" w:firstLineChars="200"/>
        <w:rPr>
          <w:bCs/>
          <w:lang w:bidi="ar"/>
        </w:rPr>
      </w:pPr>
      <w:bookmarkStart w:id="26" w:name="OLE_LINK48"/>
      <w:r>
        <w:rPr>
          <w:rFonts w:hint="eastAsia"/>
          <w:bCs/>
          <w:lang w:bidi="ar"/>
        </w:rPr>
        <w:t>项目产出下设产出数量、产出质量、产出时效、产出成本四大类二级指标，设计总分30分；经评价，该项总计得分30分，具体评价过程和理由分述如下：</w:t>
      </w:r>
      <w:bookmarkEnd w:id="26"/>
    </w:p>
    <w:p>
      <w:pPr>
        <w:spacing w:line="500" w:lineRule="exact"/>
        <w:ind w:firstLine="480" w:firstLineChars="200"/>
        <w:rPr>
          <w:bCs/>
        </w:rPr>
      </w:pPr>
      <w:r>
        <w:rPr>
          <w:rFonts w:hint="eastAsia"/>
          <w:bCs/>
          <w:lang w:bidi="ar"/>
        </w:rPr>
        <w:t>1、产出数量</w:t>
      </w:r>
    </w:p>
    <w:p>
      <w:pPr>
        <w:spacing w:line="500" w:lineRule="exact"/>
        <w:ind w:firstLine="480" w:firstLineChars="200"/>
        <w:rPr>
          <w:bCs/>
          <w:lang w:bidi="ar"/>
        </w:rPr>
      </w:pPr>
      <w:r>
        <w:rPr>
          <w:rFonts w:hint="eastAsia"/>
          <w:bCs/>
        </w:rPr>
        <w:t>2</w:t>
      </w:r>
      <w:r>
        <w:rPr>
          <w:bCs/>
        </w:rPr>
        <w:t>020</w:t>
      </w:r>
      <w:r>
        <w:rPr>
          <w:rFonts w:hint="eastAsia"/>
          <w:bCs/>
        </w:rPr>
        <w:t>年宣传教育经费工作共开展安全生产月宣传活动2次，印刷危化学习读本1批，安装应急避难疏散牌，发放防灾减灾宣传用品，并通过微信公众号宣传安全生产知识，完成年初任务安排，实际完成率1</w:t>
      </w:r>
      <w:r>
        <w:rPr>
          <w:bCs/>
        </w:rPr>
        <w:t>00%</w:t>
      </w:r>
      <w:r>
        <w:rPr>
          <w:rFonts w:hint="eastAsia"/>
          <w:bCs/>
        </w:rPr>
        <w:t>，计1</w:t>
      </w:r>
      <w:r>
        <w:rPr>
          <w:bCs/>
        </w:rPr>
        <w:t>0</w:t>
      </w:r>
      <w:r>
        <w:rPr>
          <w:rFonts w:hint="eastAsia"/>
          <w:bCs/>
        </w:rPr>
        <w:t>分。</w:t>
      </w:r>
    </w:p>
    <w:p>
      <w:pPr>
        <w:spacing w:line="500" w:lineRule="exact"/>
        <w:ind w:firstLine="480" w:firstLineChars="200"/>
        <w:rPr>
          <w:bCs/>
        </w:rPr>
      </w:pPr>
      <w:r>
        <w:rPr>
          <w:rFonts w:hint="eastAsia"/>
          <w:bCs/>
          <w:lang w:bidi="ar"/>
        </w:rPr>
        <w:t>2、产出质量</w:t>
      </w:r>
    </w:p>
    <w:p>
      <w:pPr>
        <w:spacing w:line="500" w:lineRule="exact"/>
        <w:ind w:firstLine="480" w:firstLineChars="200"/>
        <w:rPr>
          <w:bCs/>
          <w:lang w:bidi="ar"/>
        </w:rPr>
      </w:pPr>
      <w:r>
        <w:rPr>
          <w:rFonts w:hint="eastAsia"/>
          <w:bCs/>
          <w:lang w:bidi="ar"/>
        </w:rPr>
        <w:t>2</w:t>
      </w:r>
      <w:r>
        <w:rPr>
          <w:bCs/>
          <w:lang w:bidi="ar"/>
        </w:rPr>
        <w:t>020</w:t>
      </w:r>
      <w:r>
        <w:rPr>
          <w:rFonts w:hint="eastAsia"/>
          <w:bCs/>
          <w:lang w:bidi="ar"/>
        </w:rPr>
        <w:t>年度宣传教育经费工作按照活动方案开展，每次活动辖区群众参与度较高，未出现印刷品、宣传物资浪费现象，质量达标率1</w:t>
      </w:r>
      <w:r>
        <w:rPr>
          <w:bCs/>
          <w:lang w:bidi="ar"/>
        </w:rPr>
        <w:t>00%</w:t>
      </w:r>
      <w:r>
        <w:rPr>
          <w:rFonts w:hint="eastAsia"/>
          <w:bCs/>
          <w:lang w:bidi="ar"/>
        </w:rPr>
        <w:t>，计1</w:t>
      </w:r>
      <w:r>
        <w:rPr>
          <w:bCs/>
          <w:lang w:bidi="ar"/>
        </w:rPr>
        <w:t>0</w:t>
      </w:r>
      <w:r>
        <w:rPr>
          <w:rFonts w:hint="eastAsia"/>
          <w:bCs/>
          <w:lang w:bidi="ar"/>
        </w:rPr>
        <w:t>分。</w:t>
      </w:r>
    </w:p>
    <w:p>
      <w:pPr>
        <w:spacing w:line="500" w:lineRule="exact"/>
        <w:ind w:firstLine="480" w:firstLineChars="200"/>
        <w:rPr>
          <w:bCs/>
        </w:rPr>
      </w:pPr>
      <w:r>
        <w:rPr>
          <w:rFonts w:hint="eastAsia"/>
          <w:bCs/>
          <w:lang w:bidi="ar"/>
        </w:rPr>
        <w:t>3、产出时效</w:t>
      </w:r>
    </w:p>
    <w:p>
      <w:pPr>
        <w:spacing w:line="500" w:lineRule="exact"/>
        <w:ind w:firstLine="480" w:firstLineChars="200"/>
        <w:rPr>
          <w:bCs/>
          <w:lang w:bidi="ar"/>
        </w:rPr>
      </w:pPr>
      <w:r>
        <w:rPr>
          <w:rFonts w:hint="eastAsia"/>
          <w:bCs/>
          <w:lang w:bidi="ar"/>
        </w:rPr>
        <w:t>2</w:t>
      </w:r>
      <w:r>
        <w:rPr>
          <w:bCs/>
          <w:lang w:bidi="ar"/>
        </w:rPr>
        <w:t>020</w:t>
      </w:r>
      <w:r>
        <w:rPr>
          <w:rFonts w:hint="eastAsia"/>
          <w:bCs/>
          <w:lang w:bidi="ar"/>
        </w:rPr>
        <w:t>年度宣传教育经费工作如期开展，未出现延期现象，产出时效符合工作方案要求，计5分。</w:t>
      </w:r>
    </w:p>
    <w:p>
      <w:pPr>
        <w:spacing w:line="500" w:lineRule="exact"/>
        <w:ind w:firstLine="480" w:firstLineChars="200"/>
        <w:rPr>
          <w:bCs/>
        </w:rPr>
      </w:pPr>
      <w:r>
        <w:rPr>
          <w:rFonts w:hint="eastAsia"/>
          <w:bCs/>
          <w:lang w:bidi="ar"/>
        </w:rPr>
        <w:t>4、产出成本</w:t>
      </w:r>
    </w:p>
    <w:p>
      <w:pPr>
        <w:spacing w:line="500" w:lineRule="exact"/>
        <w:ind w:firstLine="480" w:firstLineChars="200"/>
      </w:pPr>
      <w:r>
        <w:rPr>
          <w:rFonts w:hint="eastAsia"/>
          <w:bCs/>
          <w:lang w:bidi="ar"/>
        </w:rPr>
        <w:t>2</w:t>
      </w:r>
      <w:r>
        <w:rPr>
          <w:bCs/>
          <w:lang w:bidi="ar"/>
        </w:rPr>
        <w:t>020</w:t>
      </w:r>
      <w:r>
        <w:rPr>
          <w:rFonts w:hint="eastAsia"/>
          <w:bCs/>
          <w:lang w:bidi="ar"/>
        </w:rPr>
        <w:t>年度按完成宣传教育经费活动内容，经费支出8</w:t>
      </w:r>
      <w:r>
        <w:rPr>
          <w:bCs/>
          <w:lang w:bidi="ar"/>
        </w:rPr>
        <w:t>.54</w:t>
      </w:r>
      <w:r>
        <w:rPr>
          <w:rFonts w:hint="eastAsia"/>
          <w:bCs/>
          <w:lang w:bidi="ar"/>
        </w:rPr>
        <w:t>万元，在年初预算1</w:t>
      </w:r>
      <w:r>
        <w:rPr>
          <w:bCs/>
          <w:lang w:bidi="ar"/>
        </w:rPr>
        <w:t>0</w:t>
      </w:r>
      <w:r>
        <w:rPr>
          <w:rFonts w:hint="eastAsia"/>
          <w:bCs/>
          <w:lang w:bidi="ar"/>
        </w:rPr>
        <w:t>万元的基础上节约经费1</w:t>
      </w:r>
      <w:r>
        <w:rPr>
          <w:bCs/>
          <w:lang w:bidi="ar"/>
        </w:rPr>
        <w:t>.46</w:t>
      </w:r>
      <w:r>
        <w:rPr>
          <w:rFonts w:hint="eastAsia"/>
          <w:bCs/>
          <w:lang w:bidi="ar"/>
        </w:rPr>
        <w:t>万元，成本节约率为1</w:t>
      </w:r>
      <w:r>
        <w:rPr>
          <w:bCs/>
          <w:lang w:bidi="ar"/>
        </w:rPr>
        <w:t>4.60%</w:t>
      </w:r>
      <w:r>
        <w:rPr>
          <w:rFonts w:hint="eastAsia"/>
          <w:bCs/>
          <w:lang w:bidi="ar"/>
        </w:rPr>
        <w:t>。无超范围支出现象，计5分。</w:t>
      </w:r>
    </w:p>
    <w:p>
      <w:pPr>
        <w:spacing w:line="500" w:lineRule="exact"/>
        <w:ind w:firstLine="480" w:firstLineChars="200"/>
        <w:outlineLvl w:val="1"/>
        <w:rPr>
          <w:bCs/>
        </w:rPr>
      </w:pPr>
      <w:bookmarkStart w:id="27" w:name="_Toc26671"/>
      <w:r>
        <w:rPr>
          <w:rFonts w:hint="eastAsia"/>
          <w:bCs/>
          <w:lang w:bidi="ar"/>
        </w:rPr>
        <w:t>（四）项目绩效</w:t>
      </w:r>
      <w:bookmarkEnd w:id="27"/>
    </w:p>
    <w:p>
      <w:pPr>
        <w:spacing w:line="500" w:lineRule="exact"/>
        <w:ind w:firstLine="480" w:firstLineChars="200"/>
        <w:rPr>
          <w:bCs/>
        </w:rPr>
      </w:pPr>
      <w:bookmarkStart w:id="28" w:name="OLE_LINK45"/>
      <w:bookmarkStart w:id="29" w:name="OLE_LINK52"/>
      <w:r>
        <w:rPr>
          <w:rFonts w:hint="eastAsia"/>
          <w:bCs/>
          <w:lang w:bidi="ar"/>
        </w:rPr>
        <w:t>项目绩效下设社会绩效、可持续影响指标、满意度三个二级指标，设计总分为25分，项目绩效评价得分</w:t>
      </w:r>
      <w:r>
        <w:rPr>
          <w:bCs/>
          <w:lang w:bidi="ar"/>
        </w:rPr>
        <w:t>21</w:t>
      </w:r>
      <w:r>
        <w:rPr>
          <w:rFonts w:hint="eastAsia"/>
          <w:bCs/>
          <w:lang w:bidi="ar"/>
        </w:rPr>
        <w:t>分，具体评价过程和理由分述如下：</w:t>
      </w:r>
    </w:p>
    <w:bookmarkEnd w:id="28"/>
    <w:bookmarkEnd w:id="29"/>
    <w:p>
      <w:pPr>
        <w:spacing w:line="500" w:lineRule="exact"/>
        <w:ind w:firstLine="480" w:firstLineChars="200"/>
        <w:rPr>
          <w:bCs/>
          <w:lang w:bidi="ar"/>
        </w:rPr>
      </w:pPr>
      <w:r>
        <w:rPr>
          <w:rFonts w:hint="eastAsia"/>
          <w:bCs/>
          <w:lang w:bidi="ar"/>
        </w:rPr>
        <w:t>1、社会效益</w:t>
      </w:r>
    </w:p>
    <w:p>
      <w:pPr>
        <w:spacing w:line="500" w:lineRule="exact"/>
        <w:ind w:firstLine="480" w:firstLineChars="200"/>
      </w:pPr>
      <w:r>
        <w:rPr>
          <w:rFonts w:hint="eastAsia"/>
          <w:lang w:bidi="ar"/>
        </w:rPr>
        <w:t>通过开展宣传教育经费项目，丰富了东丽区业余生活，宣传了安全生产、紧急避难、防灾减灾等安全内容，提高了东丽区群众的安全感</w:t>
      </w:r>
      <w:r>
        <w:rPr>
          <w:rFonts w:hint="eastAsia"/>
        </w:rPr>
        <w:t>。每次开展活动均有活动方案通知、宣传物资发放记录、活动现场照片以及活动总结等内容，效益实现支撑资料较为完整</w:t>
      </w:r>
      <w:r>
        <w:rPr>
          <w:rFonts w:hint="eastAsia"/>
          <w:lang w:bidi="ar"/>
        </w:rPr>
        <w:t>，</w:t>
      </w:r>
      <w:r>
        <w:rPr>
          <w:rFonts w:hint="eastAsia"/>
          <w:bCs/>
          <w:lang w:bidi="ar"/>
        </w:rPr>
        <w:t>计</w:t>
      </w:r>
      <w:r>
        <w:rPr>
          <w:bCs/>
          <w:lang w:bidi="ar"/>
        </w:rPr>
        <w:t>8</w:t>
      </w:r>
      <w:r>
        <w:rPr>
          <w:rFonts w:hint="eastAsia"/>
          <w:bCs/>
          <w:lang w:bidi="ar"/>
        </w:rPr>
        <w:t>分</w:t>
      </w:r>
      <w:r>
        <w:rPr>
          <w:rFonts w:hint="eastAsia"/>
        </w:rPr>
        <w:t>。</w:t>
      </w:r>
    </w:p>
    <w:p>
      <w:pPr>
        <w:spacing w:line="500" w:lineRule="exact"/>
        <w:ind w:firstLine="480" w:firstLineChars="200"/>
      </w:pPr>
      <w:r>
        <w:rPr>
          <w:rFonts w:hint="eastAsia"/>
        </w:rPr>
        <w:t>2、可持续影响指标</w:t>
      </w:r>
    </w:p>
    <w:p>
      <w:pPr>
        <w:spacing w:line="500" w:lineRule="exact"/>
        <w:ind w:firstLine="480" w:firstLineChars="200"/>
        <w:rPr>
          <w:lang w:bidi="ar"/>
        </w:rPr>
      </w:pPr>
      <w:r>
        <w:rPr>
          <w:rFonts w:hint="eastAsia"/>
          <w:lang w:bidi="ar"/>
        </w:rPr>
        <w:t>通过宣传活动的开展，能够有效提升群众的安全意识，对辖区内安全意识的培养可持续影响较为明显，</w:t>
      </w:r>
      <w:r>
        <w:rPr>
          <w:rFonts w:hint="eastAsia"/>
          <w:bCs/>
          <w:lang w:bidi="ar"/>
        </w:rPr>
        <w:t>计</w:t>
      </w:r>
      <w:r>
        <w:rPr>
          <w:bCs/>
          <w:lang w:bidi="ar"/>
        </w:rPr>
        <w:t>8</w:t>
      </w:r>
      <w:r>
        <w:rPr>
          <w:rFonts w:hint="eastAsia"/>
          <w:bCs/>
          <w:lang w:bidi="ar"/>
        </w:rPr>
        <w:t>分。</w:t>
      </w:r>
    </w:p>
    <w:p>
      <w:pPr>
        <w:spacing w:line="500" w:lineRule="exact"/>
        <w:ind w:firstLine="480" w:firstLineChars="200"/>
      </w:pPr>
      <w:r>
        <w:rPr>
          <w:rFonts w:hint="eastAsia"/>
        </w:rPr>
        <w:t>3、服务对象</w:t>
      </w:r>
      <w:r>
        <w:rPr>
          <w:rFonts w:hint="eastAsia"/>
          <w:bCs/>
          <w:lang w:bidi="ar"/>
        </w:rPr>
        <w:t>满意度</w:t>
      </w:r>
    </w:p>
    <w:p>
      <w:pPr>
        <w:spacing w:line="500" w:lineRule="exact"/>
        <w:ind w:firstLine="480" w:firstLineChars="200"/>
      </w:pPr>
      <w:r>
        <w:rPr>
          <w:rFonts w:hint="eastAsia"/>
        </w:rPr>
        <w:t>该项目针对辖区群众开展安全教育活动，通过发放物资、开展讲座、微信推送等方式宣传安全教育知识，具有广泛群众基础。但未对服务群体开展满意度情况调查，对满意度指标的实现情况缺少资料支撑，扣</w:t>
      </w:r>
      <w:r>
        <w:t>4</w:t>
      </w:r>
      <w:r>
        <w:rPr>
          <w:rFonts w:hint="eastAsia"/>
        </w:rPr>
        <w:t>分，计5分。</w:t>
      </w:r>
    </w:p>
    <w:p>
      <w:pPr>
        <w:spacing w:line="500" w:lineRule="exact"/>
        <w:ind w:firstLine="482" w:firstLineChars="200"/>
        <w:outlineLvl w:val="0"/>
        <w:rPr>
          <w:b/>
          <w:lang w:bidi="ar"/>
        </w:rPr>
      </w:pPr>
      <w:bookmarkStart w:id="30" w:name="_Toc14932"/>
      <w:r>
        <w:rPr>
          <w:rFonts w:hint="eastAsia"/>
          <w:b/>
          <w:lang w:bidi="ar"/>
        </w:rPr>
        <w:t>六、存在问题</w:t>
      </w:r>
      <w:bookmarkEnd w:id="30"/>
    </w:p>
    <w:p>
      <w:pPr>
        <w:spacing w:line="500" w:lineRule="exact"/>
        <w:ind w:firstLine="480" w:firstLineChars="200"/>
        <w:outlineLvl w:val="1"/>
      </w:pPr>
      <w:bookmarkStart w:id="31" w:name="_Toc7242"/>
      <w:r>
        <w:rPr>
          <w:rFonts w:hint="eastAsia"/>
        </w:rPr>
        <w:t>（一）绩效指标设置不够规范</w:t>
      </w:r>
      <w:bookmarkEnd w:id="31"/>
    </w:p>
    <w:p>
      <w:pPr>
        <w:spacing w:line="500" w:lineRule="exact"/>
        <w:ind w:firstLine="480" w:firstLineChars="200"/>
      </w:pPr>
      <w:r>
        <w:rPr>
          <w:rFonts w:hint="eastAsia"/>
        </w:rPr>
        <w:t>绩效目标表的设置不够规范，未设置产出数量、产出成本指标，产出质量指标、时效指标设置不完整，未明确宣传教育内容、形式、规模、时间安排等具体内容，绩效目标表设置合理性不足。</w:t>
      </w:r>
    </w:p>
    <w:p>
      <w:pPr>
        <w:spacing w:line="500" w:lineRule="exact"/>
        <w:ind w:firstLine="480" w:firstLineChars="200"/>
        <w:outlineLvl w:val="1"/>
      </w:pPr>
      <w:bookmarkStart w:id="32" w:name="_Toc17381"/>
      <w:r>
        <w:rPr>
          <w:rFonts w:hint="eastAsia"/>
        </w:rPr>
        <w:t>（二）预算编制缺少明细构成</w:t>
      </w:r>
      <w:bookmarkEnd w:id="32"/>
    </w:p>
    <w:p>
      <w:pPr>
        <w:spacing w:line="500" w:lineRule="exact"/>
        <w:ind w:firstLine="480" w:firstLineChars="200"/>
      </w:pPr>
      <w:r>
        <w:rPr>
          <w:rFonts w:hint="eastAsia"/>
        </w:rPr>
        <w:t>该项目年初预算1</w:t>
      </w:r>
      <w:r>
        <w:t>0.00</w:t>
      </w:r>
      <w:r>
        <w:rPr>
          <w:rFonts w:hint="eastAsia"/>
        </w:rPr>
        <w:t>万元，但未针对1</w:t>
      </w:r>
      <w:r>
        <w:t>0.00</w:t>
      </w:r>
      <w:r>
        <w:rPr>
          <w:rFonts w:hint="eastAsia"/>
        </w:rPr>
        <w:t>万元的预算编制构成内容，预算测算科学性不足，对于资金如何分配、使用，宣传方式、宣传效果等内容缺少明细测算。</w:t>
      </w:r>
    </w:p>
    <w:p>
      <w:pPr>
        <w:spacing w:line="500" w:lineRule="exact"/>
        <w:ind w:firstLine="480" w:firstLineChars="200"/>
        <w:outlineLvl w:val="1"/>
      </w:pPr>
      <w:bookmarkStart w:id="33" w:name="_Toc8330"/>
      <w:r>
        <w:rPr>
          <w:rFonts w:hint="eastAsia"/>
        </w:rPr>
        <w:t>（三）未针对服务对象开展满意度问卷调查</w:t>
      </w:r>
      <w:bookmarkEnd w:id="33"/>
    </w:p>
    <w:p>
      <w:pPr>
        <w:spacing w:line="500" w:lineRule="exact"/>
        <w:ind w:firstLine="480" w:firstLineChars="200"/>
      </w:pPr>
      <w:r>
        <w:rPr>
          <w:rFonts w:hint="eastAsia"/>
        </w:rPr>
        <w:t>为东丽区群众发放安全生产、防灾减灾等方面的宣传物资，开展教育培训活动，宣传效果明显，受益对象明确，但未针对受益群体开展满意度问卷调查，影响对项目实施效果的评价。</w:t>
      </w:r>
    </w:p>
    <w:p>
      <w:pPr>
        <w:spacing w:line="500" w:lineRule="exact"/>
        <w:ind w:firstLine="482" w:firstLineChars="200"/>
        <w:outlineLvl w:val="0"/>
        <w:rPr>
          <w:b/>
          <w:bCs/>
        </w:rPr>
      </w:pPr>
      <w:bookmarkStart w:id="34" w:name="_Toc7276"/>
      <w:r>
        <w:rPr>
          <w:rFonts w:hint="eastAsia"/>
          <w:b/>
          <w:bCs/>
        </w:rPr>
        <w:t>七、相关建议</w:t>
      </w:r>
      <w:bookmarkEnd w:id="34"/>
    </w:p>
    <w:p>
      <w:pPr>
        <w:spacing w:line="500" w:lineRule="exact"/>
        <w:ind w:firstLine="480" w:firstLineChars="200"/>
        <w:outlineLvl w:val="1"/>
      </w:pPr>
      <w:bookmarkStart w:id="35" w:name="_Toc3781"/>
      <w:r>
        <w:rPr>
          <w:rFonts w:hint="eastAsia"/>
        </w:rPr>
        <w:t>（一）规范填报绩效目标表</w:t>
      </w:r>
      <w:bookmarkEnd w:id="35"/>
    </w:p>
    <w:p>
      <w:pPr>
        <w:spacing w:line="500" w:lineRule="exact"/>
        <w:ind w:firstLine="480" w:firstLineChars="200"/>
      </w:pPr>
      <w:r>
        <w:rPr>
          <w:rFonts w:hint="eastAsia"/>
        </w:rPr>
        <w:t>绩效目标表是单位绩效自评的基础，是考核项目完成情况的依据，区应急局应进一步提高绩效目标管理意识，根据年度宣传计划以及具体的宣传教育内容、形式、规模、时间安排等内容，完整填报各项产出指标，增加绩效目标表的可考量性。</w:t>
      </w:r>
    </w:p>
    <w:p>
      <w:pPr>
        <w:spacing w:line="500" w:lineRule="exact"/>
        <w:ind w:firstLine="480" w:firstLineChars="200"/>
        <w:outlineLvl w:val="1"/>
      </w:pPr>
      <w:bookmarkStart w:id="36" w:name="_Toc29547"/>
      <w:r>
        <w:rPr>
          <w:rFonts w:hint="eastAsia"/>
        </w:rPr>
        <w:t>（二）预算编制缺少明细构成</w:t>
      </w:r>
      <w:bookmarkEnd w:id="36"/>
    </w:p>
    <w:p>
      <w:pPr>
        <w:spacing w:line="500" w:lineRule="exact"/>
        <w:ind w:firstLine="480" w:firstLineChars="200"/>
      </w:pPr>
      <w:r>
        <w:rPr>
          <w:rFonts w:hint="eastAsia"/>
        </w:rPr>
        <w:t>根据年度工作内容，细化编制预算，提高预算的科学性、合理性。按照宣传方式具体涉及的宣传物资种类、数量、单价等具体内容分解年度预算构成，合理测算年度预算，减少资金的滞留，提高财政资金使用效率。</w:t>
      </w:r>
    </w:p>
    <w:p>
      <w:pPr>
        <w:spacing w:line="500" w:lineRule="exact"/>
        <w:ind w:firstLine="480" w:firstLineChars="200"/>
        <w:outlineLvl w:val="1"/>
      </w:pPr>
      <w:bookmarkStart w:id="37" w:name="_Toc2389"/>
      <w:r>
        <w:rPr>
          <w:rFonts w:hint="eastAsia"/>
        </w:rPr>
        <w:t>（三）及时开展满意度问卷调查</w:t>
      </w:r>
      <w:bookmarkEnd w:id="37"/>
    </w:p>
    <w:p>
      <w:pPr>
        <w:spacing w:line="500" w:lineRule="exact"/>
        <w:ind w:firstLine="480" w:firstLineChars="200"/>
      </w:pPr>
      <w:r>
        <w:rPr>
          <w:rFonts w:hint="eastAsia"/>
        </w:rPr>
        <w:t>针对宣传教育活动的开展，增加对参与群众的问卷调查环节，并统计调查结果，分析活动开展的内容、形式等事项对宣传效果的影响，及时反馈宣传开展活动效果，便于对下一次活动开展提供经验和改进建议。</w:t>
      </w:r>
    </w:p>
    <w:p>
      <w:pPr>
        <w:spacing w:line="500" w:lineRule="exact"/>
        <w:ind w:firstLine="480" w:firstLineChars="200"/>
      </w:pPr>
    </w:p>
    <w:p>
      <w:pPr>
        <w:ind w:firstLine="480" w:firstLineChars="200"/>
      </w:pPr>
      <w:r>
        <w:rPr>
          <w:rFonts w:hint="eastAsia"/>
        </w:rPr>
        <w:t>附件：宣传教育经费绩效评价体系评分表</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67146358"/>
    </w:sdtPr>
    <w:sdtContent>
      <w:p>
        <w:pPr>
          <w:pStyle w:val="8"/>
          <w:jc w:val="center"/>
        </w:pPr>
        <w:r>
          <w:fldChar w:fldCharType="begin"/>
        </w:r>
        <w:r>
          <w:instrText xml:space="preserve">PAGE   \* MERGEFORMAT</w:instrText>
        </w:r>
        <w:r>
          <w:fldChar w:fldCharType="separate"/>
        </w:r>
        <w:r>
          <w:rPr>
            <w:lang w:val="zh-CN"/>
          </w:rPr>
          <w:t>1</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E05E20"/>
    <w:multiLevelType w:val="multilevel"/>
    <w:tmpl w:val="4EE05E20"/>
    <w:lvl w:ilvl="0" w:tentative="0">
      <w:start w:val="1"/>
      <w:numFmt w:val="chineseCounting"/>
      <w:pStyle w:val="2"/>
      <w:suff w:val="nothing"/>
      <w:lvlText w:val="%1、"/>
      <w:lvlJc w:val="left"/>
      <w:pPr>
        <w:ind w:left="0" w:firstLine="0"/>
      </w:pPr>
      <w:rPr>
        <w:rFonts w:hint="eastAsia"/>
      </w:rPr>
    </w:lvl>
    <w:lvl w:ilvl="1" w:tentative="0">
      <w:start w:val="1"/>
      <w:numFmt w:val="chineseCounting"/>
      <w:pStyle w:val="3"/>
      <w:suff w:val="nothing"/>
      <w:lvlText w:val="（%2）"/>
      <w:lvlJc w:val="left"/>
      <w:pPr>
        <w:ind w:left="0" w:firstLine="0"/>
      </w:pPr>
      <w:rPr>
        <w:rFonts w:hint="eastAsia"/>
        <w:lang w:val="en-US"/>
      </w:rPr>
    </w:lvl>
    <w:lvl w:ilvl="2" w:tentative="0">
      <w:start w:val="1"/>
      <w:numFmt w:val="decimal"/>
      <w:suff w:val="nothing"/>
      <w:lvlText w:val="%3．"/>
      <w:lvlJc w:val="left"/>
      <w:pPr>
        <w:ind w:left="-40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5775C1B2"/>
    <w:multiLevelType w:val="singleLevel"/>
    <w:tmpl w:val="5775C1B2"/>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9A0162"/>
    <w:rsid w:val="0004191F"/>
    <w:rsid w:val="000504B2"/>
    <w:rsid w:val="000F36A0"/>
    <w:rsid w:val="00103B3B"/>
    <w:rsid w:val="00166C6D"/>
    <w:rsid w:val="00172922"/>
    <w:rsid w:val="00175CAA"/>
    <w:rsid w:val="001D3F7B"/>
    <w:rsid w:val="001F63EB"/>
    <w:rsid w:val="002116DB"/>
    <w:rsid w:val="00275C9D"/>
    <w:rsid w:val="002853C0"/>
    <w:rsid w:val="00294F54"/>
    <w:rsid w:val="002A6C9C"/>
    <w:rsid w:val="002C02DC"/>
    <w:rsid w:val="002C1495"/>
    <w:rsid w:val="002F2EEB"/>
    <w:rsid w:val="00307B95"/>
    <w:rsid w:val="00336277"/>
    <w:rsid w:val="00336D7A"/>
    <w:rsid w:val="00366FBE"/>
    <w:rsid w:val="00374D1E"/>
    <w:rsid w:val="003C3E66"/>
    <w:rsid w:val="003E45DA"/>
    <w:rsid w:val="00444616"/>
    <w:rsid w:val="004606B2"/>
    <w:rsid w:val="004D0E8A"/>
    <w:rsid w:val="004D3ED7"/>
    <w:rsid w:val="00511C3E"/>
    <w:rsid w:val="00532A7B"/>
    <w:rsid w:val="005611C7"/>
    <w:rsid w:val="005C3034"/>
    <w:rsid w:val="005E73A0"/>
    <w:rsid w:val="005F4067"/>
    <w:rsid w:val="00641674"/>
    <w:rsid w:val="006555D8"/>
    <w:rsid w:val="006952E4"/>
    <w:rsid w:val="00696057"/>
    <w:rsid w:val="006A1AC3"/>
    <w:rsid w:val="006D1831"/>
    <w:rsid w:val="00707D80"/>
    <w:rsid w:val="00726971"/>
    <w:rsid w:val="007A12E5"/>
    <w:rsid w:val="00875CC5"/>
    <w:rsid w:val="00890FD0"/>
    <w:rsid w:val="00915BAB"/>
    <w:rsid w:val="00934799"/>
    <w:rsid w:val="0094729F"/>
    <w:rsid w:val="00971BF8"/>
    <w:rsid w:val="00986545"/>
    <w:rsid w:val="009965E8"/>
    <w:rsid w:val="009D20BB"/>
    <w:rsid w:val="009E1884"/>
    <w:rsid w:val="00A15F67"/>
    <w:rsid w:val="00A75273"/>
    <w:rsid w:val="00AE5AAF"/>
    <w:rsid w:val="00B011E0"/>
    <w:rsid w:val="00B245CF"/>
    <w:rsid w:val="00B65925"/>
    <w:rsid w:val="00B841BD"/>
    <w:rsid w:val="00BB0A12"/>
    <w:rsid w:val="00BB37B1"/>
    <w:rsid w:val="00BD4EC2"/>
    <w:rsid w:val="00C0600B"/>
    <w:rsid w:val="00C14633"/>
    <w:rsid w:val="00C502E0"/>
    <w:rsid w:val="00C626D0"/>
    <w:rsid w:val="00C656F6"/>
    <w:rsid w:val="00C96C4B"/>
    <w:rsid w:val="00CC2DAE"/>
    <w:rsid w:val="00CC74F0"/>
    <w:rsid w:val="00D3167F"/>
    <w:rsid w:val="00D66E39"/>
    <w:rsid w:val="00D77892"/>
    <w:rsid w:val="00DC58E0"/>
    <w:rsid w:val="00E729F6"/>
    <w:rsid w:val="00EB2529"/>
    <w:rsid w:val="00EC0F1D"/>
    <w:rsid w:val="00EC3F76"/>
    <w:rsid w:val="00EE2580"/>
    <w:rsid w:val="00F065BC"/>
    <w:rsid w:val="00F237B7"/>
    <w:rsid w:val="00F26FA7"/>
    <w:rsid w:val="00F52507"/>
    <w:rsid w:val="00FB7D01"/>
    <w:rsid w:val="00FE1F89"/>
    <w:rsid w:val="01387F48"/>
    <w:rsid w:val="01F34BEA"/>
    <w:rsid w:val="07B05960"/>
    <w:rsid w:val="087A0447"/>
    <w:rsid w:val="09B01C47"/>
    <w:rsid w:val="0A8D3E13"/>
    <w:rsid w:val="0BA36ACB"/>
    <w:rsid w:val="13BF6725"/>
    <w:rsid w:val="14151E43"/>
    <w:rsid w:val="17BC5527"/>
    <w:rsid w:val="19595E57"/>
    <w:rsid w:val="196654C9"/>
    <w:rsid w:val="19677F5C"/>
    <w:rsid w:val="1A385A6D"/>
    <w:rsid w:val="1DC1221D"/>
    <w:rsid w:val="20DD25EA"/>
    <w:rsid w:val="233F6D50"/>
    <w:rsid w:val="243D7865"/>
    <w:rsid w:val="246E69C8"/>
    <w:rsid w:val="262E2C03"/>
    <w:rsid w:val="2A8231FA"/>
    <w:rsid w:val="2C9F2793"/>
    <w:rsid w:val="2F2E2D33"/>
    <w:rsid w:val="2F974FF1"/>
    <w:rsid w:val="30912F30"/>
    <w:rsid w:val="33D02303"/>
    <w:rsid w:val="35A0699A"/>
    <w:rsid w:val="363D4937"/>
    <w:rsid w:val="37882942"/>
    <w:rsid w:val="38B12869"/>
    <w:rsid w:val="3A1E65D5"/>
    <w:rsid w:val="3A724E3A"/>
    <w:rsid w:val="3B405F4E"/>
    <w:rsid w:val="3CA31014"/>
    <w:rsid w:val="3CB558BC"/>
    <w:rsid w:val="3EB5694B"/>
    <w:rsid w:val="405771D1"/>
    <w:rsid w:val="4611125F"/>
    <w:rsid w:val="46C840DF"/>
    <w:rsid w:val="471B0B60"/>
    <w:rsid w:val="49F11610"/>
    <w:rsid w:val="4A192915"/>
    <w:rsid w:val="4A693D82"/>
    <w:rsid w:val="4B1278E9"/>
    <w:rsid w:val="4C152E18"/>
    <w:rsid w:val="4D0A4797"/>
    <w:rsid w:val="4DCD7AA1"/>
    <w:rsid w:val="4E235B10"/>
    <w:rsid w:val="4FDC2124"/>
    <w:rsid w:val="51303F7A"/>
    <w:rsid w:val="51E03B2A"/>
    <w:rsid w:val="52794D53"/>
    <w:rsid w:val="556F788D"/>
    <w:rsid w:val="55B313A7"/>
    <w:rsid w:val="56525FC6"/>
    <w:rsid w:val="58247055"/>
    <w:rsid w:val="589A0162"/>
    <w:rsid w:val="5B787F25"/>
    <w:rsid w:val="5EAD2C70"/>
    <w:rsid w:val="5EB8703A"/>
    <w:rsid w:val="5ED864A3"/>
    <w:rsid w:val="5F38241F"/>
    <w:rsid w:val="64930237"/>
    <w:rsid w:val="675F16E0"/>
    <w:rsid w:val="681F1498"/>
    <w:rsid w:val="684B418A"/>
    <w:rsid w:val="69F201F2"/>
    <w:rsid w:val="6AC33DB7"/>
    <w:rsid w:val="6BB133F6"/>
    <w:rsid w:val="6BE073E2"/>
    <w:rsid w:val="6D084B04"/>
    <w:rsid w:val="6F744E0F"/>
    <w:rsid w:val="70671D7D"/>
    <w:rsid w:val="72187CF3"/>
    <w:rsid w:val="736304E5"/>
    <w:rsid w:val="74471CA9"/>
    <w:rsid w:val="7487549A"/>
    <w:rsid w:val="76854D0B"/>
    <w:rsid w:val="79764B5C"/>
    <w:rsid w:val="7BC65BA9"/>
    <w:rsid w:val="7C8A0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6" w:lineRule="auto"/>
      <w:outlineLvl w:val="0"/>
    </w:pPr>
    <w:rPr>
      <w:b/>
      <w:kern w:val="44"/>
    </w:rPr>
  </w:style>
  <w:style w:type="paragraph" w:styleId="3">
    <w:name w:val="heading 2"/>
    <w:basedOn w:val="1"/>
    <w:next w:val="1"/>
    <w:unhideWhenUsed/>
    <w:qFormat/>
    <w:uiPriority w:val="0"/>
    <w:pPr>
      <w:keepNext/>
      <w:keepLines/>
      <w:numPr>
        <w:ilvl w:val="1"/>
        <w:numId w:val="1"/>
      </w:numPr>
      <w:tabs>
        <w:tab w:val="left" w:pos="0"/>
      </w:tabs>
      <w:spacing w:before="260" w:after="260" w:line="360" w:lineRule="auto"/>
      <w:outlineLvl w:val="1"/>
    </w:pPr>
    <w:rPr>
      <w:rFonts w:ascii="Arial" w:hAnsi="Arial" w:cs="Times New Roman"/>
      <w:szCs w:val="22"/>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23"/>
    <w:qFormat/>
    <w:uiPriority w:val="0"/>
  </w:style>
  <w:style w:type="paragraph" w:styleId="5">
    <w:name w:val="Body Text"/>
    <w:basedOn w:val="1"/>
    <w:next w:val="1"/>
    <w:qFormat/>
    <w:uiPriority w:val="0"/>
    <w:pPr>
      <w:tabs>
        <w:tab w:val="left" w:pos="567"/>
      </w:tabs>
      <w:spacing w:before="120" w:line="22" w:lineRule="atLeast"/>
    </w:pPr>
    <w:rPr>
      <w:rFonts w:cs="Calibri"/>
      <w:szCs w:val="21"/>
    </w:rPr>
  </w:style>
  <w:style w:type="paragraph" w:styleId="6">
    <w:name w:val="Body Text Indent"/>
    <w:basedOn w:val="1"/>
    <w:qFormat/>
    <w:uiPriority w:val="0"/>
    <w:pPr>
      <w:snapToGrid w:val="0"/>
      <w:spacing w:before="60" w:after="60" w:line="300" w:lineRule="auto"/>
      <w:ind w:left="540"/>
    </w:pPr>
    <w:rPr>
      <w:rFonts w:ascii="Arial" w:hAnsi="Arial"/>
    </w:rPr>
  </w:style>
  <w:style w:type="paragraph" w:styleId="7">
    <w:name w:val="Balloon Text"/>
    <w:basedOn w:val="1"/>
    <w:link w:val="27"/>
    <w:qFormat/>
    <w:uiPriority w:val="0"/>
    <w:rPr>
      <w:sz w:val="18"/>
      <w:szCs w:val="18"/>
    </w:rPr>
  </w:style>
  <w:style w:type="paragraph" w:styleId="8">
    <w:name w:val="footer"/>
    <w:basedOn w:val="1"/>
    <w:link w:val="26"/>
    <w:qFormat/>
    <w:uiPriority w:val="99"/>
    <w:pPr>
      <w:tabs>
        <w:tab w:val="center" w:pos="4153"/>
        <w:tab w:val="right" w:pos="8306"/>
      </w:tabs>
      <w:snapToGrid w:val="0"/>
    </w:pPr>
    <w:rPr>
      <w:sz w:val="18"/>
    </w:rPr>
  </w:style>
  <w:style w:type="paragraph" w:styleId="9">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qFormat/>
    <w:uiPriority w:val="39"/>
  </w:style>
  <w:style w:type="paragraph" w:styleId="11">
    <w:name w:val="toc 2"/>
    <w:basedOn w:val="1"/>
    <w:next w:val="1"/>
    <w:qFormat/>
    <w:uiPriority w:val="39"/>
    <w:pPr>
      <w:ind w:left="420" w:leftChars="200"/>
    </w:pPr>
  </w:style>
  <w:style w:type="paragraph" w:styleId="12">
    <w:name w:val="annotation subject"/>
    <w:basedOn w:val="4"/>
    <w:next w:val="4"/>
    <w:link w:val="24"/>
    <w:qFormat/>
    <w:uiPriority w:val="0"/>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unhideWhenUsed/>
    <w:qFormat/>
    <w:uiPriority w:val="99"/>
    <w:rPr>
      <w:color w:val="0563C1" w:themeColor="hyperlink"/>
      <w:u w:val="single"/>
      <w14:textFill>
        <w14:solidFill>
          <w14:schemeClr w14:val="hlink"/>
        </w14:solidFill>
      </w14:textFill>
    </w:rPr>
  </w:style>
  <w:style w:type="character" w:styleId="17">
    <w:name w:val="annotation reference"/>
    <w:basedOn w:val="15"/>
    <w:qFormat/>
    <w:uiPriority w:val="0"/>
    <w:rPr>
      <w:sz w:val="21"/>
      <w:szCs w:val="21"/>
    </w:rPr>
  </w:style>
  <w:style w:type="character" w:customStyle="1" w:styleId="18">
    <w:name w:val="font41"/>
    <w:basedOn w:val="15"/>
    <w:qFormat/>
    <w:uiPriority w:val="0"/>
    <w:rPr>
      <w:rFonts w:hint="default" w:ascii="Times New Roman" w:hAnsi="Times New Roman" w:cs="Times New Roman"/>
      <w:color w:val="000000"/>
      <w:sz w:val="21"/>
      <w:szCs w:val="21"/>
      <w:u w:val="none"/>
    </w:rPr>
  </w:style>
  <w:style w:type="paragraph" w:customStyle="1" w:styleId="19">
    <w:name w:val="Default"/>
    <w:qFormat/>
    <w:uiPriority w:val="0"/>
    <w:pPr>
      <w:widowControl w:val="0"/>
      <w:autoSpaceDE w:val="0"/>
      <w:autoSpaceDN w:val="0"/>
      <w:adjustRightInd w:val="0"/>
    </w:pPr>
    <w:rPr>
      <w:rFonts w:ascii="......." w:hAnsi="......." w:eastAsia="......." w:cs="......."/>
      <w:color w:val="000000"/>
      <w:sz w:val="24"/>
      <w:szCs w:val="24"/>
      <w:lang w:val="en-US" w:eastAsia="zh-CN" w:bidi="ar-SA"/>
    </w:rPr>
  </w:style>
  <w:style w:type="character" w:customStyle="1" w:styleId="20">
    <w:name w:val="font31"/>
    <w:basedOn w:val="15"/>
    <w:qFormat/>
    <w:uiPriority w:val="0"/>
    <w:rPr>
      <w:rFonts w:ascii="宋体" w:hAnsi="宋体" w:eastAsia="宋体" w:cs="宋体"/>
      <w:color w:val="000000"/>
      <w:sz w:val="28"/>
      <w:szCs w:val="28"/>
      <w:u w:val="none"/>
    </w:rPr>
  </w:style>
  <w:style w:type="character" w:customStyle="1" w:styleId="21">
    <w:name w:val="font11"/>
    <w:basedOn w:val="15"/>
    <w:qFormat/>
    <w:uiPriority w:val="0"/>
    <w:rPr>
      <w:rFonts w:hint="eastAsia" w:ascii="宋体" w:hAnsi="宋体" w:eastAsia="宋体" w:cs="宋体"/>
      <w:color w:val="000000"/>
      <w:sz w:val="28"/>
      <w:szCs w:val="28"/>
      <w:u w:val="none"/>
    </w:rPr>
  </w:style>
  <w:style w:type="paragraph" w:customStyle="1" w:styleId="22">
    <w:name w:val="修订1"/>
    <w:hidden/>
    <w:semiHidden/>
    <w:qFormat/>
    <w:uiPriority w:val="99"/>
    <w:rPr>
      <w:rFonts w:eastAsia="宋体" w:asciiTheme="minorHAnsi" w:hAnsiTheme="minorHAnsi" w:cstheme="minorBidi"/>
      <w:kern w:val="2"/>
      <w:sz w:val="24"/>
      <w:szCs w:val="24"/>
      <w:lang w:val="en-US" w:eastAsia="zh-CN" w:bidi="ar-SA"/>
    </w:rPr>
  </w:style>
  <w:style w:type="character" w:customStyle="1" w:styleId="23">
    <w:name w:val="批注文字 字符"/>
    <w:basedOn w:val="15"/>
    <w:link w:val="4"/>
    <w:qFormat/>
    <w:uiPriority w:val="0"/>
    <w:rPr>
      <w:rFonts w:asciiTheme="minorHAnsi" w:hAnsiTheme="minorHAnsi" w:cstheme="minorBidi"/>
      <w:kern w:val="2"/>
      <w:sz w:val="24"/>
      <w:szCs w:val="24"/>
    </w:rPr>
  </w:style>
  <w:style w:type="character" w:customStyle="1" w:styleId="24">
    <w:name w:val="批注主题 字符"/>
    <w:basedOn w:val="23"/>
    <w:link w:val="12"/>
    <w:qFormat/>
    <w:uiPriority w:val="0"/>
    <w:rPr>
      <w:rFonts w:asciiTheme="minorHAnsi" w:hAnsiTheme="minorHAnsi" w:cstheme="minorBidi"/>
      <w:b/>
      <w:bCs/>
      <w:kern w:val="2"/>
      <w:sz w:val="24"/>
      <w:szCs w:val="24"/>
    </w:rPr>
  </w:style>
  <w:style w:type="paragraph" w:customStyle="1" w:styleId="25">
    <w:name w:val="TOC 标题1"/>
    <w:basedOn w:val="2"/>
    <w:next w:val="1"/>
    <w:unhideWhenUsed/>
    <w:qFormat/>
    <w:uiPriority w:val="39"/>
    <w:pPr>
      <w:numPr>
        <w:numId w:val="0"/>
      </w:numPr>
      <w:spacing w:before="240" w:after="0" w:line="259" w:lineRule="auto"/>
      <w:outlineLvl w:val="9"/>
    </w:pPr>
    <w:rPr>
      <w:rFonts w:asciiTheme="majorHAnsi" w:hAnsiTheme="majorHAnsi" w:eastAsiaTheme="majorEastAsia" w:cstheme="majorBidi"/>
      <w:b w:val="0"/>
      <w:color w:val="2E75B6" w:themeColor="accent1" w:themeShade="BF"/>
      <w:kern w:val="0"/>
      <w:sz w:val="32"/>
      <w:szCs w:val="32"/>
    </w:rPr>
  </w:style>
  <w:style w:type="character" w:customStyle="1" w:styleId="26">
    <w:name w:val="页脚 字符"/>
    <w:basedOn w:val="15"/>
    <w:link w:val="8"/>
    <w:qFormat/>
    <w:uiPriority w:val="99"/>
    <w:rPr>
      <w:rFonts w:ascii="宋体" w:hAnsi="宋体" w:cs="宋体"/>
      <w:sz w:val="18"/>
      <w:szCs w:val="24"/>
    </w:rPr>
  </w:style>
  <w:style w:type="character" w:customStyle="1" w:styleId="27">
    <w:name w:val="批注框文本 字符"/>
    <w:basedOn w:val="15"/>
    <w:link w:val="7"/>
    <w:qFormat/>
    <w:uiPriority w:val="0"/>
    <w:rPr>
      <w:rFonts w:ascii="宋体" w:hAnsi="宋体" w:cs="宋体"/>
      <w:sz w:val="18"/>
      <w:szCs w:val="18"/>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0">
    <w:name w:val="Revision"/>
    <w:hidden/>
    <w:semiHidden/>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2EA81C-03D1-4B71-85A5-D8A206091860}">
  <ds:schemaRefs/>
</ds:datastoreItem>
</file>

<file path=docProps/app.xml><?xml version="1.0" encoding="utf-8"?>
<Properties xmlns="http://schemas.openxmlformats.org/officeDocument/2006/extended-properties" xmlns:vt="http://schemas.openxmlformats.org/officeDocument/2006/docPropsVTypes">
  <Template>Normal</Template>
  <Pages>1</Pages>
  <Words>1506</Words>
  <Characters>8586</Characters>
  <Lines>71</Lines>
  <Paragraphs>20</Paragraphs>
  <TotalTime>5</TotalTime>
  <ScaleCrop>false</ScaleCrop>
  <LinksUpToDate>false</LinksUpToDate>
  <CharactersWithSpaces>10072</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2022-01-06T04:37:00Z</dcterms:created>
  <dc:creator>小石头</dc:creator>
  <cp:lastModifiedBy>婧</cp:lastModifiedBy>
  <dcterms:modified xsi:type="dcterms:W3CDTF">2022-01-07T06:46:25Z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4776B42D4A184CABBF406FFD2474D4D2</vt:lpwstr>
  </property>
</Properties>
</file>