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cs="宋体"/>
          <w:highlight w:val="none"/>
        </w:rPr>
      </w:pPr>
      <w:r>
        <w:rPr>
          <w:rFonts w:hint="eastAsia" w:ascii="宋体" w:hAnsi="宋体" w:cs="宋体"/>
          <w:highlight w:val="none"/>
        </w:rPr>
        <w:t xml:space="preserve"> </w:t>
      </w:r>
    </w:p>
    <w:p>
      <w:pPr>
        <w:rPr>
          <w:rFonts w:ascii="宋体" w:hAnsi="宋体" w:cs="宋体"/>
          <w:highlight w:val="none"/>
        </w:rPr>
      </w:pPr>
    </w:p>
    <w:p>
      <w:pPr>
        <w:spacing w:line="360" w:lineRule="auto"/>
        <w:ind w:firstLine="643" w:firstLineChars="200"/>
        <w:jc w:val="center"/>
        <w:rPr>
          <w:rFonts w:ascii="宋体" w:hAnsi="宋体" w:cs="宋体"/>
          <w:b/>
          <w:sz w:val="32"/>
          <w:szCs w:val="32"/>
          <w:highlight w:val="none"/>
        </w:rPr>
      </w:pPr>
      <w:r>
        <w:rPr>
          <w:rFonts w:hint="eastAsia" w:ascii="宋体" w:hAnsi="宋体" w:cs="宋体"/>
          <w:b/>
          <w:sz w:val="32"/>
          <w:szCs w:val="32"/>
          <w:highlight w:val="none"/>
        </w:rPr>
        <w:t>东丽区安防网2019年度系统软件技术及系统网络设备维护服务项目绩效评价报告</w:t>
      </w:r>
    </w:p>
    <w:p>
      <w:pPr>
        <w:spacing w:line="360" w:lineRule="exact"/>
        <w:jc w:val="center"/>
        <w:rPr>
          <w:rFonts w:ascii="宋体" w:hAnsi="宋体" w:cs="宋体"/>
          <w:highlight w:val="none"/>
        </w:rPr>
      </w:pPr>
    </w:p>
    <w:p>
      <w:pPr>
        <w:spacing w:line="360" w:lineRule="exact"/>
        <w:jc w:val="center"/>
        <w:rPr>
          <w:rFonts w:ascii="宋体" w:hAnsi="宋体" w:cs="宋体"/>
          <w:highlight w:val="none"/>
        </w:rPr>
      </w:pPr>
    </w:p>
    <w:p>
      <w:pPr>
        <w:rPr>
          <w:rFonts w:ascii="宋体" w:hAnsi="宋体" w:cs="宋体"/>
          <w:sz w:val="32"/>
          <w:szCs w:val="32"/>
          <w:highlight w:val="none"/>
        </w:rPr>
      </w:pPr>
    </w:p>
    <w:p>
      <w:pPr>
        <w:spacing w:line="800" w:lineRule="exact"/>
        <w:rPr>
          <w:rFonts w:ascii="宋体" w:hAnsi="宋体" w:cs="宋体"/>
          <w:sz w:val="32"/>
          <w:szCs w:val="32"/>
          <w:highlight w:val="none"/>
        </w:rPr>
      </w:pPr>
    </w:p>
    <w:p>
      <w:pPr>
        <w:spacing w:line="800" w:lineRule="exact"/>
        <w:ind w:left="1920" w:leftChars="300" w:hanging="1200" w:hangingChars="500"/>
        <w:jc w:val="left"/>
        <w:rPr>
          <w:rFonts w:ascii="宋体" w:hAnsi="宋体" w:cs="宋体"/>
          <w:highlight w:val="none"/>
          <w:u w:val="single"/>
        </w:rPr>
      </w:pPr>
      <w:r>
        <w:rPr>
          <w:rFonts w:hint="eastAsia" w:ascii="宋体" w:hAnsi="宋体" w:cs="宋体"/>
          <w:highlight w:val="none"/>
        </w:rPr>
        <w:t xml:space="preserve">项目名称 </w:t>
      </w:r>
      <w:r>
        <w:rPr>
          <w:rFonts w:hint="eastAsia" w:ascii="宋体" w:hAnsi="宋体" w:cs="宋体"/>
          <w:highlight w:val="none"/>
          <w:u w:val="single"/>
        </w:rPr>
        <w:t>东丽区安防网2019年度系统软件技术及系统网络设备维护服务项目</w:t>
      </w:r>
    </w:p>
    <w:p>
      <w:pPr>
        <w:spacing w:line="800" w:lineRule="exact"/>
        <w:ind w:firstLine="720" w:firstLineChars="300"/>
        <w:jc w:val="left"/>
        <w:rPr>
          <w:rFonts w:ascii="宋体" w:hAnsi="宋体" w:cs="宋体"/>
          <w:highlight w:val="none"/>
          <w:u w:val="single"/>
        </w:rPr>
      </w:pPr>
      <w:r>
        <w:rPr>
          <w:rFonts w:hint="eastAsia" w:ascii="宋体" w:hAnsi="宋体" w:cs="宋体"/>
          <w:highlight w:val="none"/>
        </w:rPr>
        <w:t xml:space="preserve">项目单位 </w:t>
      </w:r>
      <w:r>
        <w:rPr>
          <w:rFonts w:hint="eastAsia" w:ascii="宋体" w:hAnsi="宋体" w:cs="宋体"/>
          <w:highlight w:val="none"/>
          <w:u w:val="single"/>
        </w:rPr>
        <w:t xml:space="preserve">天津市东丽区应急管理局   </w:t>
      </w:r>
    </w:p>
    <w:p>
      <w:pPr>
        <w:spacing w:line="800" w:lineRule="exact"/>
        <w:ind w:firstLine="1920" w:firstLineChars="800"/>
        <w:jc w:val="left"/>
        <w:rPr>
          <w:rFonts w:ascii="宋体" w:hAnsi="宋体" w:cs="宋体"/>
          <w:highlight w:val="none"/>
          <w:u w:val="single"/>
        </w:rPr>
      </w:pPr>
    </w:p>
    <w:p>
      <w:pPr>
        <w:spacing w:line="348" w:lineRule="auto"/>
        <w:jc w:val="center"/>
        <w:rPr>
          <w:rFonts w:ascii="宋体" w:hAnsi="宋体" w:cs="宋体"/>
          <w:highlight w:val="none"/>
        </w:rPr>
      </w:pPr>
    </w:p>
    <w:p>
      <w:pPr>
        <w:spacing w:line="348" w:lineRule="auto"/>
        <w:jc w:val="center"/>
        <w:rPr>
          <w:rFonts w:ascii="宋体" w:hAnsi="宋体" w:cs="宋体"/>
          <w:highlight w:val="none"/>
        </w:rPr>
      </w:pPr>
    </w:p>
    <w:p>
      <w:pPr>
        <w:spacing w:line="348" w:lineRule="auto"/>
        <w:jc w:val="center"/>
        <w:rPr>
          <w:rFonts w:ascii="宋体" w:hAnsi="宋体" w:cs="宋体"/>
          <w:highlight w:val="none"/>
        </w:rPr>
      </w:pPr>
    </w:p>
    <w:p>
      <w:pPr>
        <w:spacing w:line="348" w:lineRule="auto"/>
        <w:jc w:val="center"/>
        <w:rPr>
          <w:rFonts w:ascii="宋体" w:hAnsi="宋体" w:cs="宋体"/>
          <w:highlight w:val="none"/>
        </w:rPr>
      </w:pPr>
    </w:p>
    <w:p>
      <w:pPr>
        <w:spacing w:line="348" w:lineRule="auto"/>
        <w:jc w:val="center"/>
        <w:rPr>
          <w:rFonts w:ascii="宋体" w:hAnsi="宋体" w:cs="宋体"/>
          <w:highlight w:val="none"/>
        </w:rPr>
      </w:pPr>
    </w:p>
    <w:p>
      <w:pPr>
        <w:spacing w:line="348" w:lineRule="auto"/>
        <w:jc w:val="center"/>
        <w:rPr>
          <w:rFonts w:ascii="宋体" w:hAnsi="宋体" w:cs="宋体"/>
          <w:highlight w:val="none"/>
        </w:rPr>
      </w:pPr>
    </w:p>
    <w:p>
      <w:pPr>
        <w:spacing w:line="348" w:lineRule="auto"/>
        <w:jc w:val="center"/>
        <w:rPr>
          <w:rFonts w:ascii="宋体" w:hAnsi="宋体" w:cs="宋体"/>
          <w:highlight w:val="none"/>
        </w:rPr>
      </w:pPr>
      <w:r>
        <w:rPr>
          <w:rFonts w:hint="eastAsia" w:ascii="宋体" w:hAnsi="宋体" w:cs="宋体"/>
          <w:highlight w:val="none"/>
        </w:rPr>
        <w:t>天津广信有限责任会计师事务所</w:t>
      </w:r>
    </w:p>
    <w:p>
      <w:pPr>
        <w:spacing w:line="348" w:lineRule="auto"/>
        <w:jc w:val="center"/>
        <w:rPr>
          <w:rFonts w:ascii="宋体" w:hAnsi="宋体" w:cs="宋体"/>
          <w:highlight w:val="none"/>
        </w:rPr>
      </w:pPr>
    </w:p>
    <w:p>
      <w:pPr>
        <w:spacing w:line="348" w:lineRule="auto"/>
        <w:jc w:val="center"/>
        <w:rPr>
          <w:rFonts w:ascii="宋体" w:hAnsi="宋体" w:cs="宋体"/>
          <w:highlight w:val="none"/>
        </w:rPr>
      </w:pPr>
      <w:r>
        <w:rPr>
          <w:rFonts w:hint="eastAsia" w:ascii="宋体" w:hAnsi="宋体" w:cs="宋体"/>
          <w:highlight w:val="none"/>
        </w:rPr>
        <w:t>202</w:t>
      </w:r>
      <w:r>
        <w:rPr>
          <w:rFonts w:hint="eastAsia" w:ascii="宋体" w:hAnsi="宋体" w:cs="宋体"/>
          <w:highlight w:val="none"/>
          <w:lang w:val="en-US" w:eastAsia="zh-CN"/>
        </w:rPr>
        <w:t>1</w:t>
      </w:r>
      <w:r>
        <w:rPr>
          <w:rFonts w:hint="eastAsia" w:ascii="宋体" w:hAnsi="宋体" w:cs="宋体"/>
          <w:highlight w:val="none"/>
        </w:rPr>
        <w:t>年1</w:t>
      </w:r>
      <w:r>
        <w:rPr>
          <w:rFonts w:hint="eastAsia" w:ascii="宋体" w:hAnsi="宋体" w:cs="宋体"/>
          <w:highlight w:val="none"/>
          <w:lang w:val="en-US" w:eastAsia="zh-CN"/>
        </w:rPr>
        <w:t>2</w:t>
      </w:r>
      <w:r>
        <w:rPr>
          <w:rFonts w:hint="eastAsia" w:ascii="宋体" w:hAnsi="宋体" w:cs="宋体"/>
          <w:highlight w:val="none"/>
        </w:rPr>
        <w:t>月</w:t>
      </w:r>
      <w:r>
        <w:rPr>
          <w:rFonts w:hint="eastAsia" w:ascii="宋体" w:hAnsi="宋体" w:cs="宋体"/>
          <w:highlight w:val="none"/>
          <w:lang w:val="en-US" w:eastAsia="zh-CN"/>
        </w:rPr>
        <w:t>17</w:t>
      </w:r>
      <w:r>
        <w:rPr>
          <w:rFonts w:hint="eastAsia" w:ascii="宋体" w:hAnsi="宋体" w:cs="宋体"/>
          <w:highlight w:val="none"/>
        </w:rPr>
        <w:t>日</w:t>
      </w:r>
    </w:p>
    <w:p>
      <w:pPr>
        <w:jc w:val="center"/>
        <w:rPr>
          <w:rFonts w:ascii="宋体" w:hAnsi="宋体" w:cs="宋体"/>
          <w:sz w:val="21"/>
          <w:highlight w:val="none"/>
        </w:rPr>
        <w:sectPr>
          <w:pgSz w:w="11906" w:h="16838"/>
          <w:pgMar w:top="1440" w:right="1800" w:bottom="1440" w:left="1800" w:header="851" w:footer="992" w:gutter="0"/>
          <w:cols w:space="425" w:num="1"/>
          <w:docGrid w:type="lines" w:linePitch="312" w:charSpace="0"/>
        </w:sectPr>
      </w:pPr>
    </w:p>
    <w:sdt>
      <w:sdtPr>
        <w:rPr>
          <w:rFonts w:ascii="宋体" w:hAnsi="宋体"/>
          <w:sz w:val="21"/>
          <w:highlight w:val="none"/>
        </w:rPr>
        <w:id w:val="147481590"/>
        <w15:color w:val="DBDBDB"/>
        <w:docPartObj>
          <w:docPartGallery w:val="Table of Contents"/>
          <w:docPartUnique/>
        </w:docPartObj>
      </w:sdtPr>
      <w:sdtEndPr>
        <w:rPr>
          <w:rFonts w:ascii="宋体" w:hAnsi="宋体" w:cs="宋体"/>
          <w:b/>
          <w:sz w:val="24"/>
          <w:highlight w:val="none"/>
        </w:rPr>
      </w:sdtEndPr>
      <w:sdtContent>
        <w:p>
          <w:pPr>
            <w:jc w:val="center"/>
            <w:rPr>
              <w:highlight w:val="none"/>
            </w:rPr>
          </w:pPr>
          <w:r>
            <w:rPr>
              <w:rFonts w:ascii="宋体" w:hAnsi="宋体"/>
              <w:b/>
              <w:bCs/>
              <w:sz w:val="21"/>
              <w:highlight w:val="none"/>
            </w:rPr>
            <w:t>目录</w:t>
          </w:r>
        </w:p>
        <w:p>
          <w:pPr>
            <w:pStyle w:val="15"/>
            <w:tabs>
              <w:tab w:val="right" w:leader="dot" w:pos="8306"/>
            </w:tabs>
            <w:rPr>
              <w:b/>
              <w:highlight w:val="none"/>
            </w:rPr>
          </w:pPr>
          <w:r>
            <w:rPr>
              <w:rFonts w:ascii="宋体" w:hAnsi="宋体" w:cs="宋体"/>
              <w:b/>
              <w:highlight w:val="none"/>
            </w:rPr>
            <w:fldChar w:fldCharType="begin"/>
          </w:r>
          <w:r>
            <w:rPr>
              <w:rFonts w:ascii="宋体" w:hAnsi="宋体" w:cs="宋体"/>
              <w:b/>
              <w:highlight w:val="none"/>
            </w:rPr>
            <w:instrText xml:space="preserve">TOC \o "1-2" \h \u </w:instrText>
          </w:r>
          <w:r>
            <w:rPr>
              <w:rFonts w:ascii="宋体" w:hAnsi="宋体" w:cs="宋体"/>
              <w:b/>
              <w:highlight w:val="none"/>
            </w:rPr>
            <w:fldChar w:fldCharType="separate"/>
          </w:r>
        </w:p>
        <w:p>
          <w:pPr>
            <w:pStyle w:val="15"/>
            <w:tabs>
              <w:tab w:val="right" w:leader="dot" w:pos="8306"/>
            </w:tabs>
            <w:spacing w:line="500" w:lineRule="exact"/>
            <w:rPr>
              <w:b/>
              <w:highlight w:val="none"/>
            </w:rPr>
          </w:pPr>
          <w:r>
            <w:rPr>
              <w:highlight w:val="none"/>
            </w:rPr>
            <w:fldChar w:fldCharType="begin"/>
          </w:r>
          <w:r>
            <w:rPr>
              <w:highlight w:val="none"/>
            </w:rPr>
            <w:instrText xml:space="preserve"> HYPERLINK \l "_Toc20211" </w:instrText>
          </w:r>
          <w:r>
            <w:rPr>
              <w:highlight w:val="none"/>
            </w:rPr>
            <w:fldChar w:fldCharType="separate"/>
          </w:r>
          <w:r>
            <w:rPr>
              <w:rFonts w:ascii="宋体" w:hAnsi="宋体" w:cs="宋体"/>
              <w:b/>
              <w:highlight w:val="none"/>
            </w:rPr>
            <w:t xml:space="preserve">一、 </w:t>
          </w:r>
          <w:r>
            <w:rPr>
              <w:rFonts w:hint="eastAsia" w:ascii="宋体" w:hAnsi="宋体" w:cs="宋体"/>
              <w:b/>
              <w:highlight w:val="none"/>
            </w:rPr>
            <w:t>项目基本概况</w:t>
          </w:r>
          <w:r>
            <w:rPr>
              <w:b/>
              <w:highlight w:val="none"/>
            </w:rPr>
            <w:tab/>
          </w:r>
          <w:r>
            <w:rPr>
              <w:b/>
              <w:highlight w:val="none"/>
            </w:rPr>
            <w:fldChar w:fldCharType="begin"/>
          </w:r>
          <w:r>
            <w:rPr>
              <w:b/>
              <w:highlight w:val="none"/>
            </w:rPr>
            <w:instrText xml:space="preserve"> PAGEREF _Toc20211 \h </w:instrText>
          </w:r>
          <w:r>
            <w:rPr>
              <w:b/>
              <w:highlight w:val="none"/>
            </w:rPr>
            <w:fldChar w:fldCharType="separate"/>
          </w:r>
          <w:r>
            <w:rPr>
              <w:b/>
              <w:highlight w:val="none"/>
            </w:rPr>
            <w:t>1</w:t>
          </w:r>
          <w:r>
            <w:rPr>
              <w:b/>
              <w:highlight w:val="none"/>
            </w:rPr>
            <w:fldChar w:fldCharType="end"/>
          </w:r>
          <w:r>
            <w:rPr>
              <w:b/>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"_Toc13872" </w:instrText>
          </w:r>
          <w:r>
            <w:rPr>
              <w:highlight w:val="none"/>
            </w:rPr>
            <w:fldChar w:fldCharType="separate"/>
          </w:r>
          <w:r>
            <w:rPr>
              <w:rFonts w:hint="eastAsia" w:ascii="宋体" w:hAnsi="宋体" w:cs="宋体"/>
              <w:highlight w:val="none"/>
            </w:rPr>
            <w:t>（一）项目背景</w:t>
          </w:r>
          <w:r>
            <w:rPr>
              <w:highlight w:val="none"/>
            </w:rPr>
            <w:tab/>
          </w:r>
          <w:r>
            <w:rPr>
              <w:highlight w:val="none"/>
            </w:rPr>
            <w:fldChar w:fldCharType="begin"/>
          </w:r>
          <w:r>
            <w:rPr>
              <w:highlight w:val="none"/>
            </w:rPr>
            <w:instrText xml:space="preserve"> PAGEREF _Toc13872 \h </w:instrText>
          </w:r>
          <w:r>
            <w:rPr>
              <w:highlight w:val="none"/>
            </w:rPr>
            <w:fldChar w:fldCharType="separate"/>
          </w:r>
          <w:r>
            <w:rPr>
              <w:highlight w:val="none"/>
            </w:rPr>
            <w:t>1</w:t>
          </w:r>
          <w:r>
            <w:rPr>
              <w:highlight w:val="none"/>
            </w:rPr>
            <w:fldChar w:fldCharType="end"/>
          </w:r>
          <w:r>
            <w:rPr>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"_Toc20427" </w:instrText>
          </w:r>
          <w:r>
            <w:rPr>
              <w:highlight w:val="none"/>
            </w:rPr>
            <w:fldChar w:fldCharType="separate"/>
          </w:r>
          <w:r>
            <w:rPr>
              <w:rFonts w:hint="eastAsia" w:ascii="宋体" w:hAnsi="宋体" w:cs="宋体"/>
              <w:highlight w:val="none"/>
            </w:rPr>
            <w:t>（二）项目组织实施概况</w:t>
          </w:r>
          <w:r>
            <w:rPr>
              <w:highlight w:val="none"/>
            </w:rPr>
            <w:tab/>
          </w:r>
          <w:r>
            <w:rPr>
              <w:highlight w:val="none"/>
            </w:rPr>
            <w:fldChar w:fldCharType="begin"/>
          </w:r>
          <w:r>
            <w:rPr>
              <w:highlight w:val="none"/>
            </w:rPr>
            <w:instrText xml:space="preserve"> PAGEREF _Toc20427 \h </w:instrText>
          </w:r>
          <w:r>
            <w:rPr>
              <w:highlight w:val="none"/>
            </w:rPr>
            <w:fldChar w:fldCharType="separate"/>
          </w:r>
          <w:r>
            <w:rPr>
              <w:highlight w:val="none"/>
            </w:rPr>
            <w:t>1</w:t>
          </w:r>
          <w:r>
            <w:rPr>
              <w:highlight w:val="none"/>
            </w:rPr>
            <w:fldChar w:fldCharType="end"/>
          </w:r>
          <w:r>
            <w:rPr>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"_Toc19826" </w:instrText>
          </w:r>
          <w:r>
            <w:rPr>
              <w:highlight w:val="none"/>
            </w:rPr>
            <w:fldChar w:fldCharType="separate"/>
          </w:r>
          <w:r>
            <w:rPr>
              <w:rFonts w:hint="eastAsia" w:ascii="宋体" w:hAnsi="宋体" w:cs="宋体"/>
              <w:highlight w:val="none"/>
            </w:rPr>
            <w:t>（三）绩效目标设定情况</w:t>
          </w:r>
          <w:r>
            <w:rPr>
              <w:highlight w:val="none"/>
            </w:rPr>
            <w:tab/>
          </w:r>
          <w:r>
            <w:rPr>
              <w:highlight w:val="none"/>
            </w:rPr>
            <w:fldChar w:fldCharType="begin"/>
          </w:r>
          <w:r>
            <w:rPr>
              <w:highlight w:val="none"/>
            </w:rPr>
            <w:instrText xml:space="preserve"> PAGEREF _Toc19826 \h </w:instrText>
          </w:r>
          <w:r>
            <w:rPr>
              <w:highlight w:val="none"/>
            </w:rPr>
            <w:fldChar w:fldCharType="separate"/>
          </w:r>
          <w:r>
            <w:rPr>
              <w:highlight w:val="none"/>
            </w:rPr>
            <w:t>2</w:t>
          </w:r>
          <w:r>
            <w:rPr>
              <w:highlight w:val="none"/>
            </w:rPr>
            <w:fldChar w:fldCharType="end"/>
          </w:r>
          <w:r>
            <w:rPr>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"_Toc3020" </w:instrText>
          </w:r>
          <w:r>
            <w:rPr>
              <w:highlight w:val="none"/>
            </w:rPr>
            <w:fldChar w:fldCharType="separate"/>
          </w:r>
          <w:r>
            <w:rPr>
              <w:rFonts w:hint="eastAsia" w:ascii="宋体" w:hAnsi="宋体" w:cs="宋体"/>
              <w:highlight w:val="none"/>
            </w:rPr>
            <w:t>（四）年度资金执行情况</w:t>
          </w:r>
          <w:r>
            <w:rPr>
              <w:highlight w:val="none"/>
            </w:rPr>
            <w:tab/>
          </w:r>
          <w:r>
            <w:rPr>
              <w:highlight w:val="none"/>
            </w:rPr>
            <w:fldChar w:fldCharType="begin"/>
          </w:r>
          <w:r>
            <w:rPr>
              <w:highlight w:val="none"/>
            </w:rPr>
            <w:instrText xml:space="preserve"> PAGEREF _Toc3020 \h </w:instrText>
          </w:r>
          <w:r>
            <w:rPr>
              <w:highlight w:val="none"/>
            </w:rPr>
            <w:fldChar w:fldCharType="separate"/>
          </w:r>
          <w:r>
            <w:rPr>
              <w:highlight w:val="none"/>
            </w:rPr>
            <w:t>2</w:t>
          </w:r>
          <w:r>
            <w:rPr>
              <w:highlight w:val="none"/>
            </w:rPr>
            <w:fldChar w:fldCharType="end"/>
          </w:r>
          <w:r>
            <w:rPr>
              <w:highlight w:val="none"/>
            </w:rPr>
            <w:fldChar w:fldCharType="end"/>
          </w:r>
        </w:p>
        <w:p>
          <w:pPr>
            <w:pStyle w:val="15"/>
            <w:tabs>
              <w:tab w:val="right" w:leader="dot" w:pos="8306"/>
            </w:tabs>
            <w:spacing w:line="500" w:lineRule="exact"/>
            <w:rPr>
              <w:b/>
              <w:highlight w:val="none"/>
            </w:rPr>
          </w:pPr>
          <w:r>
            <w:rPr>
              <w:highlight w:val="none"/>
            </w:rPr>
            <w:fldChar w:fldCharType="begin"/>
          </w:r>
          <w:r>
            <w:rPr>
              <w:highlight w:val="none"/>
            </w:rPr>
            <w:instrText xml:space="preserve"> HYPERLINK \l "_Toc9922" </w:instrText>
          </w:r>
          <w:r>
            <w:rPr>
              <w:highlight w:val="none"/>
            </w:rPr>
            <w:fldChar w:fldCharType="separate"/>
          </w:r>
          <w:r>
            <w:rPr>
              <w:rFonts w:hint="eastAsia" w:ascii="宋体" w:hAnsi="宋体" w:cs="宋体"/>
              <w:b/>
              <w:highlight w:val="none"/>
            </w:rPr>
            <w:t>二、绩效评价的组织实施情况</w:t>
          </w:r>
          <w:r>
            <w:rPr>
              <w:b/>
              <w:highlight w:val="none"/>
            </w:rPr>
            <w:tab/>
          </w:r>
          <w:r>
            <w:rPr>
              <w:b/>
              <w:highlight w:val="none"/>
            </w:rPr>
            <w:fldChar w:fldCharType="begin"/>
          </w:r>
          <w:r>
            <w:rPr>
              <w:b/>
              <w:highlight w:val="none"/>
            </w:rPr>
            <w:instrText xml:space="preserve"> PAGEREF _Toc9922 \h </w:instrText>
          </w:r>
          <w:r>
            <w:rPr>
              <w:b/>
              <w:highlight w:val="none"/>
            </w:rPr>
            <w:fldChar w:fldCharType="separate"/>
          </w:r>
          <w:r>
            <w:rPr>
              <w:b/>
              <w:highlight w:val="none"/>
            </w:rPr>
            <w:t>2</w:t>
          </w:r>
          <w:r>
            <w:rPr>
              <w:b/>
              <w:highlight w:val="none"/>
            </w:rPr>
            <w:fldChar w:fldCharType="end"/>
          </w:r>
          <w:r>
            <w:rPr>
              <w:b/>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"_Toc8191" </w:instrText>
          </w:r>
          <w:r>
            <w:rPr>
              <w:highlight w:val="none"/>
            </w:rPr>
            <w:fldChar w:fldCharType="separate"/>
          </w:r>
          <w:r>
            <w:rPr>
              <w:rFonts w:hint="eastAsia" w:ascii="宋体" w:hAnsi="宋体" w:cs="宋体"/>
              <w:highlight w:val="none"/>
            </w:rPr>
            <w:t>（一）绩效评价项目组的人员构成</w:t>
          </w:r>
          <w:r>
            <w:rPr>
              <w:highlight w:val="none"/>
            </w:rPr>
            <w:tab/>
          </w:r>
          <w:r>
            <w:rPr>
              <w:highlight w:val="none"/>
            </w:rPr>
            <w:fldChar w:fldCharType="begin"/>
          </w:r>
          <w:r>
            <w:rPr>
              <w:highlight w:val="none"/>
            </w:rPr>
            <w:instrText xml:space="preserve"> PAGEREF _Toc8191 \h </w:instrText>
          </w:r>
          <w:r>
            <w:rPr>
              <w:highlight w:val="none"/>
            </w:rPr>
            <w:fldChar w:fldCharType="separate"/>
          </w:r>
          <w:r>
            <w:rPr>
              <w:highlight w:val="none"/>
            </w:rPr>
            <w:t>2</w:t>
          </w:r>
          <w:r>
            <w:rPr>
              <w:highlight w:val="none"/>
            </w:rPr>
            <w:fldChar w:fldCharType="end"/>
          </w:r>
          <w:r>
            <w:rPr>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"_Toc12632" </w:instrText>
          </w:r>
          <w:r>
            <w:rPr>
              <w:highlight w:val="none"/>
            </w:rPr>
            <w:fldChar w:fldCharType="separate"/>
          </w:r>
          <w:r>
            <w:rPr>
              <w:rFonts w:hint="eastAsia" w:ascii="宋体" w:hAnsi="宋体" w:cs="宋体"/>
              <w:highlight w:val="none"/>
              <w:lang w:bidi="ar"/>
            </w:rPr>
            <w:t>（二）绩效评价工作程序和进度</w:t>
          </w:r>
          <w:r>
            <w:rPr>
              <w:highlight w:val="none"/>
            </w:rPr>
            <w:tab/>
          </w:r>
          <w:r>
            <w:rPr>
              <w:highlight w:val="none"/>
            </w:rPr>
            <w:fldChar w:fldCharType="begin"/>
          </w:r>
          <w:r>
            <w:rPr>
              <w:highlight w:val="none"/>
            </w:rPr>
            <w:instrText xml:space="preserve"> PAGEREF _Toc12632 \h </w:instrText>
          </w:r>
          <w:r>
            <w:rPr>
              <w:highlight w:val="none"/>
            </w:rPr>
            <w:fldChar w:fldCharType="separate"/>
          </w:r>
          <w:r>
            <w:rPr>
              <w:highlight w:val="none"/>
            </w:rPr>
            <w:t>2</w:t>
          </w:r>
          <w:r>
            <w:rPr>
              <w:highlight w:val="none"/>
            </w:rPr>
            <w:fldChar w:fldCharType="end"/>
          </w:r>
          <w:r>
            <w:rPr>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"_Toc13261" </w:instrText>
          </w:r>
          <w:r>
            <w:rPr>
              <w:highlight w:val="none"/>
            </w:rPr>
            <w:fldChar w:fldCharType="separate"/>
          </w:r>
          <w:r>
            <w:rPr>
              <w:rFonts w:hint="eastAsia" w:ascii="宋体" w:hAnsi="宋体" w:cs="宋体"/>
              <w:highlight w:val="none"/>
              <w:lang w:bidi="ar"/>
            </w:rPr>
            <w:t>（三）</w:t>
          </w:r>
          <w:r>
            <w:rPr>
              <w:rFonts w:hint="eastAsia" w:ascii="宋体" w:hAnsi="宋体" w:cs="宋体"/>
              <w:bCs/>
              <w:highlight w:val="none"/>
              <w:lang w:bidi="ar"/>
            </w:rPr>
            <w:t>绩效评价的基本原则</w:t>
          </w:r>
          <w:r>
            <w:rPr>
              <w:highlight w:val="none"/>
            </w:rPr>
            <w:tab/>
          </w:r>
          <w:r>
            <w:rPr>
              <w:highlight w:val="none"/>
            </w:rPr>
            <w:fldChar w:fldCharType="begin"/>
          </w:r>
          <w:r>
            <w:rPr>
              <w:highlight w:val="none"/>
            </w:rPr>
            <w:instrText xml:space="preserve"> PAGEREF _Toc13261 \h </w:instrText>
          </w:r>
          <w:r>
            <w:rPr>
              <w:highlight w:val="none"/>
            </w:rPr>
            <w:fldChar w:fldCharType="separate"/>
          </w:r>
          <w:r>
            <w:rPr>
              <w:highlight w:val="none"/>
            </w:rPr>
            <w:t>4</w:t>
          </w:r>
          <w:r>
            <w:rPr>
              <w:highlight w:val="none"/>
            </w:rPr>
            <w:fldChar w:fldCharType="end"/>
          </w:r>
          <w:r>
            <w:rPr>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"_Toc16347" </w:instrText>
          </w:r>
          <w:r>
            <w:rPr>
              <w:highlight w:val="none"/>
            </w:rPr>
            <w:fldChar w:fldCharType="separate"/>
          </w:r>
          <w:r>
            <w:rPr>
              <w:rFonts w:hint="eastAsia" w:ascii="宋体" w:hAnsi="宋体" w:cs="宋体"/>
              <w:bCs/>
              <w:highlight w:val="none"/>
              <w:lang w:bidi="ar"/>
            </w:rPr>
            <w:t>（四）绩效评价的主要依据</w:t>
          </w:r>
          <w:r>
            <w:rPr>
              <w:highlight w:val="none"/>
            </w:rPr>
            <w:tab/>
          </w:r>
          <w:r>
            <w:rPr>
              <w:highlight w:val="none"/>
            </w:rPr>
            <w:fldChar w:fldCharType="begin"/>
          </w:r>
          <w:r>
            <w:rPr>
              <w:highlight w:val="none"/>
            </w:rPr>
            <w:instrText xml:space="preserve"> PAGEREF _Toc16347 \h </w:instrText>
          </w:r>
          <w:r>
            <w:rPr>
              <w:highlight w:val="none"/>
            </w:rPr>
            <w:fldChar w:fldCharType="separate"/>
          </w:r>
          <w:r>
            <w:rPr>
              <w:highlight w:val="none"/>
            </w:rPr>
            <w:t>4</w:t>
          </w:r>
          <w:r>
            <w:rPr>
              <w:highlight w:val="none"/>
            </w:rPr>
            <w:fldChar w:fldCharType="end"/>
          </w:r>
          <w:r>
            <w:rPr>
              <w:highlight w:val="none"/>
            </w:rPr>
            <w:fldChar w:fldCharType="end"/>
          </w:r>
        </w:p>
        <w:p>
          <w:pPr>
            <w:pStyle w:val="15"/>
            <w:tabs>
              <w:tab w:val="right" w:leader="dot" w:pos="8306"/>
            </w:tabs>
            <w:spacing w:line="500" w:lineRule="exact"/>
            <w:rPr>
              <w:b/>
              <w:highlight w:val="none"/>
            </w:rPr>
          </w:pPr>
          <w:r>
            <w:rPr>
              <w:highlight w:val="none"/>
            </w:rPr>
            <w:fldChar w:fldCharType="begin"/>
          </w:r>
          <w:r>
            <w:rPr>
              <w:highlight w:val="none"/>
            </w:rPr>
            <w:instrText xml:space="preserve"> HYPERLINK \l "_Toc31898" </w:instrText>
          </w:r>
          <w:r>
            <w:rPr>
              <w:highlight w:val="none"/>
            </w:rPr>
            <w:fldChar w:fldCharType="separate"/>
          </w:r>
          <w:r>
            <w:rPr>
              <w:rFonts w:hint="eastAsia" w:ascii="宋体" w:hAnsi="宋体" w:cs="宋体"/>
              <w:b/>
              <w:bCs/>
              <w:highlight w:val="none"/>
            </w:rPr>
            <w:t>三、绩效评价指标体系、评价标准和评价方法</w:t>
          </w:r>
          <w:r>
            <w:rPr>
              <w:b/>
              <w:highlight w:val="none"/>
            </w:rPr>
            <w:tab/>
          </w:r>
          <w:r>
            <w:rPr>
              <w:b/>
              <w:highlight w:val="none"/>
            </w:rPr>
            <w:fldChar w:fldCharType="begin"/>
          </w:r>
          <w:r>
            <w:rPr>
              <w:b/>
              <w:highlight w:val="none"/>
            </w:rPr>
            <w:instrText xml:space="preserve"> PAGEREF _Toc31898 \h </w:instrText>
          </w:r>
          <w:r>
            <w:rPr>
              <w:b/>
              <w:highlight w:val="none"/>
            </w:rPr>
            <w:fldChar w:fldCharType="separate"/>
          </w:r>
          <w:r>
            <w:rPr>
              <w:b/>
              <w:highlight w:val="none"/>
            </w:rPr>
            <w:t>5</w:t>
          </w:r>
          <w:r>
            <w:rPr>
              <w:b/>
              <w:highlight w:val="none"/>
            </w:rPr>
            <w:fldChar w:fldCharType="end"/>
          </w:r>
          <w:r>
            <w:rPr>
              <w:b/>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"_Toc4627" </w:instrText>
          </w:r>
          <w:r>
            <w:rPr>
              <w:highlight w:val="none"/>
            </w:rPr>
            <w:fldChar w:fldCharType="separate"/>
          </w:r>
          <w:r>
            <w:rPr>
              <w:rFonts w:hint="eastAsia" w:ascii="宋体" w:hAnsi="宋体" w:cs="宋体"/>
              <w:highlight w:val="none"/>
            </w:rPr>
            <w:t>（一）指标构建原则及思路</w:t>
          </w:r>
          <w:r>
            <w:rPr>
              <w:highlight w:val="none"/>
            </w:rPr>
            <w:tab/>
          </w:r>
          <w:r>
            <w:rPr>
              <w:highlight w:val="none"/>
            </w:rPr>
            <w:fldChar w:fldCharType="begin"/>
          </w:r>
          <w:r>
            <w:rPr>
              <w:highlight w:val="none"/>
            </w:rPr>
            <w:instrText xml:space="preserve"> PAGEREF _Toc4627 \h </w:instrText>
          </w:r>
          <w:r>
            <w:rPr>
              <w:highlight w:val="none"/>
            </w:rPr>
            <w:fldChar w:fldCharType="separate"/>
          </w:r>
          <w:r>
            <w:rPr>
              <w:highlight w:val="none"/>
            </w:rPr>
            <w:t>5</w:t>
          </w:r>
          <w:r>
            <w:rPr>
              <w:highlight w:val="none"/>
            </w:rPr>
            <w:fldChar w:fldCharType="end"/>
          </w:r>
          <w:r>
            <w:rPr>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"_Toc25399" </w:instrText>
          </w:r>
          <w:r>
            <w:rPr>
              <w:highlight w:val="none"/>
            </w:rPr>
            <w:fldChar w:fldCharType="separate"/>
          </w:r>
          <w:r>
            <w:rPr>
              <w:rFonts w:hint="eastAsia" w:ascii="宋体" w:hAnsi="宋体" w:cs="宋体"/>
              <w:highlight w:val="none"/>
              <w:lang w:bidi="ar"/>
            </w:rPr>
            <w:t>（二）</w:t>
          </w:r>
          <w:r>
            <w:rPr>
              <w:rFonts w:hint="eastAsia" w:ascii="宋体" w:hAnsi="宋体" w:cs="宋体"/>
              <w:bCs/>
              <w:highlight w:val="none"/>
              <w:lang w:bidi="ar"/>
            </w:rPr>
            <w:t>评价标准</w:t>
          </w:r>
          <w:r>
            <w:rPr>
              <w:highlight w:val="none"/>
            </w:rPr>
            <w:tab/>
          </w:r>
          <w:r>
            <w:rPr>
              <w:highlight w:val="none"/>
            </w:rPr>
            <w:fldChar w:fldCharType="begin"/>
          </w:r>
          <w:r>
            <w:rPr>
              <w:highlight w:val="none"/>
            </w:rPr>
            <w:instrText xml:space="preserve"> PAGEREF _Toc25399 \h </w:instrText>
          </w:r>
          <w:r>
            <w:rPr>
              <w:highlight w:val="none"/>
            </w:rPr>
            <w:fldChar w:fldCharType="separate"/>
          </w:r>
          <w:r>
            <w:rPr>
              <w:highlight w:val="none"/>
            </w:rPr>
            <w:t>7</w:t>
          </w:r>
          <w:r>
            <w:rPr>
              <w:highlight w:val="none"/>
            </w:rPr>
            <w:fldChar w:fldCharType="end"/>
          </w:r>
          <w:r>
            <w:rPr>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"_Toc7436" </w:instrText>
          </w:r>
          <w:r>
            <w:rPr>
              <w:highlight w:val="none"/>
            </w:rPr>
            <w:fldChar w:fldCharType="separate"/>
          </w:r>
          <w:r>
            <w:rPr>
              <w:rFonts w:hint="eastAsia" w:ascii="宋体" w:hAnsi="宋体" w:cs="宋体"/>
              <w:highlight w:val="none"/>
              <w:lang w:bidi="ar"/>
            </w:rPr>
            <w:t>（三）</w:t>
          </w:r>
          <w:r>
            <w:rPr>
              <w:rFonts w:hint="eastAsia" w:ascii="宋体" w:hAnsi="宋体" w:cs="宋体"/>
              <w:bCs/>
              <w:highlight w:val="none"/>
              <w:lang w:bidi="ar"/>
            </w:rPr>
            <w:t>评价结果等级</w:t>
          </w:r>
          <w:r>
            <w:rPr>
              <w:highlight w:val="none"/>
            </w:rPr>
            <w:tab/>
          </w:r>
          <w:r>
            <w:rPr>
              <w:highlight w:val="none"/>
            </w:rPr>
            <w:fldChar w:fldCharType="begin"/>
          </w:r>
          <w:r>
            <w:rPr>
              <w:highlight w:val="none"/>
            </w:rPr>
            <w:instrText xml:space="preserve"> PAGEREF _Toc7436 \h </w:instrText>
          </w:r>
          <w:r>
            <w:rPr>
              <w:highlight w:val="none"/>
            </w:rPr>
            <w:fldChar w:fldCharType="separate"/>
          </w:r>
          <w:r>
            <w:rPr>
              <w:highlight w:val="none"/>
            </w:rPr>
            <w:t>7</w:t>
          </w:r>
          <w:r>
            <w:rPr>
              <w:highlight w:val="none"/>
            </w:rPr>
            <w:fldChar w:fldCharType="end"/>
          </w:r>
          <w:r>
            <w:rPr>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"_Toc507" </w:instrText>
          </w:r>
          <w:r>
            <w:rPr>
              <w:highlight w:val="none"/>
            </w:rPr>
            <w:fldChar w:fldCharType="separate"/>
          </w:r>
          <w:r>
            <w:rPr>
              <w:rFonts w:hint="eastAsia" w:ascii="宋体" w:hAnsi="宋体" w:cs="宋体"/>
              <w:highlight w:val="none"/>
              <w:lang w:bidi="ar"/>
            </w:rPr>
            <w:t>（四）</w:t>
          </w:r>
          <w:r>
            <w:rPr>
              <w:rFonts w:hint="eastAsia" w:ascii="宋体" w:hAnsi="宋体" w:cs="宋体"/>
              <w:bCs/>
              <w:highlight w:val="none"/>
              <w:lang w:bidi="ar"/>
            </w:rPr>
            <w:t>评价方法</w:t>
          </w:r>
          <w:r>
            <w:rPr>
              <w:highlight w:val="none"/>
            </w:rPr>
            <w:tab/>
          </w:r>
          <w:r>
            <w:rPr>
              <w:highlight w:val="none"/>
            </w:rPr>
            <w:fldChar w:fldCharType="begin"/>
          </w:r>
          <w:r>
            <w:rPr>
              <w:highlight w:val="none"/>
            </w:rPr>
            <w:instrText xml:space="preserve"> PAGEREF _Toc507 \h </w:instrText>
          </w:r>
          <w:r>
            <w:rPr>
              <w:highlight w:val="none"/>
            </w:rPr>
            <w:fldChar w:fldCharType="separate"/>
          </w:r>
          <w:r>
            <w:rPr>
              <w:highlight w:val="none"/>
            </w:rPr>
            <w:t>7</w:t>
          </w:r>
          <w:r>
            <w:rPr>
              <w:highlight w:val="none"/>
            </w:rPr>
            <w:fldChar w:fldCharType="end"/>
          </w:r>
          <w:r>
            <w:rPr>
              <w:highlight w:val="none"/>
            </w:rPr>
            <w:fldChar w:fldCharType="end"/>
          </w:r>
        </w:p>
        <w:p>
          <w:pPr>
            <w:pStyle w:val="15"/>
            <w:tabs>
              <w:tab w:val="right" w:leader="dot" w:pos="8306"/>
            </w:tabs>
            <w:spacing w:line="500" w:lineRule="exact"/>
            <w:rPr>
              <w:b/>
              <w:highlight w:val="none"/>
            </w:rPr>
          </w:pPr>
          <w:r>
            <w:rPr>
              <w:highlight w:val="none"/>
            </w:rPr>
            <w:fldChar w:fldCharType="begin"/>
          </w:r>
          <w:r>
            <w:rPr>
              <w:highlight w:val="none"/>
            </w:rPr>
            <w:instrText xml:space="preserve"> HYPERLINK \l "_Toc3415" </w:instrText>
          </w:r>
          <w:r>
            <w:rPr>
              <w:highlight w:val="none"/>
            </w:rPr>
            <w:fldChar w:fldCharType="separate"/>
          </w:r>
          <w:r>
            <w:rPr>
              <w:rFonts w:hint="eastAsia" w:ascii="宋体" w:hAnsi="宋体" w:cs="宋体"/>
              <w:b/>
              <w:highlight w:val="none"/>
              <w:lang w:bidi="ar"/>
            </w:rPr>
            <w:t>四、总体评价结论</w:t>
          </w:r>
          <w:r>
            <w:rPr>
              <w:b/>
              <w:highlight w:val="none"/>
            </w:rPr>
            <w:tab/>
          </w:r>
          <w:r>
            <w:rPr>
              <w:b/>
              <w:highlight w:val="none"/>
            </w:rPr>
            <w:fldChar w:fldCharType="begin"/>
          </w:r>
          <w:r>
            <w:rPr>
              <w:b/>
              <w:highlight w:val="none"/>
            </w:rPr>
            <w:instrText xml:space="preserve"> PAGEREF _Toc3415 \h </w:instrText>
          </w:r>
          <w:r>
            <w:rPr>
              <w:b/>
              <w:highlight w:val="none"/>
            </w:rPr>
            <w:fldChar w:fldCharType="separate"/>
          </w:r>
          <w:r>
            <w:rPr>
              <w:b/>
              <w:highlight w:val="none"/>
            </w:rPr>
            <w:t>8</w:t>
          </w:r>
          <w:r>
            <w:rPr>
              <w:b/>
              <w:highlight w:val="none"/>
            </w:rPr>
            <w:fldChar w:fldCharType="end"/>
          </w:r>
          <w:r>
            <w:rPr>
              <w:b/>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"_Toc10364" </w:instrText>
          </w:r>
          <w:r>
            <w:rPr>
              <w:highlight w:val="none"/>
            </w:rPr>
            <w:fldChar w:fldCharType="separate"/>
          </w:r>
          <w:r>
            <w:rPr>
              <w:rFonts w:hint="eastAsia" w:ascii="宋体" w:hAnsi="宋体" w:cs="宋体"/>
              <w:highlight w:val="none"/>
              <w:lang w:bidi="ar"/>
            </w:rPr>
            <w:t>（一）评价得分情况</w:t>
          </w:r>
          <w:r>
            <w:rPr>
              <w:highlight w:val="none"/>
            </w:rPr>
            <w:tab/>
          </w:r>
          <w:r>
            <w:rPr>
              <w:highlight w:val="none"/>
            </w:rPr>
            <w:fldChar w:fldCharType="begin"/>
          </w:r>
          <w:r>
            <w:rPr>
              <w:highlight w:val="none"/>
            </w:rPr>
            <w:instrText xml:space="preserve"> PAGEREF _Toc10364 \h </w:instrText>
          </w:r>
          <w:r>
            <w:rPr>
              <w:highlight w:val="none"/>
            </w:rPr>
            <w:fldChar w:fldCharType="separate"/>
          </w:r>
          <w:r>
            <w:rPr>
              <w:highlight w:val="none"/>
            </w:rPr>
            <w:t>8</w:t>
          </w:r>
          <w:r>
            <w:rPr>
              <w:highlight w:val="none"/>
            </w:rPr>
            <w:fldChar w:fldCharType="end"/>
          </w:r>
          <w:r>
            <w:rPr>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"_Toc7247" </w:instrText>
          </w:r>
          <w:r>
            <w:rPr>
              <w:highlight w:val="none"/>
            </w:rPr>
            <w:fldChar w:fldCharType="separate"/>
          </w:r>
          <w:r>
            <w:rPr>
              <w:rFonts w:hint="eastAsia" w:ascii="宋体" w:hAnsi="宋体" w:cs="宋体"/>
              <w:bCs/>
              <w:highlight w:val="none"/>
              <w:lang w:bidi="ar"/>
            </w:rPr>
            <w:t>（二）项目所实现的主要绩效</w:t>
          </w:r>
          <w:r>
            <w:rPr>
              <w:highlight w:val="none"/>
            </w:rPr>
            <w:tab/>
          </w:r>
          <w:r>
            <w:rPr>
              <w:highlight w:val="none"/>
            </w:rPr>
            <w:fldChar w:fldCharType="begin"/>
          </w:r>
          <w:r>
            <w:rPr>
              <w:highlight w:val="none"/>
            </w:rPr>
            <w:instrText xml:space="preserve"> PAGEREF _Toc7247 \h </w:instrText>
          </w:r>
          <w:r>
            <w:rPr>
              <w:highlight w:val="none"/>
            </w:rPr>
            <w:fldChar w:fldCharType="separate"/>
          </w:r>
          <w:r>
            <w:rPr>
              <w:highlight w:val="none"/>
            </w:rPr>
            <w:t>8</w:t>
          </w:r>
          <w:r>
            <w:rPr>
              <w:highlight w:val="none"/>
            </w:rPr>
            <w:fldChar w:fldCharType="end"/>
          </w:r>
          <w:r>
            <w:rPr>
              <w:highlight w:val="none"/>
            </w:rPr>
            <w:fldChar w:fldCharType="end"/>
          </w:r>
        </w:p>
        <w:p>
          <w:pPr>
            <w:pStyle w:val="15"/>
            <w:tabs>
              <w:tab w:val="right" w:leader="dot" w:pos="8306"/>
            </w:tabs>
            <w:spacing w:line="500" w:lineRule="exact"/>
            <w:rPr>
              <w:b/>
              <w:highlight w:val="none"/>
            </w:rPr>
          </w:pPr>
          <w:r>
            <w:rPr>
              <w:highlight w:val="none"/>
            </w:rPr>
            <w:fldChar w:fldCharType="begin"/>
          </w:r>
          <w:r>
            <w:rPr>
              <w:highlight w:val="none"/>
            </w:rPr>
            <w:instrText xml:space="preserve"> HYPERLINK \l "_Toc14915" </w:instrText>
          </w:r>
          <w:r>
            <w:rPr>
              <w:highlight w:val="none"/>
            </w:rPr>
            <w:fldChar w:fldCharType="separate"/>
          </w:r>
          <w:r>
            <w:rPr>
              <w:rFonts w:hint="eastAsia" w:ascii="宋体" w:hAnsi="宋体" w:cs="宋体"/>
              <w:b/>
              <w:highlight w:val="none"/>
              <w:lang w:bidi="ar"/>
            </w:rPr>
            <w:t>五、绩效评价指标分析</w:t>
          </w:r>
          <w:r>
            <w:rPr>
              <w:b/>
              <w:highlight w:val="none"/>
            </w:rPr>
            <w:tab/>
          </w:r>
          <w:r>
            <w:rPr>
              <w:b/>
              <w:highlight w:val="none"/>
            </w:rPr>
            <w:fldChar w:fldCharType="begin"/>
          </w:r>
          <w:r>
            <w:rPr>
              <w:b/>
              <w:highlight w:val="none"/>
            </w:rPr>
            <w:instrText xml:space="preserve"> PAGEREF _Toc14915 \h </w:instrText>
          </w:r>
          <w:r>
            <w:rPr>
              <w:b/>
              <w:highlight w:val="none"/>
            </w:rPr>
            <w:fldChar w:fldCharType="separate"/>
          </w:r>
          <w:r>
            <w:rPr>
              <w:b/>
              <w:highlight w:val="none"/>
            </w:rPr>
            <w:t>8</w:t>
          </w:r>
          <w:r>
            <w:rPr>
              <w:b/>
              <w:highlight w:val="none"/>
            </w:rPr>
            <w:fldChar w:fldCharType="end"/>
          </w:r>
          <w:r>
            <w:rPr>
              <w:b/>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"_Toc22668" </w:instrText>
          </w:r>
          <w:r>
            <w:rPr>
              <w:highlight w:val="none"/>
            </w:rPr>
            <w:fldChar w:fldCharType="separate"/>
          </w:r>
          <w:r>
            <w:rPr>
              <w:rFonts w:hint="eastAsia" w:ascii="宋体" w:hAnsi="宋体" w:cs="宋体"/>
              <w:bCs/>
              <w:highlight w:val="none"/>
              <w:lang w:bidi="ar"/>
            </w:rPr>
            <w:t>（一）项目决策</w:t>
          </w:r>
          <w:r>
            <w:rPr>
              <w:highlight w:val="none"/>
            </w:rPr>
            <w:tab/>
          </w:r>
          <w:r>
            <w:rPr>
              <w:highlight w:val="none"/>
            </w:rPr>
            <w:fldChar w:fldCharType="begin"/>
          </w:r>
          <w:r>
            <w:rPr>
              <w:highlight w:val="none"/>
            </w:rPr>
            <w:instrText xml:space="preserve"> PAGEREF _Toc22668 \h </w:instrText>
          </w:r>
          <w:r>
            <w:rPr>
              <w:highlight w:val="none"/>
            </w:rPr>
            <w:fldChar w:fldCharType="separate"/>
          </w:r>
          <w:r>
            <w:rPr>
              <w:highlight w:val="none"/>
            </w:rPr>
            <w:t>9</w:t>
          </w:r>
          <w:r>
            <w:rPr>
              <w:highlight w:val="none"/>
            </w:rPr>
            <w:fldChar w:fldCharType="end"/>
          </w:r>
          <w:r>
            <w:rPr>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"_Toc10227" </w:instrText>
          </w:r>
          <w:r>
            <w:rPr>
              <w:highlight w:val="none"/>
            </w:rPr>
            <w:fldChar w:fldCharType="separate"/>
          </w:r>
          <w:r>
            <w:rPr>
              <w:rFonts w:hint="eastAsia" w:ascii="宋体" w:hAnsi="宋体" w:cs="宋体"/>
              <w:bCs/>
              <w:highlight w:val="none"/>
              <w:lang w:bidi="ar"/>
            </w:rPr>
            <w:t>（二）项目过程</w:t>
          </w:r>
          <w:r>
            <w:rPr>
              <w:highlight w:val="none"/>
            </w:rPr>
            <w:tab/>
          </w:r>
          <w:r>
            <w:rPr>
              <w:highlight w:val="none"/>
            </w:rPr>
            <w:fldChar w:fldCharType="begin"/>
          </w:r>
          <w:r>
            <w:rPr>
              <w:highlight w:val="none"/>
            </w:rPr>
            <w:instrText xml:space="preserve"> PAGEREF _Toc10227 \h </w:instrText>
          </w:r>
          <w:r>
            <w:rPr>
              <w:highlight w:val="none"/>
            </w:rPr>
            <w:fldChar w:fldCharType="separate"/>
          </w:r>
          <w:r>
            <w:rPr>
              <w:highlight w:val="none"/>
            </w:rPr>
            <w:t>10</w:t>
          </w:r>
          <w:r>
            <w:rPr>
              <w:highlight w:val="none"/>
            </w:rPr>
            <w:fldChar w:fldCharType="end"/>
          </w:r>
          <w:r>
            <w:rPr>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"_Toc17130" </w:instrText>
          </w:r>
          <w:r>
            <w:rPr>
              <w:highlight w:val="none"/>
            </w:rPr>
            <w:fldChar w:fldCharType="separate"/>
          </w:r>
          <w:r>
            <w:rPr>
              <w:rFonts w:hint="eastAsia" w:ascii="宋体" w:hAnsi="宋体" w:cs="宋体"/>
              <w:bCs/>
              <w:highlight w:val="none"/>
              <w:lang w:bidi="ar"/>
            </w:rPr>
            <w:t>（三）项目产出</w:t>
          </w:r>
          <w:r>
            <w:rPr>
              <w:highlight w:val="none"/>
            </w:rPr>
            <w:tab/>
          </w:r>
          <w:r>
            <w:rPr>
              <w:highlight w:val="none"/>
            </w:rPr>
            <w:fldChar w:fldCharType="begin"/>
          </w:r>
          <w:r>
            <w:rPr>
              <w:highlight w:val="none"/>
            </w:rPr>
            <w:instrText xml:space="preserve"> PAGEREF _Toc17130 \h </w:instrText>
          </w:r>
          <w:r>
            <w:rPr>
              <w:highlight w:val="none"/>
            </w:rPr>
            <w:fldChar w:fldCharType="separate"/>
          </w:r>
          <w:r>
            <w:rPr>
              <w:highlight w:val="none"/>
            </w:rPr>
            <w:t>11</w:t>
          </w:r>
          <w:r>
            <w:rPr>
              <w:highlight w:val="none"/>
            </w:rPr>
            <w:fldChar w:fldCharType="end"/>
          </w:r>
          <w:r>
            <w:rPr>
              <w:highlight w:val="none"/>
            </w:rPr>
            <w:fldChar w:fldCharType="end"/>
          </w:r>
        </w:p>
        <w:p>
          <w:pPr>
            <w:pStyle w:val="16"/>
            <w:tabs>
              <w:tab w:val="right" w:leader="dot" w:pos="8306"/>
            </w:tabs>
            <w:spacing w:line="500" w:lineRule="exact"/>
            <w:ind w:left="480"/>
            <w:rPr>
              <w:highlight w:val="none"/>
            </w:rPr>
          </w:pPr>
          <w:r>
            <w:rPr>
              <w:highlight w:val="none"/>
            </w:rPr>
            <w:fldChar w:fldCharType="begin"/>
          </w:r>
          <w:r>
            <w:rPr>
              <w:highlight w:val="none"/>
            </w:rPr>
            <w:instrText xml:space="preserve"> HYPERLINK \l "_Toc32431" </w:instrText>
          </w:r>
          <w:r>
            <w:rPr>
              <w:highlight w:val="none"/>
            </w:rPr>
            <w:fldChar w:fldCharType="separate"/>
          </w:r>
          <w:r>
            <w:rPr>
              <w:rFonts w:hint="eastAsia" w:ascii="宋体" w:hAnsi="宋体" w:cs="宋体"/>
              <w:bCs/>
              <w:highlight w:val="none"/>
              <w:lang w:bidi="ar"/>
            </w:rPr>
            <w:t>（四）项目绩效</w:t>
          </w:r>
          <w:r>
            <w:rPr>
              <w:highlight w:val="none"/>
            </w:rPr>
            <w:tab/>
          </w:r>
          <w:r>
            <w:rPr>
              <w:highlight w:val="none"/>
            </w:rPr>
            <w:fldChar w:fldCharType="begin"/>
          </w:r>
          <w:r>
            <w:rPr>
              <w:highlight w:val="none"/>
            </w:rPr>
            <w:instrText xml:space="preserve"> PAGEREF _Toc32431 \h </w:instrText>
          </w:r>
          <w:r>
            <w:rPr>
              <w:highlight w:val="none"/>
            </w:rPr>
            <w:fldChar w:fldCharType="separate"/>
          </w:r>
          <w:r>
            <w:rPr>
              <w:highlight w:val="none"/>
            </w:rPr>
            <w:t>12</w:t>
          </w:r>
          <w:r>
            <w:rPr>
              <w:highlight w:val="none"/>
            </w:rPr>
            <w:fldChar w:fldCharType="end"/>
          </w:r>
          <w:r>
            <w:rPr>
              <w:highlight w:val="none"/>
            </w:rPr>
            <w:fldChar w:fldCharType="end"/>
          </w:r>
        </w:p>
        <w:p>
          <w:pPr>
            <w:pStyle w:val="15"/>
            <w:tabs>
              <w:tab w:val="right" w:leader="dot" w:pos="8306"/>
            </w:tabs>
            <w:spacing w:line="500" w:lineRule="exact"/>
            <w:rPr>
              <w:highlight w:val="none"/>
            </w:rPr>
          </w:pPr>
          <w:r>
            <w:rPr>
              <w:highlight w:val="none"/>
            </w:rPr>
            <w:fldChar w:fldCharType="begin"/>
          </w:r>
          <w:r>
            <w:rPr>
              <w:highlight w:val="none"/>
            </w:rPr>
            <w:instrText xml:space="preserve"> HYPERLINK \l "_Toc27856" </w:instrText>
          </w:r>
          <w:r>
            <w:rPr>
              <w:highlight w:val="none"/>
            </w:rPr>
            <w:fldChar w:fldCharType="separate"/>
          </w:r>
          <w:r>
            <w:rPr>
              <w:rFonts w:hint="eastAsia" w:ascii="宋体" w:hAnsi="宋体" w:cs="宋体"/>
              <w:b/>
              <w:highlight w:val="none"/>
              <w:lang w:bidi="ar"/>
            </w:rPr>
            <w:t>六、存在问题</w:t>
          </w:r>
          <w:r>
            <w:rPr>
              <w:b/>
              <w:highlight w:val="none"/>
            </w:rPr>
            <w:tab/>
          </w:r>
          <w:r>
            <w:rPr>
              <w:b/>
              <w:highlight w:val="none"/>
            </w:rPr>
            <w:fldChar w:fldCharType="begin"/>
          </w:r>
          <w:r>
            <w:rPr>
              <w:b/>
              <w:highlight w:val="none"/>
            </w:rPr>
            <w:instrText xml:space="preserve"> PAGEREF _Toc27856 \h </w:instrText>
          </w:r>
          <w:r>
            <w:rPr>
              <w:b/>
              <w:highlight w:val="none"/>
            </w:rPr>
            <w:fldChar w:fldCharType="separate"/>
          </w:r>
          <w:r>
            <w:rPr>
              <w:b/>
              <w:highlight w:val="none"/>
            </w:rPr>
            <w:t>12</w:t>
          </w:r>
          <w:r>
            <w:rPr>
              <w:b/>
              <w:highlight w:val="none"/>
            </w:rPr>
            <w:fldChar w:fldCharType="end"/>
          </w:r>
          <w:r>
            <w:rPr>
              <w:b/>
              <w:highlight w:val="none"/>
            </w:rPr>
            <w:fldChar w:fldCharType="end"/>
          </w:r>
        </w:p>
        <w:p>
          <w:pPr>
            <w:pStyle w:val="15"/>
            <w:tabs>
              <w:tab w:val="right" w:leader="dot" w:pos="8306"/>
            </w:tabs>
            <w:spacing w:line="500" w:lineRule="exact"/>
            <w:rPr>
              <w:b/>
              <w:highlight w:val="none"/>
            </w:rPr>
          </w:pPr>
          <w:r>
            <w:rPr>
              <w:highlight w:val="none"/>
            </w:rPr>
            <w:fldChar w:fldCharType="begin"/>
          </w:r>
          <w:r>
            <w:rPr>
              <w:highlight w:val="none"/>
            </w:rPr>
            <w:instrText xml:space="preserve"> HYPERLINK \l "_Toc805" </w:instrText>
          </w:r>
          <w:r>
            <w:rPr>
              <w:highlight w:val="none"/>
            </w:rPr>
            <w:fldChar w:fldCharType="separate"/>
          </w:r>
          <w:r>
            <w:rPr>
              <w:rFonts w:hint="eastAsia" w:ascii="宋体" w:hAnsi="宋体" w:cs="宋体"/>
              <w:b/>
              <w:highlight w:val="none"/>
              <w:lang w:bidi="ar"/>
            </w:rPr>
            <w:t>七、相关建议</w:t>
          </w:r>
          <w:r>
            <w:rPr>
              <w:b/>
              <w:highlight w:val="none"/>
            </w:rPr>
            <w:tab/>
          </w:r>
          <w:r>
            <w:rPr>
              <w:b/>
              <w:highlight w:val="none"/>
            </w:rPr>
            <w:fldChar w:fldCharType="begin"/>
          </w:r>
          <w:r>
            <w:rPr>
              <w:b/>
              <w:highlight w:val="none"/>
            </w:rPr>
            <w:instrText xml:space="preserve"> PAGEREF _Toc805 \h </w:instrText>
          </w:r>
          <w:r>
            <w:rPr>
              <w:b/>
              <w:highlight w:val="none"/>
            </w:rPr>
            <w:fldChar w:fldCharType="separate"/>
          </w:r>
          <w:r>
            <w:rPr>
              <w:b/>
              <w:highlight w:val="none"/>
            </w:rPr>
            <w:t>12</w:t>
          </w:r>
          <w:r>
            <w:rPr>
              <w:b/>
              <w:highlight w:val="none"/>
            </w:rPr>
            <w:fldChar w:fldCharType="end"/>
          </w:r>
          <w:r>
            <w:rPr>
              <w:b/>
              <w:highlight w:val="none"/>
            </w:rPr>
            <w:fldChar w:fldCharType="end"/>
          </w:r>
        </w:p>
        <w:p>
          <w:pPr>
            <w:pStyle w:val="16"/>
            <w:tabs>
              <w:tab w:val="right" w:leader="dot" w:pos="8306"/>
            </w:tabs>
            <w:ind w:left="480"/>
            <w:rPr>
              <w:highlight w:val="none"/>
            </w:rPr>
          </w:pPr>
        </w:p>
        <w:p>
          <w:pPr>
            <w:rPr>
              <w:rFonts w:ascii="宋体" w:hAnsi="宋体" w:cs="宋体"/>
              <w:b/>
              <w:highlight w:val="none"/>
            </w:rPr>
          </w:pPr>
          <w:r>
            <w:rPr>
              <w:rFonts w:ascii="宋体" w:hAnsi="宋体" w:cs="宋体"/>
              <w:b/>
              <w:highlight w:val="none"/>
            </w:rPr>
            <w:fldChar w:fldCharType="end"/>
          </w:r>
        </w:p>
      </w:sdtContent>
    </w:sdt>
    <w:p>
      <w:pPr>
        <w:rPr>
          <w:rFonts w:ascii="宋体" w:hAnsi="宋体" w:cs="宋体"/>
          <w:b/>
          <w:highlight w:val="none"/>
        </w:rPr>
        <w:sectPr>
          <w:footerReference r:id="rId3" w:type="default"/>
          <w:pgSz w:w="11906" w:h="16838"/>
          <w:pgMar w:top="1440" w:right="1800" w:bottom="1440" w:left="1800" w:header="851" w:footer="992" w:gutter="0"/>
          <w:pgNumType w:start="1"/>
          <w:cols w:space="425" w:num="1"/>
          <w:docGrid w:type="lines" w:linePitch="312" w:charSpace="0"/>
        </w:sectPr>
      </w:pPr>
    </w:p>
    <w:p>
      <w:pPr>
        <w:spacing w:line="360" w:lineRule="auto"/>
        <w:ind w:firstLine="643" w:firstLineChars="200"/>
        <w:jc w:val="center"/>
        <w:outlineLvl w:val="0"/>
        <w:rPr>
          <w:rFonts w:ascii="宋体" w:hAnsi="宋体" w:cs="宋体"/>
          <w:b/>
          <w:sz w:val="32"/>
          <w:szCs w:val="32"/>
          <w:highlight w:val="none"/>
        </w:rPr>
      </w:pPr>
      <w:bookmarkStart w:id="0" w:name="_Toc20096"/>
      <w:bookmarkStart w:id="1" w:name="_Toc4506"/>
      <w:r>
        <w:rPr>
          <w:rFonts w:hint="eastAsia" w:ascii="宋体" w:hAnsi="宋体" w:cs="宋体"/>
          <w:b/>
          <w:sz w:val="32"/>
          <w:szCs w:val="32"/>
          <w:highlight w:val="none"/>
        </w:rPr>
        <w:t>东丽区安防网2019年度系统软件技术及系统网络设备维护服务项目绩效评价报告</w:t>
      </w:r>
      <w:bookmarkEnd w:id="0"/>
      <w:bookmarkEnd w:id="1"/>
    </w:p>
    <w:p>
      <w:pPr>
        <w:spacing w:line="400" w:lineRule="exact"/>
        <w:ind w:firstLine="643" w:firstLineChars="200"/>
        <w:jc w:val="center"/>
        <w:rPr>
          <w:rFonts w:ascii="宋体" w:hAnsi="宋体" w:cs="宋体"/>
          <w:b/>
          <w:sz w:val="32"/>
          <w:szCs w:val="32"/>
          <w:highlight w:val="none"/>
        </w:rPr>
      </w:pPr>
    </w:p>
    <w:p>
      <w:pPr>
        <w:spacing w:line="500" w:lineRule="exact"/>
        <w:ind w:firstLine="480" w:firstLineChars="200"/>
        <w:rPr>
          <w:rFonts w:ascii="宋体" w:hAnsi="宋体" w:cs="宋体"/>
          <w:highlight w:val="none"/>
        </w:rPr>
      </w:pPr>
      <w:bookmarkStart w:id="2" w:name="_Hlk57149210"/>
      <w:bookmarkStart w:id="3" w:name="_Hlk54797039"/>
      <w:r>
        <w:rPr>
          <w:rFonts w:hint="eastAsia" w:ascii="宋体" w:hAnsi="宋体" w:cs="宋体"/>
          <w:highlight w:val="none"/>
        </w:rPr>
        <w:t>为进一步规范天津市东丽区应急管理局（以下简称“区应急局”）关于东丽区安防网2019年度系统软件技术及系统网络设备维护服务项目专项资金管理和使用，我们接受天津市东丽区财政局的委托，通过对项目执行与完成情况的全面了解和分析，对项目立项、项目决策、项目管理、项目绩效等情况进行评价，在核实、收集、整理、汇总、分析绩效相关资料的基础上，形成了项目绩效评价报告。现将绩效评价情况报告如下：</w:t>
      </w:r>
      <w:bookmarkEnd w:id="2"/>
    </w:p>
    <w:bookmarkEnd w:id="3"/>
    <w:p>
      <w:pPr>
        <w:pStyle w:val="3"/>
        <w:numPr>
          <w:ilvl w:val="0"/>
          <w:numId w:val="2"/>
        </w:numPr>
        <w:spacing w:before="0" w:after="0" w:line="360" w:lineRule="auto"/>
        <w:ind w:firstLine="482" w:firstLineChars="200"/>
        <w:rPr>
          <w:rFonts w:ascii="宋体" w:hAnsi="宋体" w:cs="宋体"/>
          <w:highlight w:val="none"/>
        </w:rPr>
      </w:pPr>
      <w:bookmarkStart w:id="4" w:name="_Toc20211"/>
      <w:r>
        <w:rPr>
          <w:rFonts w:hint="eastAsia" w:ascii="宋体" w:hAnsi="宋体" w:cs="宋体"/>
          <w:highlight w:val="none"/>
        </w:rPr>
        <w:t>项目基本概况</w:t>
      </w:r>
      <w:bookmarkEnd w:id="4"/>
    </w:p>
    <w:p>
      <w:pPr>
        <w:pStyle w:val="4"/>
        <w:spacing w:before="0" w:after="0" w:line="500" w:lineRule="exact"/>
        <w:ind w:left="0" w:firstLine="480" w:firstLineChars="200"/>
        <w:rPr>
          <w:rFonts w:ascii="宋体" w:hAnsi="宋体" w:cs="宋体"/>
          <w:highlight w:val="none"/>
        </w:rPr>
      </w:pPr>
      <w:bookmarkStart w:id="5" w:name="_Toc13872"/>
      <w:r>
        <w:rPr>
          <w:rFonts w:hint="eastAsia" w:ascii="宋体" w:hAnsi="宋体" w:cs="宋体"/>
          <w:highlight w:val="none"/>
        </w:rPr>
        <w:t>项目背景</w:t>
      </w:r>
      <w:bookmarkEnd w:id="5"/>
    </w:p>
    <w:p>
      <w:pPr>
        <w:spacing w:line="500" w:lineRule="exact"/>
        <w:ind w:firstLine="480" w:firstLineChars="200"/>
        <w:rPr>
          <w:rFonts w:ascii="宋体" w:hAnsi="宋体" w:cs="宋体"/>
          <w:highlight w:val="none"/>
        </w:rPr>
      </w:pPr>
      <w:r>
        <w:rPr>
          <w:rFonts w:hint="eastAsia" w:ascii="宋体" w:hAnsi="宋体" w:cs="宋体"/>
          <w:highlight w:val="none"/>
        </w:rPr>
        <w:t>依据《中华人民共和国网络安全法》、天津市《危险化学品在线监测平台运行规范》（DB12/T 772-2018）和天津市应急管理局《关于加强安全生产防控网运行保障工作的通知》要求，各区应急局组织开展安防网运维工作。东丽区安防网2019年度系统软件技术及系统网络设备维护服务项目内容包括：进一步加强对服务器、视频平台、安全设备、网络设备等硬件设备巡查工作，保障设备正常运行；定期做好网络设备、数据库等重要数据的维护和备份工作。</w:t>
      </w:r>
    </w:p>
    <w:p>
      <w:pPr>
        <w:spacing w:line="500" w:lineRule="exact"/>
        <w:ind w:firstLine="480" w:firstLineChars="200"/>
        <w:outlineLvl w:val="1"/>
        <w:rPr>
          <w:rFonts w:ascii="宋体" w:hAnsi="宋体" w:cs="宋体"/>
          <w:highlight w:val="none"/>
        </w:rPr>
      </w:pPr>
      <w:bookmarkStart w:id="6" w:name="_Toc20427"/>
      <w:r>
        <w:rPr>
          <w:rFonts w:hint="eastAsia" w:ascii="宋体" w:hAnsi="宋体" w:cs="宋体"/>
          <w:highlight w:val="none"/>
        </w:rPr>
        <w:t>（二）项目组织实施概况</w:t>
      </w:r>
      <w:bookmarkEnd w:id="6"/>
    </w:p>
    <w:p>
      <w:pPr>
        <w:spacing w:line="500" w:lineRule="exact"/>
        <w:ind w:firstLine="480" w:firstLineChars="200"/>
        <w:rPr>
          <w:rFonts w:ascii="宋体" w:hAnsi="宋体" w:cs="宋体"/>
          <w:highlight w:val="none"/>
        </w:rPr>
      </w:pPr>
      <w:r>
        <w:rPr>
          <w:rFonts w:hint="eastAsia" w:ascii="宋体" w:hAnsi="宋体" w:cs="宋体"/>
          <w:highlight w:val="none"/>
        </w:rPr>
        <w:t>东丽区安防网2019年度系统软件技术及系统网络设备维护服务项目由区应急局组织实施，区应急局</w:t>
      </w:r>
      <w:r>
        <w:rPr>
          <w:rFonts w:hint="eastAsia" w:ascii="宋体" w:hAnsi="宋体" w:cs="宋体"/>
          <w:highlight w:val="none"/>
          <w:lang w:val="en-US" w:eastAsia="zh-CN"/>
        </w:rPr>
        <w:t>在</w:t>
      </w:r>
      <w:r>
        <w:rPr>
          <w:rFonts w:hint="eastAsia" w:ascii="宋体" w:hAnsi="宋体" w:cs="宋体"/>
          <w:highlight w:val="none"/>
        </w:rPr>
        <w:t>前期调研基础上向中共天津市东丽区委网络安全和信息化委员会办公室提交《关于申请启动区安防网2019年度系统软件技术运维及系统网络设备维护服务项目》的请示。在项目开展实施过程中，通过公开招标方式，最终由天津仁和嘉境科技有限公司具体实施东丽区安防网2019年度系统软件技术及系统网络设备维护服务项目。按照应急管理运维要求对安防网平台中心机房、与市局政务网通信、安防网系统、企业物联网主机、重大危险源信号通信、安防网平台视频通信进行运维保障工作。服务期满后，区应急局聘请天津市津泽青诚项目管理有限公司对合同执行内容开展验收。</w:t>
      </w:r>
    </w:p>
    <w:p>
      <w:pPr>
        <w:pStyle w:val="4"/>
        <w:numPr>
          <w:ilvl w:val="1"/>
          <w:numId w:val="0"/>
        </w:numPr>
        <w:spacing w:before="0" w:after="0" w:line="500" w:lineRule="exact"/>
        <w:ind w:firstLine="480" w:firstLineChars="200"/>
        <w:rPr>
          <w:rFonts w:ascii="宋体" w:hAnsi="宋体" w:cs="宋体"/>
          <w:highlight w:val="none"/>
        </w:rPr>
      </w:pPr>
      <w:bookmarkStart w:id="7" w:name="_Toc19826"/>
      <w:r>
        <w:rPr>
          <w:rFonts w:hint="eastAsia" w:ascii="宋体" w:hAnsi="宋体" w:cs="宋体"/>
          <w:highlight w:val="none"/>
        </w:rPr>
        <w:t>（三）绩效目标设定情况</w:t>
      </w:r>
      <w:bookmarkEnd w:id="7"/>
    </w:p>
    <w:p>
      <w:pPr>
        <w:spacing w:line="500" w:lineRule="exact"/>
        <w:ind w:firstLine="480" w:firstLineChars="200"/>
        <w:rPr>
          <w:rFonts w:ascii="宋体" w:hAnsi="宋体" w:cs="宋体"/>
          <w:highlight w:val="none"/>
        </w:rPr>
      </w:pPr>
      <w:r>
        <w:rPr>
          <w:rFonts w:hint="eastAsia" w:ascii="宋体" w:hAnsi="宋体" w:cs="宋体"/>
          <w:highlight w:val="none"/>
        </w:rPr>
        <w:t>总目标：加强安全生产防控网运行保障工作经费</w:t>
      </w:r>
    </w:p>
    <w:p>
      <w:pPr>
        <w:spacing w:line="500" w:lineRule="exact"/>
        <w:ind w:firstLine="480" w:firstLineChars="200"/>
        <w:rPr>
          <w:rFonts w:ascii="宋体" w:hAnsi="宋体" w:cs="宋体"/>
          <w:highlight w:val="none"/>
        </w:rPr>
      </w:pPr>
      <w:r>
        <w:rPr>
          <w:rFonts w:hint="eastAsia" w:ascii="宋体" w:hAnsi="宋体" w:cs="宋体"/>
          <w:highlight w:val="none"/>
        </w:rPr>
        <w:t>具体目标：具体指标设置不完整。其中：数量指标为实现全覆盖100%；质量为指标进一步提高；时效指标为实现及时有效100%；社会效益指标有所提高，达到进一步提高安全意识；可持续影响指标为提高辖区内安全生产有所改善；服务对象满意度指标达到100%。</w:t>
      </w:r>
    </w:p>
    <w:p>
      <w:pPr>
        <w:pStyle w:val="4"/>
        <w:numPr>
          <w:ilvl w:val="1"/>
          <w:numId w:val="0"/>
        </w:numPr>
        <w:spacing w:before="0" w:after="0" w:line="500" w:lineRule="exact"/>
        <w:ind w:firstLine="480" w:firstLineChars="200"/>
        <w:rPr>
          <w:rFonts w:ascii="宋体" w:hAnsi="宋体" w:cs="宋体"/>
          <w:highlight w:val="none"/>
        </w:rPr>
      </w:pPr>
      <w:bookmarkStart w:id="8" w:name="_Toc3020"/>
      <w:r>
        <w:rPr>
          <w:rFonts w:hint="eastAsia" w:ascii="宋体" w:hAnsi="宋体" w:cs="宋体"/>
          <w:highlight w:val="none"/>
        </w:rPr>
        <w:t>（四）年度资金执行情况</w:t>
      </w:r>
      <w:bookmarkEnd w:id="8"/>
    </w:p>
    <w:p>
      <w:pPr>
        <w:tabs>
          <w:tab w:val="left" w:pos="0"/>
        </w:tabs>
        <w:spacing w:line="500" w:lineRule="exact"/>
        <w:ind w:firstLine="480" w:firstLineChars="200"/>
        <w:rPr>
          <w:rFonts w:ascii="宋体" w:hAnsi="宋体" w:cs="宋体"/>
          <w:highlight w:val="none"/>
        </w:rPr>
      </w:pPr>
      <w:r>
        <w:rPr>
          <w:rFonts w:hint="eastAsia" w:ascii="宋体" w:hAnsi="宋体" w:cs="宋体"/>
          <w:highlight w:val="none"/>
        </w:rPr>
        <w:t>东丽区安防网2019年度系统软件技术及系统网络设备维护服务项目年初预算金额为146.00万元。项目开展过程中，履行公开招投标程序签署合同服务金额为144.60万元，区应急局按照合同金额的90%调整年初预算，预算安排金额调整为130.14万元，但未提供预算调整文件。截至2020年12月底资金到位金额130.14万元，资金到位率100%；预算执行金额为130.14万元，预算执行率为100%。验收通过后，合同尾款14.46万元已于2021年付清。东丽区安防网2019年度系统软件技术及系统网络设备维护服务项目2020年度项目预算及执行情况详见下表：</w:t>
      </w:r>
    </w:p>
    <w:p>
      <w:pPr>
        <w:pStyle w:val="2"/>
        <w:spacing w:line="500" w:lineRule="exact"/>
        <w:ind w:firstLine="480" w:firstLineChars="200"/>
        <w:jc w:val="center"/>
        <w:rPr>
          <w:rFonts w:cs="宋体"/>
          <w:highlight w:val="none"/>
        </w:rPr>
      </w:pPr>
      <w:r>
        <w:rPr>
          <w:rFonts w:hint="eastAsia" w:cs="宋体"/>
          <w:highlight w:val="none"/>
        </w:rPr>
        <w:t>表1：2020年度项目预算及执行情况</w:t>
      </w:r>
    </w:p>
    <w:tbl>
      <w:tblPr>
        <w:tblStyle w:val="8"/>
        <w:tblW w:w="5015" w:type="pct"/>
        <w:jc w:val="center"/>
        <w:tblLayout w:type="autofit"/>
        <w:tblCellMar>
          <w:top w:w="0" w:type="dxa"/>
          <w:left w:w="108" w:type="dxa"/>
          <w:bottom w:w="0" w:type="dxa"/>
          <w:right w:w="108" w:type="dxa"/>
        </w:tblCellMar>
      </w:tblPr>
      <w:tblGrid>
        <w:gridCol w:w="801"/>
        <w:gridCol w:w="2249"/>
        <w:gridCol w:w="2249"/>
        <w:gridCol w:w="1749"/>
        <w:gridCol w:w="1500"/>
      </w:tblGrid>
      <w:tr>
        <w:tblPrEx>
          <w:tblCellMar>
            <w:top w:w="0" w:type="dxa"/>
            <w:left w:w="108" w:type="dxa"/>
            <w:bottom w:w="0" w:type="dxa"/>
            <w:right w:w="108" w:type="dxa"/>
          </w:tblCellMar>
        </w:tblPrEx>
        <w:trPr>
          <w:trHeight w:val="443" w:hRule="atLeast"/>
          <w:jc w:val="center"/>
        </w:trPr>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序号</w:t>
            </w:r>
          </w:p>
        </w:tc>
        <w:tc>
          <w:tcPr>
            <w:tcW w:w="13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预算内容</w:t>
            </w:r>
          </w:p>
        </w:tc>
        <w:tc>
          <w:tcPr>
            <w:tcW w:w="13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预算安排金额(元)</w:t>
            </w:r>
          </w:p>
        </w:tc>
        <w:tc>
          <w:tcPr>
            <w:tcW w:w="1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执行金额(元)</w:t>
            </w:r>
          </w:p>
        </w:tc>
        <w:tc>
          <w:tcPr>
            <w:tcW w:w="8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预算执行率</w:t>
            </w:r>
          </w:p>
        </w:tc>
      </w:tr>
      <w:tr>
        <w:tblPrEx>
          <w:tblCellMar>
            <w:top w:w="0" w:type="dxa"/>
            <w:left w:w="108" w:type="dxa"/>
            <w:bottom w:w="0" w:type="dxa"/>
            <w:right w:w="108" w:type="dxa"/>
          </w:tblCellMar>
        </w:tblPrEx>
        <w:trPr>
          <w:trHeight w:val="385" w:hRule="atLeast"/>
          <w:jc w:val="center"/>
        </w:trPr>
        <w:tc>
          <w:tcPr>
            <w:tcW w:w="44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ind w:firstLine="420" w:firstLineChars="200"/>
              <w:textAlignment w:val="center"/>
              <w:rPr>
                <w:rFonts w:ascii="宋体" w:hAnsi="宋体" w:cs="宋体"/>
                <w:color w:val="000000"/>
                <w:sz w:val="21"/>
                <w:szCs w:val="21"/>
                <w:highlight w:val="none"/>
              </w:rPr>
            </w:pPr>
            <w:r>
              <w:rPr>
                <w:rFonts w:hint="eastAsia" w:ascii="宋体" w:hAnsi="宋体" w:cs="宋体"/>
                <w:color w:val="000000"/>
                <w:sz w:val="21"/>
                <w:szCs w:val="21"/>
                <w:highlight w:val="none"/>
              </w:rPr>
              <w:t>1</w:t>
            </w:r>
          </w:p>
        </w:tc>
        <w:tc>
          <w:tcPr>
            <w:tcW w:w="1322" w:type="pct"/>
            <w:tcBorders>
              <w:top w:val="single" w:color="000000" w:sz="4" w:space="0"/>
              <w:left w:val="single" w:color="000000" w:sz="4" w:space="0"/>
              <w:right w:val="single" w:color="000000" w:sz="4" w:space="0"/>
            </w:tcBorders>
            <w:shd w:val="clear" w:color="auto" w:fill="auto"/>
            <w:vAlign w:val="center"/>
          </w:tcPr>
          <w:p>
            <w:pPr>
              <w:widowControl/>
              <w:spacing w:line="300" w:lineRule="exact"/>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安防网项目服务费</w:t>
            </w:r>
          </w:p>
        </w:tc>
        <w:tc>
          <w:tcPr>
            <w:tcW w:w="1322" w:type="pct"/>
            <w:tcBorders>
              <w:top w:val="single" w:color="000000" w:sz="4" w:space="0"/>
              <w:left w:val="single" w:color="000000" w:sz="4" w:space="0"/>
              <w:right w:val="single" w:color="000000" w:sz="4" w:space="0"/>
            </w:tcBorders>
            <w:shd w:val="clear" w:color="auto" w:fill="auto"/>
            <w:vAlign w:val="center"/>
          </w:tcPr>
          <w:p>
            <w:pPr>
              <w:widowControl/>
              <w:spacing w:line="300" w:lineRule="exact"/>
              <w:jc w:val="center"/>
              <w:textAlignment w:val="center"/>
              <w:rPr>
                <w:rFonts w:ascii="宋体" w:hAnsi="宋体" w:cs="宋体"/>
                <w:color w:val="000000"/>
                <w:sz w:val="21"/>
                <w:szCs w:val="21"/>
                <w:highlight w:val="none"/>
              </w:rPr>
            </w:pPr>
            <w:r>
              <w:rPr>
                <w:rFonts w:hint="eastAsia" w:ascii="宋体" w:hAnsi="宋体" w:cs="宋体"/>
                <w:color w:val="000000"/>
                <w:sz w:val="21"/>
                <w:szCs w:val="21"/>
                <w:highlight w:val="none"/>
              </w:rPr>
              <w:t>1,301,400.00</w:t>
            </w:r>
          </w:p>
        </w:tc>
        <w:tc>
          <w:tcPr>
            <w:tcW w:w="1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宋体" w:hAnsi="宋体" w:cs="宋体"/>
                <w:color w:val="000000"/>
                <w:sz w:val="21"/>
                <w:szCs w:val="21"/>
                <w:highlight w:val="none"/>
              </w:rPr>
            </w:pPr>
            <w:r>
              <w:rPr>
                <w:rFonts w:hint="eastAsia" w:ascii="宋体" w:hAnsi="宋体" w:cs="宋体"/>
                <w:color w:val="000000"/>
                <w:sz w:val="21"/>
                <w:szCs w:val="21"/>
                <w:highlight w:val="none"/>
              </w:rPr>
              <w:t>1,301,400.00</w:t>
            </w:r>
          </w:p>
        </w:tc>
        <w:tc>
          <w:tcPr>
            <w:tcW w:w="8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100%</w:t>
            </w:r>
          </w:p>
        </w:tc>
      </w:tr>
      <w:tr>
        <w:tblPrEx>
          <w:tblCellMar>
            <w:top w:w="0" w:type="dxa"/>
            <w:left w:w="108" w:type="dxa"/>
            <w:bottom w:w="0" w:type="dxa"/>
            <w:right w:w="108" w:type="dxa"/>
          </w:tblCellMar>
        </w:tblPrEx>
        <w:trPr>
          <w:trHeight w:val="373" w:hRule="atLeast"/>
          <w:jc w:val="center"/>
        </w:trPr>
        <w:tc>
          <w:tcPr>
            <w:tcW w:w="176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合计</w:t>
            </w:r>
          </w:p>
        </w:tc>
        <w:tc>
          <w:tcPr>
            <w:tcW w:w="132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宋体" w:hAnsi="宋体" w:cs="宋体"/>
                <w:color w:val="000000"/>
                <w:sz w:val="21"/>
                <w:szCs w:val="21"/>
                <w:highlight w:val="none"/>
              </w:rPr>
            </w:pPr>
            <w:r>
              <w:rPr>
                <w:rFonts w:hint="eastAsia" w:ascii="宋体" w:hAnsi="宋体" w:cs="宋体"/>
                <w:color w:val="000000"/>
                <w:sz w:val="21"/>
                <w:szCs w:val="21"/>
                <w:highlight w:val="none"/>
              </w:rPr>
              <w:t>1,301,400.00</w:t>
            </w:r>
          </w:p>
        </w:tc>
        <w:tc>
          <w:tcPr>
            <w:tcW w:w="1029"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宋体" w:hAnsi="宋体" w:cs="宋体"/>
                <w:color w:val="000000"/>
                <w:sz w:val="21"/>
                <w:szCs w:val="21"/>
                <w:highlight w:val="none"/>
              </w:rPr>
            </w:pPr>
            <w:r>
              <w:rPr>
                <w:rFonts w:hint="eastAsia" w:ascii="宋体" w:hAnsi="宋体" w:cs="宋体"/>
                <w:color w:val="000000"/>
                <w:sz w:val="21"/>
                <w:szCs w:val="21"/>
                <w:highlight w:val="none"/>
              </w:rPr>
              <w:t>1,301,400.00</w:t>
            </w:r>
          </w:p>
        </w:tc>
        <w:tc>
          <w:tcPr>
            <w:tcW w:w="88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00" w:lineRule="exact"/>
              <w:jc w:val="center"/>
              <w:textAlignment w:val="center"/>
              <w:rPr>
                <w:rFonts w:ascii="宋体" w:hAnsi="宋体" w:cs="宋体"/>
                <w:color w:val="000000"/>
                <w:sz w:val="21"/>
                <w:szCs w:val="21"/>
                <w:highlight w:val="none"/>
              </w:rPr>
            </w:pPr>
            <w:r>
              <w:rPr>
                <w:rFonts w:hint="eastAsia" w:ascii="宋体" w:hAnsi="宋体" w:cs="宋体"/>
                <w:color w:val="000000"/>
                <w:sz w:val="21"/>
                <w:szCs w:val="21"/>
                <w:highlight w:val="none"/>
              </w:rPr>
              <w:t>100%</w:t>
            </w:r>
          </w:p>
        </w:tc>
      </w:tr>
    </w:tbl>
    <w:p>
      <w:pPr>
        <w:pStyle w:val="3"/>
        <w:numPr>
          <w:ilvl w:val="0"/>
          <w:numId w:val="0"/>
        </w:numPr>
        <w:spacing w:before="0" w:after="0" w:line="500" w:lineRule="exact"/>
        <w:ind w:firstLine="482" w:firstLineChars="200"/>
        <w:rPr>
          <w:rFonts w:ascii="宋体" w:hAnsi="宋体" w:cs="宋体"/>
          <w:highlight w:val="none"/>
        </w:rPr>
      </w:pPr>
      <w:bookmarkStart w:id="9" w:name="_Toc9922"/>
      <w:bookmarkStart w:id="10" w:name="_Hlk54878842"/>
      <w:r>
        <w:rPr>
          <w:rFonts w:hint="eastAsia" w:ascii="宋体" w:hAnsi="宋体" w:cs="宋体"/>
          <w:highlight w:val="none"/>
        </w:rPr>
        <w:t>二、绩效评价的组织实施情况</w:t>
      </w:r>
      <w:bookmarkEnd w:id="9"/>
    </w:p>
    <w:bookmarkEnd w:id="10"/>
    <w:p>
      <w:pPr>
        <w:pStyle w:val="4"/>
        <w:numPr>
          <w:ilvl w:val="1"/>
          <w:numId w:val="0"/>
        </w:numPr>
        <w:spacing w:before="0" w:after="0" w:line="500" w:lineRule="exact"/>
        <w:ind w:firstLine="480" w:firstLineChars="200"/>
        <w:rPr>
          <w:rFonts w:ascii="宋体" w:hAnsi="宋体" w:cs="宋体"/>
          <w:highlight w:val="none"/>
        </w:rPr>
      </w:pPr>
      <w:bookmarkStart w:id="11" w:name="_Toc8191"/>
      <w:r>
        <w:rPr>
          <w:rFonts w:hint="eastAsia" w:ascii="宋体" w:hAnsi="宋体" w:cs="宋体"/>
          <w:highlight w:val="none"/>
        </w:rPr>
        <w:t>（一）绩效评价项目组的人员构成</w:t>
      </w:r>
      <w:bookmarkEnd w:id="11"/>
    </w:p>
    <w:p>
      <w:pPr>
        <w:spacing w:line="500" w:lineRule="exact"/>
        <w:ind w:firstLine="480" w:firstLineChars="200"/>
        <w:rPr>
          <w:rFonts w:ascii="宋体" w:hAnsi="宋体" w:cs="宋体"/>
          <w:highlight w:val="none"/>
        </w:rPr>
      </w:pPr>
      <w:r>
        <w:rPr>
          <w:rFonts w:hint="eastAsia" w:ascii="宋体" w:hAnsi="宋体" w:cs="宋体"/>
          <w:highlight w:val="none"/>
        </w:rPr>
        <w:t>绩效评价项目组配备了具有丰富绩效评价工作经验的注册会计师及专业评价人员来承担项目。项目负责人具体负责绩效评价项目的内部和外部协调，并对整个项目的工作情况进行监督、管理和控制。</w:t>
      </w:r>
    </w:p>
    <w:p>
      <w:pPr>
        <w:spacing w:line="500" w:lineRule="exact"/>
        <w:ind w:firstLine="480" w:firstLineChars="200"/>
        <w:outlineLvl w:val="1"/>
        <w:rPr>
          <w:rFonts w:ascii="宋体" w:hAnsi="宋体" w:cs="宋体"/>
          <w:highlight w:val="none"/>
          <w:lang w:bidi="ar"/>
        </w:rPr>
      </w:pPr>
      <w:bookmarkStart w:id="12" w:name="_Toc12632"/>
      <w:r>
        <w:rPr>
          <w:rFonts w:hint="eastAsia" w:ascii="宋体" w:hAnsi="宋体" w:cs="宋体"/>
          <w:highlight w:val="none"/>
          <w:lang w:bidi="ar"/>
        </w:rPr>
        <w:t>（二）绩效评价工作程序和进度</w:t>
      </w:r>
      <w:bookmarkEnd w:id="12"/>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按照区财政局的要求，在规定时间开始现场绩效评价工作，按时完成现场绩效评价工作，形成绩效评价报告。</w:t>
      </w:r>
    </w:p>
    <w:p>
      <w:pPr>
        <w:spacing w:line="360" w:lineRule="auto"/>
        <w:ind w:firstLine="480" w:firstLineChars="200"/>
        <w:rPr>
          <w:rFonts w:ascii="宋体" w:hAnsi="宋体" w:cs="宋体"/>
          <w:bCs/>
          <w:highlight w:val="none"/>
          <w:lang w:bidi="ar"/>
        </w:rPr>
      </w:pPr>
      <w:r>
        <w:rPr>
          <w:rFonts w:hint="eastAsia" w:ascii="宋体" w:hAnsi="宋体" w:cs="宋体"/>
          <w:bCs/>
          <w:highlight w:val="none"/>
          <w:lang w:bidi="ar"/>
        </w:rPr>
        <w:t>绩效评价工作分为准备阶段、实施阶段、报告阶段三个阶段。日程表如下：</w:t>
      </w:r>
    </w:p>
    <w:p>
      <w:pPr>
        <w:pStyle w:val="2"/>
        <w:spacing w:before="0" w:line="360" w:lineRule="auto"/>
        <w:jc w:val="center"/>
        <w:rPr>
          <w:highlight w:val="none"/>
        </w:rPr>
      </w:pPr>
      <w:r>
        <w:rPr>
          <w:rFonts w:hint="eastAsia" w:cs="宋体"/>
          <w:bCs/>
          <w:highlight w:val="none"/>
          <w:lang w:bidi="ar"/>
        </w:rPr>
        <w:t>表2：绩效评价工作日程表</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495"/>
        <w:gridCol w:w="1307"/>
        <w:gridCol w:w="5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 w:hRule="atLeast"/>
        </w:trPr>
        <w:tc>
          <w:tcPr>
            <w:tcW w:w="1495" w:type="dxa"/>
            <w:vAlign w:val="center"/>
          </w:tcPr>
          <w:p>
            <w:pPr>
              <w:spacing w:line="360" w:lineRule="auto"/>
              <w:jc w:val="center"/>
              <w:rPr>
                <w:rFonts w:ascii="宋体" w:hAnsi="宋体" w:cs="宋体"/>
                <w:bCs/>
                <w:sz w:val="21"/>
                <w:szCs w:val="21"/>
                <w:highlight w:val="none"/>
                <w:lang w:bidi="ar"/>
              </w:rPr>
            </w:pPr>
            <w:r>
              <w:rPr>
                <w:rFonts w:hint="eastAsia" w:ascii="宋体" w:hAnsi="宋体" w:cs="宋体"/>
                <w:bCs/>
                <w:sz w:val="21"/>
                <w:szCs w:val="21"/>
                <w:highlight w:val="none"/>
                <w:lang w:bidi="ar"/>
              </w:rPr>
              <w:t>工作阶段</w:t>
            </w:r>
          </w:p>
        </w:tc>
        <w:tc>
          <w:tcPr>
            <w:tcW w:w="1307" w:type="dxa"/>
            <w:tcMar>
              <w:top w:w="15" w:type="dxa"/>
              <w:left w:w="15" w:type="dxa"/>
              <w:bottom w:w="0" w:type="dxa"/>
              <w:right w:w="15" w:type="dxa"/>
            </w:tcMar>
            <w:vAlign w:val="center"/>
          </w:tcPr>
          <w:p>
            <w:pPr>
              <w:spacing w:line="360" w:lineRule="auto"/>
              <w:ind w:firstLine="210" w:firstLineChars="100"/>
              <w:jc w:val="center"/>
              <w:rPr>
                <w:rFonts w:ascii="宋体" w:hAnsi="宋体" w:cs="宋体"/>
                <w:bCs/>
                <w:sz w:val="21"/>
                <w:szCs w:val="21"/>
                <w:highlight w:val="none"/>
                <w:lang w:bidi="ar"/>
              </w:rPr>
            </w:pPr>
            <w:r>
              <w:rPr>
                <w:rFonts w:hint="eastAsia" w:ascii="宋体" w:hAnsi="宋体" w:cs="宋体"/>
                <w:bCs/>
                <w:sz w:val="21"/>
                <w:szCs w:val="21"/>
                <w:highlight w:val="none"/>
                <w:lang w:bidi="ar"/>
              </w:rPr>
              <w:t>工作时间</w:t>
            </w:r>
          </w:p>
        </w:tc>
        <w:tc>
          <w:tcPr>
            <w:tcW w:w="5524" w:type="dxa"/>
            <w:tcMar>
              <w:top w:w="15" w:type="dxa"/>
              <w:left w:w="15" w:type="dxa"/>
              <w:bottom w:w="0" w:type="dxa"/>
              <w:right w:w="15" w:type="dxa"/>
            </w:tcMar>
            <w:vAlign w:val="center"/>
          </w:tcPr>
          <w:p>
            <w:pPr>
              <w:spacing w:line="360" w:lineRule="auto"/>
              <w:jc w:val="center"/>
              <w:rPr>
                <w:rFonts w:ascii="宋体" w:hAnsi="宋体" w:cs="宋体"/>
                <w:bCs/>
                <w:sz w:val="21"/>
                <w:szCs w:val="21"/>
                <w:highlight w:val="none"/>
                <w:lang w:bidi="ar"/>
              </w:rPr>
            </w:pPr>
            <w:r>
              <w:rPr>
                <w:rFonts w:hint="eastAsia" w:ascii="宋体" w:hAnsi="宋体" w:cs="宋体"/>
                <w:bCs/>
                <w:sz w:val="21"/>
                <w:szCs w:val="21"/>
                <w:highlight w:val="none"/>
                <w:lang w:bidi="ar"/>
              </w:rPr>
              <w:t>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1495" w:type="dxa"/>
            <w:vAlign w:val="center"/>
          </w:tcPr>
          <w:p>
            <w:pPr>
              <w:spacing w:line="360" w:lineRule="auto"/>
              <w:jc w:val="center"/>
              <w:rPr>
                <w:rFonts w:ascii="宋体" w:hAnsi="宋体" w:cs="宋体"/>
                <w:bCs/>
                <w:sz w:val="21"/>
                <w:szCs w:val="21"/>
                <w:highlight w:val="none"/>
                <w:lang w:bidi="ar"/>
              </w:rPr>
            </w:pPr>
            <w:r>
              <w:rPr>
                <w:rFonts w:hint="eastAsia" w:ascii="宋体" w:hAnsi="宋体" w:cs="宋体"/>
                <w:bCs/>
                <w:sz w:val="21"/>
                <w:szCs w:val="21"/>
                <w:highlight w:val="none"/>
                <w:lang w:bidi="ar"/>
              </w:rPr>
              <w:t>准备阶段</w:t>
            </w:r>
          </w:p>
        </w:tc>
        <w:tc>
          <w:tcPr>
            <w:tcW w:w="1307" w:type="dxa"/>
            <w:tcMar>
              <w:top w:w="15" w:type="dxa"/>
              <w:left w:w="15" w:type="dxa"/>
              <w:bottom w:w="0" w:type="dxa"/>
              <w:right w:w="15" w:type="dxa"/>
            </w:tcMar>
            <w:vAlign w:val="center"/>
          </w:tcPr>
          <w:p>
            <w:pPr>
              <w:spacing w:line="360" w:lineRule="auto"/>
              <w:ind w:firstLine="210" w:firstLineChars="100"/>
              <w:rPr>
                <w:rFonts w:ascii="宋体" w:hAnsi="宋体" w:cs="宋体"/>
                <w:bCs/>
                <w:sz w:val="21"/>
                <w:szCs w:val="21"/>
                <w:highlight w:val="none"/>
                <w:lang w:bidi="ar"/>
              </w:rPr>
            </w:pPr>
            <w:r>
              <w:rPr>
                <w:rFonts w:hint="eastAsia" w:ascii="宋体" w:hAnsi="宋体" w:cs="宋体"/>
                <w:bCs/>
                <w:sz w:val="21"/>
                <w:szCs w:val="21"/>
                <w:highlight w:val="none"/>
                <w:lang w:bidi="ar"/>
              </w:rPr>
              <w:t>2工作日</w:t>
            </w:r>
          </w:p>
        </w:tc>
        <w:tc>
          <w:tcPr>
            <w:tcW w:w="5524" w:type="dxa"/>
            <w:tcMar>
              <w:top w:w="15" w:type="dxa"/>
              <w:left w:w="15" w:type="dxa"/>
              <w:bottom w:w="0" w:type="dxa"/>
              <w:right w:w="15" w:type="dxa"/>
            </w:tcMar>
            <w:vAlign w:val="center"/>
          </w:tcPr>
          <w:p>
            <w:pPr>
              <w:pStyle w:val="5"/>
              <w:spacing w:before="0" w:after="0" w:line="360" w:lineRule="auto"/>
              <w:ind w:left="0"/>
              <w:rPr>
                <w:rFonts w:ascii="宋体" w:hAnsi="宋体" w:cs="宋体"/>
                <w:bCs/>
                <w:sz w:val="21"/>
                <w:szCs w:val="21"/>
                <w:highlight w:val="none"/>
                <w:lang w:bidi="ar"/>
              </w:rPr>
            </w:pPr>
            <w:r>
              <w:rPr>
                <w:rFonts w:hint="eastAsia" w:ascii="宋体" w:hAnsi="宋体" w:cs="宋体"/>
                <w:bCs/>
                <w:sz w:val="21"/>
                <w:szCs w:val="21"/>
                <w:highlight w:val="none"/>
                <w:lang w:bidi="ar"/>
              </w:rPr>
              <w:t>◇所内集中参与人员进行短期培训，分派任务，讲解要求，明确责任；</w:t>
            </w:r>
          </w:p>
          <w:p>
            <w:pPr>
              <w:pStyle w:val="5"/>
              <w:spacing w:before="0" w:after="0" w:line="360" w:lineRule="auto"/>
              <w:ind w:left="0"/>
              <w:rPr>
                <w:rFonts w:ascii="宋体" w:hAnsi="宋体" w:cs="宋体"/>
                <w:bCs/>
                <w:sz w:val="21"/>
                <w:szCs w:val="21"/>
                <w:highlight w:val="none"/>
                <w:lang w:bidi="ar"/>
              </w:rPr>
            </w:pPr>
            <w:r>
              <w:rPr>
                <w:rFonts w:hint="eastAsia" w:ascii="宋体" w:hAnsi="宋体" w:cs="宋体"/>
                <w:bCs/>
                <w:sz w:val="21"/>
                <w:szCs w:val="21"/>
                <w:highlight w:val="none"/>
                <w:lang w:bidi="ar"/>
              </w:rPr>
              <w:t>◇开展审前调查，收集资料、了解基本情况；</w:t>
            </w:r>
          </w:p>
          <w:p>
            <w:pPr>
              <w:rPr>
                <w:rFonts w:ascii="宋体" w:hAnsi="宋体" w:cs="宋体"/>
                <w:bCs/>
                <w:sz w:val="21"/>
                <w:szCs w:val="21"/>
                <w:highlight w:val="none"/>
                <w:lang w:bidi="ar"/>
              </w:rPr>
            </w:pPr>
            <w:r>
              <w:rPr>
                <w:rFonts w:hint="eastAsia" w:ascii="宋体" w:hAnsi="宋体" w:cs="宋体"/>
                <w:bCs/>
                <w:sz w:val="21"/>
                <w:szCs w:val="21"/>
                <w:highlight w:val="none"/>
                <w:lang w:bidi="ar"/>
              </w:rPr>
              <w:t>◇进行政策梳理，编制相关工作底稿。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5" w:hRule="atLeast"/>
        </w:trPr>
        <w:tc>
          <w:tcPr>
            <w:tcW w:w="1495" w:type="dxa"/>
            <w:vAlign w:val="center"/>
          </w:tcPr>
          <w:p>
            <w:pPr>
              <w:spacing w:line="360" w:lineRule="auto"/>
              <w:jc w:val="center"/>
              <w:rPr>
                <w:rFonts w:ascii="宋体" w:hAnsi="宋体" w:cs="宋体"/>
                <w:bCs/>
                <w:sz w:val="21"/>
                <w:szCs w:val="21"/>
                <w:highlight w:val="none"/>
                <w:lang w:bidi="ar"/>
              </w:rPr>
            </w:pPr>
            <w:r>
              <w:rPr>
                <w:rFonts w:hint="eastAsia" w:ascii="宋体" w:hAnsi="宋体" w:cs="宋体"/>
                <w:bCs/>
                <w:sz w:val="21"/>
                <w:szCs w:val="21"/>
                <w:highlight w:val="none"/>
                <w:lang w:bidi="ar"/>
              </w:rPr>
              <w:t>实施阶段</w:t>
            </w:r>
          </w:p>
        </w:tc>
        <w:tc>
          <w:tcPr>
            <w:tcW w:w="1307" w:type="dxa"/>
            <w:tcMar>
              <w:top w:w="15" w:type="dxa"/>
              <w:left w:w="15" w:type="dxa"/>
              <w:bottom w:w="0" w:type="dxa"/>
              <w:right w:w="15" w:type="dxa"/>
            </w:tcMar>
            <w:vAlign w:val="center"/>
          </w:tcPr>
          <w:p>
            <w:pPr>
              <w:spacing w:line="360" w:lineRule="auto"/>
              <w:ind w:right="-134" w:rightChars="-56" w:firstLine="210" w:firstLineChars="100"/>
              <w:rPr>
                <w:rFonts w:ascii="宋体" w:hAnsi="宋体" w:cs="宋体"/>
                <w:bCs/>
                <w:sz w:val="21"/>
                <w:szCs w:val="21"/>
                <w:highlight w:val="none"/>
                <w:lang w:bidi="ar"/>
              </w:rPr>
            </w:pPr>
            <w:r>
              <w:rPr>
                <w:rFonts w:hint="eastAsia" w:ascii="宋体" w:hAnsi="宋体" w:cs="宋体"/>
                <w:bCs/>
                <w:sz w:val="21"/>
                <w:szCs w:val="21"/>
                <w:highlight w:val="none"/>
                <w:lang w:bidi="ar"/>
              </w:rPr>
              <w:t>7工作日</w:t>
            </w:r>
          </w:p>
        </w:tc>
        <w:tc>
          <w:tcPr>
            <w:tcW w:w="5524" w:type="dxa"/>
            <w:tcMar>
              <w:top w:w="15" w:type="dxa"/>
              <w:left w:w="15" w:type="dxa"/>
              <w:bottom w:w="0" w:type="dxa"/>
              <w:right w:w="15" w:type="dxa"/>
            </w:tcMar>
            <w:vAlign w:val="center"/>
          </w:tcPr>
          <w:p>
            <w:pPr>
              <w:pStyle w:val="5"/>
              <w:spacing w:before="0" w:after="0" w:line="360" w:lineRule="auto"/>
              <w:ind w:left="0"/>
              <w:rPr>
                <w:rFonts w:ascii="宋体" w:hAnsi="宋体" w:cs="宋体"/>
                <w:bCs/>
                <w:sz w:val="21"/>
                <w:szCs w:val="21"/>
                <w:highlight w:val="none"/>
                <w:lang w:bidi="ar"/>
              </w:rPr>
            </w:pPr>
            <w:r>
              <w:rPr>
                <w:rFonts w:hint="eastAsia" w:ascii="宋体" w:hAnsi="宋体" w:cs="宋体"/>
                <w:bCs/>
                <w:sz w:val="21"/>
                <w:szCs w:val="21"/>
                <w:highlight w:val="none"/>
                <w:lang w:bidi="ar"/>
              </w:rPr>
              <w:t>◇首次入户，了解项目基本情况，沟通落实开展项目绩效评价工作的进度安排。收集项目首批资料，并反馈补充资料意见；</w:t>
            </w:r>
          </w:p>
          <w:p>
            <w:pPr>
              <w:pStyle w:val="5"/>
              <w:spacing w:before="0" w:after="0" w:line="360" w:lineRule="auto"/>
              <w:ind w:left="0"/>
              <w:rPr>
                <w:rFonts w:ascii="宋体" w:hAnsi="宋体" w:cs="宋体"/>
                <w:bCs/>
                <w:sz w:val="21"/>
                <w:szCs w:val="21"/>
                <w:highlight w:val="none"/>
                <w:lang w:bidi="ar"/>
              </w:rPr>
            </w:pPr>
            <w:r>
              <w:rPr>
                <w:rFonts w:hint="eastAsia" w:ascii="宋体" w:hAnsi="宋体" w:cs="宋体"/>
                <w:bCs/>
                <w:sz w:val="21"/>
                <w:szCs w:val="21"/>
                <w:highlight w:val="none"/>
                <w:lang w:bidi="ar"/>
              </w:rPr>
              <w:t xml:space="preserve">◇收集项目补充资料；进行分类整理、归集，填写相应的工作底稿； </w:t>
            </w:r>
          </w:p>
          <w:p>
            <w:pPr>
              <w:pStyle w:val="5"/>
              <w:spacing w:before="0" w:after="0" w:line="360" w:lineRule="auto"/>
              <w:ind w:left="0"/>
              <w:rPr>
                <w:rFonts w:ascii="宋体" w:hAnsi="宋体" w:cs="宋体"/>
                <w:bCs/>
                <w:sz w:val="21"/>
                <w:szCs w:val="21"/>
                <w:highlight w:val="none"/>
                <w:lang w:bidi="ar"/>
              </w:rPr>
            </w:pPr>
            <w:r>
              <w:rPr>
                <w:rFonts w:hint="eastAsia" w:ascii="宋体" w:hAnsi="宋体" w:cs="宋体"/>
                <w:bCs/>
                <w:sz w:val="21"/>
                <w:szCs w:val="21"/>
                <w:highlight w:val="none"/>
                <w:lang w:bidi="ar"/>
              </w:rPr>
              <w:t>◇定期向委托方汇报、沟通绩效评价中发现的问题；</w:t>
            </w:r>
          </w:p>
          <w:p>
            <w:pPr>
              <w:pStyle w:val="5"/>
              <w:spacing w:before="0" w:after="0" w:line="360" w:lineRule="auto"/>
              <w:ind w:left="0"/>
              <w:rPr>
                <w:rFonts w:ascii="宋体" w:hAnsi="宋体" w:cs="宋体"/>
                <w:bCs/>
                <w:sz w:val="21"/>
                <w:szCs w:val="21"/>
                <w:highlight w:val="none"/>
                <w:lang w:bidi="ar"/>
              </w:rPr>
            </w:pPr>
            <w:r>
              <w:rPr>
                <w:rFonts w:hint="eastAsia" w:ascii="宋体" w:hAnsi="宋体" w:cs="宋体"/>
                <w:bCs/>
                <w:sz w:val="21"/>
                <w:szCs w:val="21"/>
                <w:highlight w:val="none"/>
                <w:lang w:bidi="ar"/>
              </w:rPr>
              <w:t>◇按照绩效评价工作内容编制工作底稿，整理工作资料证据，撰写工作总结；</w:t>
            </w:r>
          </w:p>
          <w:p>
            <w:pPr>
              <w:pStyle w:val="5"/>
              <w:spacing w:before="0" w:after="0" w:line="360" w:lineRule="auto"/>
              <w:ind w:left="0"/>
              <w:rPr>
                <w:rFonts w:ascii="宋体" w:hAnsi="宋体" w:cs="宋体"/>
                <w:bCs/>
                <w:sz w:val="21"/>
                <w:szCs w:val="21"/>
                <w:highlight w:val="none"/>
                <w:lang w:bidi="ar"/>
              </w:rPr>
            </w:pPr>
            <w:r>
              <w:rPr>
                <w:rFonts w:hint="eastAsia" w:ascii="宋体" w:hAnsi="宋体" w:cs="宋体"/>
                <w:bCs/>
                <w:sz w:val="21"/>
                <w:szCs w:val="21"/>
                <w:highlight w:val="none"/>
                <w:lang w:bidi="ar"/>
              </w:rPr>
              <w:t>◇现场形成初步的复核工作总结，以备后续绩效评价报告的撰写奠定基础。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5" w:hRule="atLeast"/>
        </w:trPr>
        <w:tc>
          <w:tcPr>
            <w:tcW w:w="1495" w:type="dxa"/>
            <w:vAlign w:val="center"/>
          </w:tcPr>
          <w:p>
            <w:pPr>
              <w:spacing w:line="360" w:lineRule="auto"/>
              <w:jc w:val="center"/>
              <w:rPr>
                <w:rFonts w:ascii="宋体" w:hAnsi="宋体" w:cs="宋体"/>
                <w:bCs/>
                <w:sz w:val="21"/>
                <w:szCs w:val="21"/>
                <w:highlight w:val="none"/>
                <w:lang w:bidi="ar"/>
              </w:rPr>
            </w:pPr>
            <w:r>
              <w:rPr>
                <w:rFonts w:hint="eastAsia" w:ascii="宋体" w:hAnsi="宋体" w:cs="宋体"/>
                <w:bCs/>
                <w:sz w:val="21"/>
                <w:szCs w:val="21"/>
                <w:highlight w:val="none"/>
                <w:lang w:bidi="ar"/>
              </w:rPr>
              <w:t>报告阶段</w:t>
            </w:r>
          </w:p>
        </w:tc>
        <w:tc>
          <w:tcPr>
            <w:tcW w:w="1307" w:type="dxa"/>
            <w:tcMar>
              <w:top w:w="15" w:type="dxa"/>
              <w:left w:w="15" w:type="dxa"/>
              <w:bottom w:w="0" w:type="dxa"/>
              <w:right w:w="15" w:type="dxa"/>
            </w:tcMar>
            <w:vAlign w:val="center"/>
          </w:tcPr>
          <w:p>
            <w:pPr>
              <w:spacing w:line="360" w:lineRule="auto"/>
              <w:ind w:right="-134" w:rightChars="-56" w:firstLine="111" w:firstLineChars="53"/>
              <w:jc w:val="center"/>
              <w:rPr>
                <w:rFonts w:ascii="宋体" w:hAnsi="宋体" w:cs="宋体"/>
                <w:bCs/>
                <w:sz w:val="21"/>
                <w:szCs w:val="21"/>
                <w:highlight w:val="none"/>
                <w:lang w:bidi="ar"/>
              </w:rPr>
            </w:pPr>
            <w:r>
              <w:rPr>
                <w:rFonts w:hint="eastAsia" w:ascii="宋体" w:hAnsi="宋体" w:cs="宋体"/>
                <w:bCs/>
                <w:sz w:val="21"/>
                <w:szCs w:val="21"/>
                <w:highlight w:val="none"/>
                <w:lang w:bidi="ar"/>
              </w:rPr>
              <w:t>2工作日</w:t>
            </w:r>
          </w:p>
        </w:tc>
        <w:tc>
          <w:tcPr>
            <w:tcW w:w="5524" w:type="dxa"/>
            <w:tcMar>
              <w:top w:w="15" w:type="dxa"/>
              <w:left w:w="15" w:type="dxa"/>
              <w:bottom w:w="0" w:type="dxa"/>
              <w:right w:w="15" w:type="dxa"/>
            </w:tcMar>
            <w:vAlign w:val="center"/>
          </w:tcPr>
          <w:p>
            <w:pPr>
              <w:pStyle w:val="5"/>
              <w:spacing w:before="0" w:after="0" w:line="360" w:lineRule="auto"/>
              <w:ind w:left="0"/>
              <w:rPr>
                <w:rFonts w:ascii="宋体" w:hAnsi="宋体" w:cs="宋体"/>
                <w:bCs/>
                <w:sz w:val="21"/>
                <w:szCs w:val="21"/>
                <w:highlight w:val="none"/>
                <w:lang w:bidi="ar"/>
              </w:rPr>
            </w:pPr>
            <w:r>
              <w:rPr>
                <w:rFonts w:hint="eastAsia" w:ascii="宋体" w:hAnsi="宋体" w:cs="宋体"/>
                <w:bCs/>
                <w:sz w:val="21"/>
                <w:szCs w:val="21"/>
                <w:highlight w:val="none"/>
                <w:lang w:bidi="ar"/>
              </w:rPr>
              <w:t>◇编制绩效评价报告初稿并先征求区财政局的意见；</w:t>
            </w:r>
          </w:p>
          <w:p>
            <w:pPr>
              <w:pStyle w:val="5"/>
              <w:spacing w:before="0" w:after="0" w:line="360" w:lineRule="auto"/>
              <w:ind w:left="0"/>
              <w:rPr>
                <w:rFonts w:ascii="宋体" w:hAnsi="宋体" w:cs="宋体"/>
                <w:bCs/>
                <w:sz w:val="21"/>
                <w:szCs w:val="21"/>
                <w:highlight w:val="none"/>
                <w:lang w:bidi="ar"/>
              </w:rPr>
            </w:pPr>
            <w:r>
              <w:rPr>
                <w:rFonts w:hint="eastAsia" w:ascii="宋体" w:hAnsi="宋体" w:cs="宋体"/>
                <w:bCs/>
                <w:sz w:val="21"/>
                <w:szCs w:val="21"/>
                <w:highlight w:val="none"/>
                <w:lang w:bidi="ar"/>
              </w:rPr>
              <w:t>◇根据沟通结果或补充提供的相关证据资料，修改绩效评价报告初稿；</w:t>
            </w:r>
          </w:p>
          <w:p>
            <w:pPr>
              <w:pStyle w:val="5"/>
              <w:spacing w:before="0" w:after="0" w:line="360" w:lineRule="auto"/>
              <w:ind w:left="0"/>
              <w:rPr>
                <w:rFonts w:ascii="宋体" w:hAnsi="宋体" w:cs="宋体"/>
                <w:bCs/>
                <w:sz w:val="21"/>
                <w:szCs w:val="21"/>
                <w:highlight w:val="none"/>
                <w:lang w:bidi="ar"/>
              </w:rPr>
            </w:pPr>
            <w:r>
              <w:rPr>
                <w:rFonts w:hint="eastAsia" w:ascii="宋体" w:hAnsi="宋体" w:cs="宋体"/>
                <w:bCs/>
                <w:sz w:val="21"/>
                <w:szCs w:val="21"/>
                <w:highlight w:val="none"/>
                <w:lang w:bidi="ar"/>
              </w:rPr>
              <w:t>◇履行事务所内部三级复核制度，正式出具并提交绩效评价报告。</w:t>
            </w:r>
          </w:p>
        </w:tc>
      </w:tr>
    </w:tbl>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1、准备阶段</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针对本次项目要求的工作时间紧、工作任务重等特点，提前完成事务所内部的审计团队短期培训、人员分工、资料收集，以及总体策略、具体计划等工作。</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2、实施阶段</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本阶段包括完成项目的资料准备指导、资料收集、现场沟通等工作。项目组人员在充分了解项目情况基础上开展绩效评价，并形成绩效评价报告。定期向委托人汇报、沟通绩效评价过程中发现问题，解决绩效评价过程中存在的问题。</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3、报告阶段</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将评价过程中发现的问题进行汇总、整理、分析，并此基础上编制绩效评价报告初稿，及时向区财政局进行沟通、汇报。</w:t>
      </w:r>
    </w:p>
    <w:p>
      <w:pPr>
        <w:spacing w:line="500" w:lineRule="exact"/>
        <w:ind w:firstLine="480" w:firstLineChars="200"/>
        <w:outlineLvl w:val="1"/>
        <w:rPr>
          <w:rFonts w:ascii="宋体" w:hAnsi="宋体" w:cs="宋体"/>
          <w:bCs/>
          <w:highlight w:val="none"/>
          <w:lang w:bidi="ar"/>
        </w:rPr>
      </w:pPr>
      <w:bookmarkStart w:id="13" w:name="_Toc13261"/>
      <w:r>
        <w:rPr>
          <w:rFonts w:hint="eastAsia" w:ascii="宋体" w:hAnsi="宋体" w:cs="宋体"/>
          <w:highlight w:val="none"/>
          <w:lang w:bidi="ar"/>
        </w:rPr>
        <w:t>（三）</w:t>
      </w:r>
      <w:r>
        <w:rPr>
          <w:rFonts w:hint="eastAsia" w:ascii="宋体" w:hAnsi="宋体" w:cs="宋体"/>
          <w:bCs/>
          <w:highlight w:val="none"/>
          <w:lang w:bidi="ar"/>
        </w:rPr>
        <w:t>绩效评价的基本原则</w:t>
      </w:r>
      <w:bookmarkEnd w:id="13"/>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1.科学规范原则</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绩效评价按照规范的程序、科学可行的要求，采用定量与定性分析相结合的方法实施。</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2.公正公开原则</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绩效评价符合真实、客观、公平、公正的要求，依法公开并接受监督。</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3.分级分类原则</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绩效评价财政部门和各预算单位主管部门根据评价对象的特点分类组织实施。</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4.绩效相关原则</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绩效评价针对具体支出及其产出效果进行，评价结果要清晰反映两者之间紧密对应关系。</w:t>
      </w:r>
    </w:p>
    <w:p>
      <w:pPr>
        <w:spacing w:line="500" w:lineRule="exact"/>
        <w:ind w:firstLine="480" w:firstLineChars="200"/>
        <w:outlineLvl w:val="1"/>
        <w:rPr>
          <w:rFonts w:ascii="宋体" w:hAnsi="宋体" w:cs="宋体"/>
          <w:bCs/>
          <w:highlight w:val="none"/>
          <w:lang w:bidi="ar"/>
        </w:rPr>
      </w:pPr>
      <w:bookmarkStart w:id="14" w:name="_Toc16347"/>
      <w:r>
        <w:rPr>
          <w:rFonts w:hint="eastAsia" w:ascii="宋体" w:hAnsi="宋体" w:cs="宋体"/>
          <w:bCs/>
          <w:highlight w:val="none"/>
          <w:lang w:bidi="ar"/>
        </w:rPr>
        <w:t>（四）绩效评价的主要依据</w:t>
      </w:r>
      <w:bookmarkEnd w:id="14"/>
    </w:p>
    <w:p>
      <w:pPr>
        <w:pStyle w:val="12"/>
        <w:spacing w:line="500" w:lineRule="exact"/>
        <w:ind w:firstLine="480" w:firstLineChars="200"/>
        <w:rPr>
          <w:rFonts w:ascii="宋体" w:hAnsi="宋体" w:eastAsia="宋体" w:cs="宋体"/>
          <w:color w:val="auto"/>
          <w:highlight w:val="none"/>
        </w:rPr>
      </w:pPr>
      <w:r>
        <w:rPr>
          <w:rFonts w:hint="eastAsia" w:ascii="宋体" w:hAnsi="宋体" w:eastAsia="宋体" w:cs="宋体"/>
          <w:color w:val="auto"/>
          <w:highlight w:val="none"/>
        </w:rPr>
        <w:t>1、《中共中央国务院关于全面实施预算绩效管理的意见》（中发〔2018〕34号）；</w:t>
      </w:r>
    </w:p>
    <w:p>
      <w:pPr>
        <w:pStyle w:val="12"/>
        <w:spacing w:line="500" w:lineRule="exact"/>
        <w:ind w:firstLine="480" w:firstLineChars="200"/>
        <w:rPr>
          <w:rFonts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highlight w:val="none"/>
        </w:rPr>
        <w:t>财政部《预算绩效评价共性指标体系框架》（财预〔2013〕53号）；</w:t>
      </w:r>
    </w:p>
    <w:p>
      <w:pPr>
        <w:pStyle w:val="12"/>
        <w:spacing w:line="500" w:lineRule="exact"/>
        <w:ind w:firstLine="480" w:firstLineChars="200"/>
        <w:rPr>
          <w:rFonts w:ascii="宋体" w:hAnsi="宋体" w:eastAsia="宋体" w:cs="宋体"/>
          <w:color w:val="auto"/>
          <w:highlight w:val="none"/>
        </w:rPr>
      </w:pPr>
      <w:r>
        <w:rPr>
          <w:rFonts w:hint="eastAsia" w:ascii="宋体" w:hAnsi="宋体" w:eastAsia="宋体" w:cs="宋体"/>
          <w:color w:val="auto"/>
          <w:highlight w:val="none"/>
        </w:rPr>
        <w:t xml:space="preserve">3、财政部《项目支出绩效评价管理办法》（财预〔2020〕10号）； </w:t>
      </w:r>
    </w:p>
    <w:p>
      <w:pPr>
        <w:pStyle w:val="12"/>
        <w:spacing w:line="500" w:lineRule="exact"/>
        <w:ind w:firstLine="480" w:firstLineChars="200"/>
        <w:rPr>
          <w:rFonts w:ascii="宋体" w:hAnsi="宋体" w:eastAsia="宋体" w:cs="宋体"/>
          <w:color w:val="auto"/>
          <w:highlight w:val="none"/>
        </w:rPr>
      </w:pPr>
      <w:r>
        <w:rPr>
          <w:rFonts w:hint="eastAsia" w:ascii="宋体" w:hAnsi="宋体" w:eastAsia="宋体" w:cs="宋体"/>
          <w:color w:val="auto"/>
          <w:highlight w:val="none"/>
        </w:rPr>
        <w:t>4、</w:t>
      </w:r>
      <w:r>
        <w:rPr>
          <w:rFonts w:hint="eastAsia" w:ascii="宋体" w:hAnsi="宋体" w:eastAsia="宋体" w:cs="宋体"/>
          <w:highlight w:val="none"/>
        </w:rPr>
        <w:t>《中共天津市委 天津市人民政府&lt;关于全面推进预算绩效管理的实施方案&gt;的通知》（津党发〔2019〕25号）</w:t>
      </w:r>
      <w:r>
        <w:rPr>
          <w:rFonts w:hint="eastAsia" w:ascii="宋体" w:hAnsi="宋体" w:eastAsia="宋体" w:cs="宋体"/>
          <w:bCs/>
          <w:highlight w:val="none"/>
        </w:rPr>
        <w:t>；</w:t>
      </w:r>
    </w:p>
    <w:p>
      <w:pPr>
        <w:spacing w:line="500" w:lineRule="exact"/>
        <w:ind w:firstLine="480" w:firstLineChars="200"/>
        <w:rPr>
          <w:rFonts w:ascii="宋体" w:hAnsi="宋体" w:cs="宋体"/>
          <w:highlight w:val="none"/>
        </w:rPr>
      </w:pPr>
      <w:r>
        <w:rPr>
          <w:rFonts w:hint="eastAsia" w:ascii="宋体" w:hAnsi="宋体" w:cs="宋体"/>
          <w:highlight w:val="none"/>
        </w:rPr>
        <w:t>5、</w:t>
      </w:r>
      <w:r>
        <w:rPr>
          <w:rFonts w:hint="eastAsia" w:ascii="宋体" w:hAnsi="宋体" w:cs="宋体"/>
          <w:bCs/>
          <w:highlight w:val="none"/>
        </w:rPr>
        <w:t>市政府办公厅《关于推进我市预算绩效管理工作的指导意见》（津政办发</w:t>
      </w:r>
      <w:r>
        <w:rPr>
          <w:rFonts w:hint="eastAsia" w:ascii="宋体" w:hAnsi="宋体" w:cs="宋体"/>
          <w:highlight w:val="none"/>
        </w:rPr>
        <w:t>〔2011〕</w:t>
      </w:r>
      <w:r>
        <w:rPr>
          <w:rFonts w:hint="eastAsia" w:ascii="宋体" w:hAnsi="宋体" w:cs="宋体"/>
          <w:bCs/>
          <w:highlight w:val="none"/>
        </w:rPr>
        <w:t>109号）；</w:t>
      </w:r>
    </w:p>
    <w:p>
      <w:pPr>
        <w:spacing w:line="500" w:lineRule="exact"/>
        <w:ind w:firstLine="480" w:firstLineChars="200"/>
        <w:rPr>
          <w:rFonts w:ascii="宋体" w:hAnsi="宋体" w:cs="宋体"/>
          <w:highlight w:val="none"/>
        </w:rPr>
      </w:pPr>
      <w:r>
        <w:rPr>
          <w:rFonts w:hint="eastAsia" w:ascii="宋体" w:hAnsi="宋体" w:cs="宋体"/>
          <w:highlight w:val="none"/>
        </w:rPr>
        <w:t>6、《天津市市级部门（单位）整体支出绩效目标管理办法（试行）》（津财预〔2015〕102号）</w:t>
      </w:r>
      <w:r>
        <w:rPr>
          <w:rFonts w:hint="eastAsia" w:ascii="宋体" w:hAnsi="宋体" w:cs="宋体"/>
          <w:bCs/>
          <w:highlight w:val="none"/>
        </w:rPr>
        <w:t>；</w:t>
      </w:r>
    </w:p>
    <w:p>
      <w:pPr>
        <w:spacing w:line="500" w:lineRule="exact"/>
        <w:ind w:firstLine="480" w:firstLineChars="200"/>
        <w:rPr>
          <w:rFonts w:ascii="宋体" w:hAnsi="宋体" w:cs="宋体"/>
          <w:highlight w:val="none"/>
        </w:rPr>
      </w:pPr>
      <w:r>
        <w:rPr>
          <w:rFonts w:hint="eastAsia" w:ascii="宋体" w:hAnsi="宋体" w:cs="宋体"/>
          <w:highlight w:val="none"/>
        </w:rPr>
        <w:t>7、</w:t>
      </w:r>
      <w:r>
        <w:rPr>
          <w:rFonts w:hint="eastAsia" w:ascii="宋体" w:hAnsi="宋体" w:cs="宋体"/>
          <w:bCs/>
          <w:highlight w:val="none"/>
        </w:rPr>
        <w:t>《天津市财政项目支出绩效评价共性指标体系》（津财预〔2016〕73号）；</w:t>
      </w:r>
      <w:r>
        <w:rPr>
          <w:rFonts w:hint="eastAsia" w:ascii="宋体" w:hAnsi="宋体" w:cs="宋体"/>
          <w:highlight w:val="none"/>
        </w:rPr>
        <w:t xml:space="preserve"> </w:t>
      </w:r>
    </w:p>
    <w:p>
      <w:pPr>
        <w:spacing w:line="500" w:lineRule="exact"/>
        <w:ind w:firstLine="480" w:firstLineChars="200"/>
        <w:rPr>
          <w:rFonts w:ascii="宋体" w:hAnsi="宋体" w:cs="宋体"/>
          <w:bCs/>
          <w:highlight w:val="none"/>
        </w:rPr>
      </w:pPr>
      <w:r>
        <w:rPr>
          <w:rFonts w:hint="eastAsia" w:ascii="宋体" w:hAnsi="宋体" w:cs="宋体"/>
          <w:bCs/>
          <w:highlight w:val="none"/>
        </w:rPr>
        <w:t>8、</w:t>
      </w:r>
      <w:r>
        <w:rPr>
          <w:rFonts w:hint="eastAsia" w:ascii="宋体" w:hAnsi="宋体" w:cs="宋体"/>
          <w:highlight w:val="none"/>
        </w:rPr>
        <w:t>《天津市市级财政项目支出绩效评价管理办法》（津财绩效〔2020〕12号）；</w:t>
      </w:r>
      <w:r>
        <w:rPr>
          <w:rFonts w:hint="eastAsia" w:ascii="宋体" w:hAnsi="宋体" w:cs="宋体"/>
          <w:bCs/>
          <w:highlight w:val="none"/>
        </w:rPr>
        <w:t xml:space="preserve"> </w:t>
      </w:r>
    </w:p>
    <w:p>
      <w:pPr>
        <w:spacing w:line="500" w:lineRule="exact"/>
        <w:ind w:firstLine="480" w:firstLineChars="200"/>
        <w:rPr>
          <w:rFonts w:ascii="宋体" w:hAnsi="宋体" w:cs="宋体"/>
          <w:bCs/>
          <w:highlight w:val="none"/>
        </w:rPr>
      </w:pPr>
      <w:r>
        <w:rPr>
          <w:rFonts w:hint="eastAsia" w:ascii="宋体" w:hAnsi="宋体" w:cs="宋体"/>
          <w:bCs/>
          <w:highlight w:val="none"/>
        </w:rPr>
        <w:t>9、</w:t>
      </w:r>
      <w:r>
        <w:rPr>
          <w:rFonts w:hint="eastAsia" w:ascii="宋体" w:hAnsi="宋体" w:cs="宋体"/>
          <w:highlight w:val="none"/>
        </w:rPr>
        <w:t>《天津市市级部门预算绩效管理办法》（津财绩效〔2020〕14号）；</w:t>
      </w:r>
    </w:p>
    <w:p>
      <w:pPr>
        <w:spacing w:line="500" w:lineRule="exact"/>
        <w:ind w:firstLine="480" w:firstLineChars="200"/>
        <w:rPr>
          <w:rFonts w:ascii="宋体" w:hAnsi="宋体" w:cs="宋体"/>
          <w:highlight w:val="none"/>
        </w:rPr>
      </w:pPr>
      <w:r>
        <w:rPr>
          <w:rFonts w:hint="eastAsia" w:ascii="宋体" w:hAnsi="宋体" w:cs="宋体"/>
          <w:bCs/>
          <w:highlight w:val="none"/>
        </w:rPr>
        <w:t>10、《天津市市</w:t>
      </w:r>
      <w:r>
        <w:rPr>
          <w:rFonts w:hint="eastAsia" w:ascii="宋体" w:hAnsi="宋体" w:cs="宋体"/>
          <w:highlight w:val="none"/>
        </w:rPr>
        <w:t>级部门预算绩效目标管理办法》（津财绩效〔2020〕16号）。</w:t>
      </w:r>
    </w:p>
    <w:p>
      <w:pPr>
        <w:spacing w:line="500" w:lineRule="exact"/>
        <w:ind w:firstLine="482" w:firstLineChars="200"/>
        <w:outlineLvl w:val="0"/>
        <w:rPr>
          <w:rFonts w:ascii="宋体" w:hAnsi="宋体" w:cs="宋体"/>
          <w:b/>
          <w:bCs/>
          <w:highlight w:val="none"/>
        </w:rPr>
      </w:pPr>
      <w:bookmarkStart w:id="15" w:name="_Toc31898"/>
      <w:r>
        <w:rPr>
          <w:rFonts w:hint="eastAsia" w:ascii="宋体" w:hAnsi="宋体" w:cs="宋体"/>
          <w:b/>
          <w:bCs/>
          <w:highlight w:val="none"/>
        </w:rPr>
        <w:t>三、绩效评价指标体系、评价标准和评价方法</w:t>
      </w:r>
      <w:bookmarkEnd w:id="15"/>
    </w:p>
    <w:p>
      <w:pPr>
        <w:spacing w:line="500" w:lineRule="exact"/>
        <w:ind w:firstLine="480" w:firstLineChars="200"/>
        <w:outlineLvl w:val="1"/>
        <w:rPr>
          <w:rFonts w:ascii="宋体" w:hAnsi="宋体" w:cs="宋体"/>
          <w:highlight w:val="none"/>
        </w:rPr>
      </w:pPr>
      <w:bookmarkStart w:id="16" w:name="_Toc4627"/>
      <w:r>
        <w:rPr>
          <w:rFonts w:hint="eastAsia" w:ascii="宋体" w:hAnsi="宋体" w:cs="宋体"/>
          <w:highlight w:val="none"/>
        </w:rPr>
        <w:t>（一）指标构建原则及思路</w:t>
      </w:r>
      <w:bookmarkEnd w:id="16"/>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绩效指标评价体系设计遵循经济性、相关性、重要性、可比性、定量为主原则，结合“东丽区安防网2019年度系统软件技术及系统网络设备维护服务”项目实施的产出及效果情况，制定绩效指标体系，具体如下：</w:t>
      </w:r>
    </w:p>
    <w:p>
      <w:pPr>
        <w:pStyle w:val="2"/>
        <w:jc w:val="center"/>
        <w:rPr>
          <w:szCs w:val="24"/>
          <w:highlight w:val="none"/>
        </w:rPr>
      </w:pPr>
      <w:r>
        <w:rPr>
          <w:rFonts w:hint="eastAsia" w:cs="宋体"/>
          <w:bCs/>
          <w:szCs w:val="24"/>
          <w:highlight w:val="none"/>
          <w:lang w:bidi="ar"/>
        </w:rPr>
        <w:t>表3：绩效指标评价得分体系</w:t>
      </w:r>
    </w:p>
    <w:tbl>
      <w:tblPr>
        <w:tblStyle w:val="8"/>
        <w:tblW w:w="0" w:type="auto"/>
        <w:tblInd w:w="93" w:type="dxa"/>
        <w:tblLayout w:type="fixed"/>
        <w:tblCellMar>
          <w:top w:w="0" w:type="dxa"/>
          <w:left w:w="108" w:type="dxa"/>
          <w:bottom w:w="0" w:type="dxa"/>
          <w:right w:w="108" w:type="dxa"/>
        </w:tblCellMar>
      </w:tblPr>
      <w:tblGrid>
        <w:gridCol w:w="967"/>
        <w:gridCol w:w="945"/>
        <w:gridCol w:w="1140"/>
        <w:gridCol w:w="4631"/>
        <w:gridCol w:w="746"/>
      </w:tblGrid>
      <w:tr>
        <w:tblPrEx>
          <w:tblCellMar>
            <w:top w:w="0" w:type="dxa"/>
            <w:left w:w="108" w:type="dxa"/>
            <w:bottom w:w="0" w:type="dxa"/>
            <w:right w:w="108" w:type="dxa"/>
          </w:tblCellMar>
        </w:tblPrEx>
        <w:trPr>
          <w:trHeight w:val="720" w:hRule="atLeast"/>
          <w:tblHeader/>
        </w:trPr>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1"/>
                <w:szCs w:val="21"/>
                <w:highlight w:val="none"/>
              </w:rPr>
            </w:pPr>
            <w:r>
              <w:rPr>
                <w:rFonts w:hint="eastAsia" w:ascii="宋体" w:hAnsi="宋体" w:cs="宋体"/>
                <w:b/>
                <w:bCs/>
                <w:color w:val="000000"/>
                <w:kern w:val="0"/>
                <w:sz w:val="21"/>
                <w:szCs w:val="21"/>
                <w:highlight w:val="none"/>
                <w:lang w:bidi="ar"/>
              </w:rPr>
              <w:t>一级评分项</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1"/>
                <w:szCs w:val="21"/>
                <w:highlight w:val="none"/>
              </w:rPr>
            </w:pPr>
            <w:r>
              <w:rPr>
                <w:rFonts w:hint="eastAsia" w:ascii="宋体" w:hAnsi="宋体" w:cs="宋体"/>
                <w:b/>
                <w:bCs/>
                <w:color w:val="000000"/>
                <w:kern w:val="0"/>
                <w:sz w:val="21"/>
                <w:szCs w:val="21"/>
                <w:highlight w:val="none"/>
                <w:lang w:bidi="ar"/>
              </w:rPr>
              <w:t>二级评分项</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1"/>
                <w:szCs w:val="21"/>
                <w:highlight w:val="none"/>
              </w:rPr>
            </w:pPr>
            <w:r>
              <w:rPr>
                <w:rFonts w:hint="eastAsia" w:ascii="宋体" w:hAnsi="宋体" w:cs="宋体"/>
                <w:b/>
                <w:bCs/>
                <w:color w:val="000000"/>
                <w:kern w:val="0"/>
                <w:sz w:val="21"/>
                <w:szCs w:val="21"/>
                <w:highlight w:val="none"/>
                <w:lang w:bidi="ar"/>
              </w:rPr>
              <w:t>三级评分项</w:t>
            </w:r>
          </w:p>
        </w:tc>
        <w:tc>
          <w:tcPr>
            <w:tcW w:w="46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1"/>
                <w:szCs w:val="21"/>
                <w:highlight w:val="none"/>
              </w:rPr>
            </w:pPr>
            <w:r>
              <w:rPr>
                <w:rFonts w:hint="eastAsia" w:ascii="宋体" w:hAnsi="宋体" w:cs="宋体"/>
                <w:b/>
                <w:bCs/>
                <w:color w:val="000000"/>
                <w:kern w:val="0"/>
                <w:sz w:val="21"/>
                <w:szCs w:val="21"/>
                <w:highlight w:val="none"/>
                <w:lang w:bidi="ar"/>
              </w:rPr>
              <w:t>评价要点</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1"/>
                <w:szCs w:val="21"/>
                <w:highlight w:val="none"/>
              </w:rPr>
            </w:pPr>
            <w:r>
              <w:rPr>
                <w:rFonts w:hint="eastAsia" w:ascii="宋体" w:hAnsi="宋体" w:cs="宋体"/>
                <w:b/>
                <w:bCs/>
                <w:color w:val="000000"/>
                <w:kern w:val="0"/>
                <w:sz w:val="21"/>
                <w:szCs w:val="21"/>
                <w:highlight w:val="none"/>
                <w:lang w:bidi="ar"/>
              </w:rPr>
              <w:t>分值</w:t>
            </w:r>
          </w:p>
        </w:tc>
      </w:tr>
      <w:tr>
        <w:tblPrEx>
          <w:tblCellMar>
            <w:top w:w="0" w:type="dxa"/>
            <w:left w:w="108" w:type="dxa"/>
            <w:bottom w:w="0" w:type="dxa"/>
            <w:right w:w="108" w:type="dxa"/>
          </w:tblCellMar>
        </w:tblPrEx>
        <w:trPr>
          <w:trHeight w:val="943" w:hRule="atLeast"/>
        </w:trPr>
        <w:tc>
          <w:tcPr>
            <w:tcW w:w="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决策（20分）</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项目立项</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立项依据</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充分性</w:t>
            </w:r>
          </w:p>
        </w:tc>
        <w:tc>
          <w:tcPr>
            <w:tcW w:w="4631" w:type="dxa"/>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①项目立项是否符合国家法律法规、国民经济发展规划和相关政策；</w:t>
            </w:r>
          </w:p>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②项目立项是否符合行业发展规划和政策要求；</w:t>
            </w:r>
          </w:p>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③项目立项是否与部门职责范围相符，属于部门履职所需；</w:t>
            </w:r>
          </w:p>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④项目是否属于公共财政支持范围，是否符合中央、地方事权支出责任划分原则；</w:t>
            </w:r>
          </w:p>
          <w:p>
            <w:pPr>
              <w:widowControl/>
              <w:jc w:val="left"/>
              <w:textAlignment w:val="center"/>
              <w:rPr>
                <w:rFonts w:ascii="宋体" w:hAnsi="宋体" w:cs="宋体"/>
                <w:color w:val="000000"/>
                <w:sz w:val="21"/>
                <w:szCs w:val="21"/>
                <w:highlight w:val="none"/>
              </w:rPr>
            </w:pPr>
            <w:r>
              <w:rPr>
                <w:rFonts w:hint="eastAsia" w:ascii="宋体" w:hAnsi="宋体" w:cs="宋体"/>
                <w:sz w:val="21"/>
                <w:szCs w:val="21"/>
                <w:highlight w:val="none"/>
              </w:rPr>
              <w:t>⑤项目是否与相关部门同类项目或部门内部相关项目重复。</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4</w:t>
            </w:r>
          </w:p>
        </w:tc>
      </w:tr>
      <w:tr>
        <w:tblPrEx>
          <w:tblCellMar>
            <w:top w:w="0" w:type="dxa"/>
            <w:left w:w="108" w:type="dxa"/>
            <w:bottom w:w="0" w:type="dxa"/>
            <w:right w:w="108" w:type="dxa"/>
          </w:tblCellMar>
        </w:tblPrEx>
        <w:trPr>
          <w:trHeight w:val="782" w:hRule="atLeast"/>
        </w:trPr>
        <w:tc>
          <w:tcPr>
            <w:tcW w:w="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highlight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立项程序</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规范性</w:t>
            </w:r>
          </w:p>
        </w:tc>
        <w:tc>
          <w:tcPr>
            <w:tcW w:w="4631" w:type="dxa"/>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①项目是否按照规定的程序申请设立；</w:t>
            </w:r>
          </w:p>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②审批文件、材料是否符合相关要求；</w:t>
            </w:r>
          </w:p>
          <w:p>
            <w:pPr>
              <w:widowControl/>
              <w:jc w:val="left"/>
              <w:textAlignment w:val="center"/>
              <w:rPr>
                <w:rFonts w:ascii="宋体" w:hAnsi="宋体" w:cs="宋体"/>
                <w:color w:val="000000"/>
                <w:sz w:val="21"/>
                <w:szCs w:val="21"/>
                <w:highlight w:val="none"/>
              </w:rPr>
            </w:pPr>
            <w:r>
              <w:rPr>
                <w:rFonts w:hint="eastAsia" w:ascii="宋体" w:hAnsi="宋体" w:cs="宋体"/>
                <w:sz w:val="21"/>
                <w:szCs w:val="21"/>
                <w:highlight w:val="none"/>
              </w:rPr>
              <w:t>③事前是否已经过必要的可行性研究、专家论证、风险评估、绩效评估、集体决策。</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4</w:t>
            </w:r>
          </w:p>
        </w:tc>
      </w:tr>
      <w:tr>
        <w:tblPrEx>
          <w:tblCellMar>
            <w:top w:w="0" w:type="dxa"/>
            <w:left w:w="108" w:type="dxa"/>
            <w:bottom w:w="0" w:type="dxa"/>
            <w:right w:w="108" w:type="dxa"/>
          </w:tblCellMar>
        </w:tblPrEx>
        <w:trPr>
          <w:trHeight w:val="1007" w:hRule="atLeast"/>
        </w:trPr>
        <w:tc>
          <w:tcPr>
            <w:tcW w:w="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highlight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绩效目标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绩效目标</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合理性</w:t>
            </w:r>
          </w:p>
        </w:tc>
        <w:tc>
          <w:tcPr>
            <w:tcW w:w="4631" w:type="dxa"/>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①项目是否有绩效目标；</w:t>
            </w:r>
          </w:p>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②项目绩效目标与实际工作内容是否具有相关性；</w:t>
            </w:r>
          </w:p>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③项目预期产出效益和效果是否符合正常的业绩水平；</w:t>
            </w:r>
          </w:p>
          <w:p>
            <w:pPr>
              <w:widowControl/>
              <w:jc w:val="left"/>
              <w:textAlignment w:val="center"/>
              <w:rPr>
                <w:rFonts w:ascii="宋体" w:hAnsi="宋体" w:cs="宋体"/>
                <w:color w:val="000000"/>
                <w:sz w:val="21"/>
                <w:szCs w:val="21"/>
                <w:highlight w:val="none"/>
              </w:rPr>
            </w:pPr>
            <w:r>
              <w:rPr>
                <w:rFonts w:hint="eastAsia" w:ascii="宋体" w:hAnsi="宋体" w:cs="宋体"/>
                <w:sz w:val="21"/>
                <w:szCs w:val="21"/>
                <w:highlight w:val="none"/>
              </w:rPr>
              <w:t>④是否与预算确定的项目投资额或资金量相匹配。</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3</w:t>
            </w:r>
          </w:p>
        </w:tc>
      </w:tr>
      <w:tr>
        <w:tblPrEx>
          <w:tblCellMar>
            <w:top w:w="0" w:type="dxa"/>
            <w:left w:w="108" w:type="dxa"/>
            <w:bottom w:w="0" w:type="dxa"/>
            <w:right w:w="108" w:type="dxa"/>
          </w:tblCellMar>
        </w:tblPrEx>
        <w:trPr>
          <w:trHeight w:val="1141" w:hRule="atLeast"/>
        </w:trPr>
        <w:tc>
          <w:tcPr>
            <w:tcW w:w="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highlight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绩效目标</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明确性</w:t>
            </w:r>
          </w:p>
        </w:tc>
        <w:tc>
          <w:tcPr>
            <w:tcW w:w="4631" w:type="dxa"/>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①是否将项目绩效目标细化分解为具体的绩效指标；</w:t>
            </w:r>
          </w:p>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②是否通过清晰、可衡量的指标值予以体现；</w:t>
            </w:r>
          </w:p>
          <w:p>
            <w:pPr>
              <w:widowControl/>
              <w:jc w:val="left"/>
              <w:textAlignment w:val="center"/>
              <w:rPr>
                <w:rFonts w:ascii="宋体" w:hAnsi="宋体" w:cs="宋体"/>
                <w:color w:val="000000"/>
                <w:sz w:val="21"/>
                <w:szCs w:val="21"/>
                <w:highlight w:val="none"/>
              </w:rPr>
            </w:pPr>
            <w:r>
              <w:rPr>
                <w:rFonts w:hint="eastAsia" w:ascii="宋体" w:hAnsi="宋体" w:cs="宋体"/>
                <w:sz w:val="21"/>
                <w:szCs w:val="21"/>
                <w:highlight w:val="none"/>
              </w:rPr>
              <w:t>③是否与项目目标任务数或计划数相对应。</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3</w:t>
            </w:r>
          </w:p>
        </w:tc>
      </w:tr>
      <w:tr>
        <w:tblPrEx>
          <w:tblCellMar>
            <w:top w:w="0" w:type="dxa"/>
            <w:left w:w="108" w:type="dxa"/>
            <w:bottom w:w="0" w:type="dxa"/>
            <w:right w:w="108" w:type="dxa"/>
          </w:tblCellMar>
        </w:tblPrEx>
        <w:trPr>
          <w:trHeight w:val="972" w:hRule="atLeast"/>
        </w:trPr>
        <w:tc>
          <w:tcPr>
            <w:tcW w:w="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highlight w:val="none"/>
              </w:rPr>
            </w:pP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资金投入</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预算编制</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科学性</w:t>
            </w:r>
          </w:p>
        </w:tc>
        <w:tc>
          <w:tcPr>
            <w:tcW w:w="4631" w:type="dxa"/>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①预算编制是否经过科学论证；</w:t>
            </w:r>
          </w:p>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②预算内容与项目内容是否匹配；</w:t>
            </w:r>
          </w:p>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③预算额度测算依据是否充分，是否按照标准编制；</w:t>
            </w:r>
          </w:p>
          <w:p>
            <w:pPr>
              <w:widowControl/>
              <w:jc w:val="left"/>
              <w:textAlignment w:val="center"/>
              <w:rPr>
                <w:rFonts w:ascii="宋体" w:hAnsi="宋体" w:cs="宋体"/>
                <w:color w:val="000000"/>
                <w:sz w:val="21"/>
                <w:szCs w:val="21"/>
                <w:highlight w:val="none"/>
              </w:rPr>
            </w:pPr>
            <w:r>
              <w:rPr>
                <w:rFonts w:hint="eastAsia" w:ascii="宋体" w:hAnsi="宋体" w:cs="宋体"/>
                <w:sz w:val="21"/>
                <w:szCs w:val="21"/>
                <w:highlight w:val="none"/>
              </w:rPr>
              <w:t>④预算确定的项目投资额或资金量是否与工作任务相匹配。</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3</w:t>
            </w:r>
          </w:p>
        </w:tc>
      </w:tr>
      <w:tr>
        <w:tblPrEx>
          <w:tblCellMar>
            <w:top w:w="0" w:type="dxa"/>
            <w:left w:w="108" w:type="dxa"/>
            <w:bottom w:w="0" w:type="dxa"/>
            <w:right w:w="108" w:type="dxa"/>
          </w:tblCellMar>
        </w:tblPrEx>
        <w:trPr>
          <w:trHeight w:val="942" w:hRule="atLeast"/>
        </w:trPr>
        <w:tc>
          <w:tcPr>
            <w:tcW w:w="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highlight w:val="none"/>
              </w:rPr>
            </w:pPr>
          </w:p>
        </w:tc>
        <w:tc>
          <w:tcPr>
            <w:tcW w:w="94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ascii="宋体" w:hAnsi="宋体" w:cs="宋体"/>
                <w:color w:val="000000"/>
                <w:sz w:val="21"/>
                <w:szCs w:val="21"/>
                <w:highlight w:val="none"/>
              </w:rPr>
            </w:pPr>
          </w:p>
        </w:tc>
        <w:tc>
          <w:tcPr>
            <w:tcW w:w="1140"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资金分配</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合理性</w:t>
            </w:r>
          </w:p>
        </w:tc>
        <w:tc>
          <w:tcPr>
            <w:tcW w:w="4631" w:type="dxa"/>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①预算资金分配依据是否充分；</w:t>
            </w:r>
          </w:p>
          <w:p>
            <w:pPr>
              <w:widowControl/>
              <w:jc w:val="left"/>
              <w:textAlignment w:val="center"/>
              <w:rPr>
                <w:rFonts w:ascii="宋体" w:hAnsi="宋体" w:cs="宋体"/>
                <w:color w:val="000000"/>
                <w:sz w:val="21"/>
                <w:szCs w:val="21"/>
                <w:highlight w:val="none"/>
              </w:rPr>
            </w:pPr>
            <w:r>
              <w:rPr>
                <w:rFonts w:hint="eastAsia" w:ascii="宋体" w:hAnsi="宋体" w:cs="宋体"/>
                <w:sz w:val="21"/>
                <w:szCs w:val="21"/>
                <w:highlight w:val="none"/>
              </w:rPr>
              <w:t>②资金分配额度是否合理，与项目单位或地方实际是否相适应。</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3</w:t>
            </w:r>
          </w:p>
        </w:tc>
      </w:tr>
      <w:tr>
        <w:tblPrEx>
          <w:tblCellMar>
            <w:top w:w="0" w:type="dxa"/>
            <w:left w:w="108" w:type="dxa"/>
            <w:bottom w:w="0" w:type="dxa"/>
            <w:right w:w="108" w:type="dxa"/>
          </w:tblCellMar>
        </w:tblPrEx>
        <w:trPr>
          <w:trHeight w:val="1169" w:hRule="atLeast"/>
        </w:trPr>
        <w:tc>
          <w:tcPr>
            <w:tcW w:w="967"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过程（25分）</w:t>
            </w:r>
          </w:p>
        </w:tc>
        <w:tc>
          <w:tcPr>
            <w:tcW w:w="945" w:type="dxa"/>
            <w:vMerge w:val="restart"/>
            <w:tcBorders>
              <w:top w:val="single" w:color="auto" w:sz="4" w:space="0"/>
              <w:left w:val="single" w:color="auto"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资金管理</w:t>
            </w:r>
          </w:p>
        </w:tc>
        <w:tc>
          <w:tcPr>
            <w:tcW w:w="1140" w:type="dxa"/>
            <w:tcBorders>
              <w:top w:val="single" w:color="auto"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资金到位率</w:t>
            </w:r>
          </w:p>
        </w:tc>
        <w:tc>
          <w:tcPr>
            <w:tcW w:w="4631" w:type="dxa"/>
            <w:tcBorders>
              <w:top w:val="single" w:color="000000" w:sz="4" w:space="0"/>
              <w:left w:val="single" w:color="auto" w:sz="4" w:space="0"/>
              <w:bottom w:val="single" w:color="000000" w:sz="4" w:space="0"/>
              <w:right w:val="single" w:color="000000" w:sz="4" w:space="0"/>
            </w:tcBorders>
            <w:shd w:val="clear" w:color="auto" w:fill="auto"/>
          </w:tcPr>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资金到位率=(实际到位资金/预算资金)×lOO%。</w:t>
            </w:r>
          </w:p>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实际到位资金：一定时期（本年度或项目期）内落实到具体项目的资金。</w:t>
            </w:r>
          </w:p>
          <w:p>
            <w:pPr>
              <w:widowControl/>
              <w:jc w:val="left"/>
              <w:textAlignment w:val="center"/>
              <w:rPr>
                <w:rFonts w:ascii="宋体" w:hAnsi="宋体" w:cs="宋体"/>
                <w:color w:val="000000"/>
                <w:sz w:val="21"/>
                <w:szCs w:val="21"/>
                <w:highlight w:val="none"/>
              </w:rPr>
            </w:pPr>
            <w:r>
              <w:rPr>
                <w:rFonts w:hint="eastAsia" w:ascii="宋体" w:hAnsi="宋体" w:cs="宋体"/>
                <w:sz w:val="21"/>
                <w:szCs w:val="21"/>
                <w:highlight w:val="none"/>
              </w:rPr>
              <w:t>预算资金：一定时期（本年度或项目期）内预算安排到具体项目的资金。</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5</w:t>
            </w:r>
          </w:p>
        </w:tc>
      </w:tr>
      <w:tr>
        <w:tblPrEx>
          <w:tblCellMar>
            <w:top w:w="0" w:type="dxa"/>
            <w:left w:w="108" w:type="dxa"/>
            <w:bottom w:w="0" w:type="dxa"/>
            <w:right w:w="108" w:type="dxa"/>
          </w:tblCellMar>
        </w:tblPrEx>
        <w:trPr>
          <w:trHeight w:val="90" w:hRule="atLeast"/>
        </w:trPr>
        <w:tc>
          <w:tcPr>
            <w:tcW w:w="967"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cs="宋体"/>
                <w:color w:val="000000"/>
                <w:sz w:val="21"/>
                <w:szCs w:val="21"/>
                <w:highlight w:val="none"/>
              </w:rPr>
            </w:pPr>
          </w:p>
        </w:tc>
        <w:tc>
          <w:tcPr>
            <w:tcW w:w="945" w:type="dxa"/>
            <w:vMerge w:val="continue"/>
            <w:tcBorders>
              <w:left w:val="single" w:color="auto" w:sz="4" w:space="0"/>
              <w:right w:val="single" w:color="000000" w:sz="4" w:space="0"/>
            </w:tcBorders>
            <w:shd w:val="clear" w:color="auto" w:fill="auto"/>
            <w:vAlign w:val="center"/>
          </w:tcPr>
          <w:p>
            <w:pPr>
              <w:jc w:val="center"/>
              <w:rPr>
                <w:rFonts w:ascii="宋体" w:hAnsi="宋体" w:cs="宋体"/>
                <w:color w:val="000000"/>
                <w:sz w:val="21"/>
                <w:szCs w:val="21"/>
                <w:highlight w:val="none"/>
              </w:rPr>
            </w:pPr>
          </w:p>
        </w:tc>
        <w:tc>
          <w:tcPr>
            <w:tcW w:w="1140" w:type="dxa"/>
            <w:tcBorders>
              <w:top w:val="single" w:color="000000" w:sz="4" w:space="0"/>
              <w:left w:val="single" w:color="000000" w:sz="4" w:space="0"/>
              <w:bottom w:val="single" w:color="000000" w:sz="4" w:space="0"/>
              <w:right w:val="single" w:color="auto"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预算执行率</w:t>
            </w:r>
          </w:p>
        </w:tc>
        <w:tc>
          <w:tcPr>
            <w:tcW w:w="4631" w:type="dxa"/>
            <w:tcBorders>
              <w:top w:val="single" w:color="000000" w:sz="4" w:space="0"/>
              <w:left w:val="single" w:color="auto" w:sz="4" w:space="0"/>
              <w:bottom w:val="single" w:color="000000" w:sz="4" w:space="0"/>
              <w:right w:val="single" w:color="000000" w:sz="4" w:space="0"/>
            </w:tcBorders>
            <w:shd w:val="clear" w:color="auto" w:fill="auto"/>
          </w:tcPr>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预算执行率=（实际支出资金/实际到位资金)×100%。</w:t>
            </w:r>
          </w:p>
          <w:p>
            <w:pPr>
              <w:widowControl/>
              <w:jc w:val="left"/>
              <w:textAlignment w:val="center"/>
              <w:rPr>
                <w:rFonts w:ascii="宋体" w:hAnsi="宋体" w:cs="宋体"/>
                <w:color w:val="000000"/>
                <w:sz w:val="21"/>
                <w:szCs w:val="21"/>
                <w:highlight w:val="none"/>
              </w:rPr>
            </w:pPr>
            <w:r>
              <w:rPr>
                <w:rFonts w:hint="eastAsia" w:ascii="宋体" w:hAnsi="宋体" w:cs="宋体"/>
                <w:sz w:val="21"/>
                <w:szCs w:val="21"/>
                <w:highlight w:val="none"/>
              </w:rPr>
              <w:t>实际支出资金：一定时期（本年度或项目期）内项目实际拨付的资金。</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5</w:t>
            </w:r>
          </w:p>
        </w:tc>
      </w:tr>
      <w:tr>
        <w:tblPrEx>
          <w:tblCellMar>
            <w:top w:w="0" w:type="dxa"/>
            <w:left w:w="108" w:type="dxa"/>
            <w:bottom w:w="0" w:type="dxa"/>
            <w:right w:w="108" w:type="dxa"/>
          </w:tblCellMar>
        </w:tblPrEx>
        <w:trPr>
          <w:trHeight w:val="1000" w:hRule="atLeast"/>
        </w:trPr>
        <w:tc>
          <w:tcPr>
            <w:tcW w:w="967"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cs="宋体"/>
                <w:color w:val="000000"/>
                <w:sz w:val="21"/>
                <w:szCs w:val="21"/>
                <w:highlight w:val="none"/>
              </w:rPr>
            </w:pPr>
          </w:p>
        </w:tc>
        <w:tc>
          <w:tcPr>
            <w:tcW w:w="945" w:type="dxa"/>
            <w:vMerge w:val="continue"/>
            <w:tcBorders>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p>
        </w:tc>
        <w:tc>
          <w:tcPr>
            <w:tcW w:w="1140" w:type="dxa"/>
            <w:tcBorders>
              <w:top w:val="single" w:color="000000" w:sz="4" w:space="0"/>
              <w:left w:val="single" w:color="000000"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资金使用</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合规性</w:t>
            </w:r>
          </w:p>
        </w:tc>
        <w:tc>
          <w:tcPr>
            <w:tcW w:w="4631" w:type="dxa"/>
            <w:tcBorders>
              <w:top w:val="single" w:color="000000" w:sz="4" w:space="0"/>
              <w:left w:val="single" w:color="auto" w:sz="4" w:space="0"/>
              <w:bottom w:val="single" w:color="000000" w:sz="4" w:space="0"/>
              <w:right w:val="single" w:color="000000" w:sz="4" w:space="0"/>
            </w:tcBorders>
            <w:shd w:val="clear" w:color="auto" w:fill="auto"/>
          </w:tcPr>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①是否符合国家财经法规和财务管理制度以及有关专项资金管理办法的规定；</w:t>
            </w:r>
          </w:p>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②资金的拨付是否有完整的审批程序和手续；</w:t>
            </w:r>
          </w:p>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③是否符合项目预算批复或合同规定的用途；</w:t>
            </w:r>
          </w:p>
          <w:p>
            <w:pPr>
              <w:widowControl/>
              <w:jc w:val="left"/>
              <w:textAlignment w:val="center"/>
              <w:rPr>
                <w:rFonts w:ascii="宋体" w:hAnsi="宋体" w:cs="宋体"/>
                <w:color w:val="000000"/>
                <w:sz w:val="21"/>
                <w:szCs w:val="21"/>
                <w:highlight w:val="none"/>
              </w:rPr>
            </w:pPr>
            <w:r>
              <w:rPr>
                <w:rFonts w:hint="eastAsia" w:ascii="宋体" w:hAnsi="宋体" w:cs="宋体"/>
                <w:sz w:val="21"/>
                <w:szCs w:val="21"/>
                <w:highlight w:val="none"/>
              </w:rPr>
              <w:t>④是否存在截留、挤占、挪用、虚列支出等情况。</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5</w:t>
            </w:r>
          </w:p>
        </w:tc>
      </w:tr>
      <w:tr>
        <w:tblPrEx>
          <w:tblCellMar>
            <w:top w:w="0" w:type="dxa"/>
            <w:left w:w="108" w:type="dxa"/>
            <w:bottom w:w="0" w:type="dxa"/>
            <w:right w:w="108" w:type="dxa"/>
          </w:tblCellMar>
        </w:tblPrEx>
        <w:trPr>
          <w:trHeight w:val="664" w:hRule="atLeast"/>
        </w:trPr>
        <w:tc>
          <w:tcPr>
            <w:tcW w:w="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highlight w:val="none"/>
              </w:rPr>
            </w:pPr>
          </w:p>
        </w:tc>
        <w:tc>
          <w:tcPr>
            <w:tcW w:w="945" w:type="dxa"/>
            <w:vMerge w:val="restar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组织实施</w:t>
            </w:r>
          </w:p>
        </w:tc>
        <w:tc>
          <w:tcPr>
            <w:tcW w:w="1140" w:type="dxa"/>
            <w:tcBorders>
              <w:top w:val="single" w:color="auto"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管理制度</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健全性</w:t>
            </w:r>
          </w:p>
        </w:tc>
        <w:tc>
          <w:tcPr>
            <w:tcW w:w="4631" w:type="dxa"/>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①是否已制定或具有相应的财务和业务管理制度；</w:t>
            </w:r>
          </w:p>
          <w:p>
            <w:pPr>
              <w:widowControl/>
              <w:jc w:val="left"/>
              <w:textAlignment w:val="center"/>
              <w:rPr>
                <w:rFonts w:ascii="宋体" w:hAnsi="宋体" w:cs="宋体"/>
                <w:color w:val="000000"/>
                <w:sz w:val="21"/>
                <w:szCs w:val="21"/>
                <w:highlight w:val="none"/>
              </w:rPr>
            </w:pPr>
            <w:r>
              <w:rPr>
                <w:rFonts w:hint="eastAsia" w:ascii="宋体" w:hAnsi="宋体" w:cs="宋体"/>
                <w:sz w:val="21"/>
                <w:szCs w:val="21"/>
                <w:highlight w:val="none"/>
              </w:rPr>
              <w:t>②财务和业务管理制度是否合法、合规、完整。</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5</w:t>
            </w:r>
          </w:p>
        </w:tc>
      </w:tr>
      <w:tr>
        <w:tblPrEx>
          <w:tblCellMar>
            <w:top w:w="0" w:type="dxa"/>
            <w:left w:w="108" w:type="dxa"/>
            <w:bottom w:w="0" w:type="dxa"/>
            <w:right w:w="108" w:type="dxa"/>
          </w:tblCellMar>
        </w:tblPrEx>
        <w:trPr>
          <w:trHeight w:val="1116" w:hRule="atLeast"/>
        </w:trPr>
        <w:tc>
          <w:tcPr>
            <w:tcW w:w="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highlight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highlight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制度执行</w:t>
            </w:r>
            <w:r>
              <w:rPr>
                <w:rFonts w:hint="eastAsia" w:ascii="宋体" w:hAnsi="宋体" w:cs="宋体"/>
                <w:color w:val="000000"/>
                <w:kern w:val="0"/>
                <w:sz w:val="21"/>
                <w:szCs w:val="21"/>
                <w:highlight w:val="none"/>
                <w:lang w:bidi="ar"/>
              </w:rPr>
              <w:br w:type="textWrapping"/>
            </w:r>
            <w:r>
              <w:rPr>
                <w:rFonts w:hint="eastAsia" w:ascii="宋体" w:hAnsi="宋体" w:cs="宋体"/>
                <w:color w:val="000000"/>
                <w:kern w:val="0"/>
                <w:sz w:val="21"/>
                <w:szCs w:val="21"/>
                <w:highlight w:val="none"/>
                <w:lang w:bidi="ar"/>
              </w:rPr>
              <w:t>有效性</w:t>
            </w:r>
          </w:p>
        </w:tc>
        <w:tc>
          <w:tcPr>
            <w:tcW w:w="4631" w:type="dxa"/>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①是否遵守相关法律法规和相关管理规定；</w:t>
            </w:r>
          </w:p>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②项目调整及支出调整手续是否完备；</w:t>
            </w:r>
          </w:p>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③项目合同书、验收报告、技术鉴定等资料是否齐全并及时归档；</w:t>
            </w:r>
          </w:p>
          <w:p>
            <w:pPr>
              <w:widowControl/>
              <w:jc w:val="left"/>
              <w:textAlignment w:val="center"/>
              <w:rPr>
                <w:rFonts w:ascii="宋体" w:hAnsi="宋体" w:cs="宋体"/>
                <w:color w:val="000000"/>
                <w:sz w:val="21"/>
                <w:szCs w:val="21"/>
                <w:highlight w:val="none"/>
              </w:rPr>
            </w:pPr>
            <w:r>
              <w:rPr>
                <w:rFonts w:hint="eastAsia" w:ascii="宋体" w:hAnsi="宋体" w:cs="宋体"/>
                <w:sz w:val="21"/>
                <w:szCs w:val="21"/>
                <w:highlight w:val="none"/>
              </w:rPr>
              <w:t>④项目实施的人员条件、场地设备、信息支撑等是否落实到位。</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5</w:t>
            </w:r>
          </w:p>
        </w:tc>
      </w:tr>
      <w:tr>
        <w:tblPrEx>
          <w:tblCellMar>
            <w:top w:w="0" w:type="dxa"/>
            <w:left w:w="108" w:type="dxa"/>
            <w:bottom w:w="0" w:type="dxa"/>
            <w:right w:w="108" w:type="dxa"/>
          </w:tblCellMar>
        </w:tblPrEx>
        <w:trPr>
          <w:trHeight w:val="1514" w:hRule="atLeast"/>
        </w:trPr>
        <w:tc>
          <w:tcPr>
            <w:tcW w:w="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产出（30分）</w:t>
            </w:r>
          </w:p>
        </w:tc>
        <w:tc>
          <w:tcPr>
            <w:tcW w:w="945"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产出数量</w:t>
            </w:r>
          </w:p>
        </w:tc>
        <w:tc>
          <w:tcPr>
            <w:tcW w:w="1140"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定期巡检完成率</w:t>
            </w:r>
          </w:p>
        </w:tc>
        <w:tc>
          <w:tcPr>
            <w:tcW w:w="4631" w:type="dxa"/>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实际完成率=（实际产出数/计划产出数）×100%。</w:t>
            </w:r>
          </w:p>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实际产出数：一定时期（本年度或项目期）内项目实际产出的产品或提供的服务数量。</w:t>
            </w:r>
          </w:p>
          <w:p>
            <w:pPr>
              <w:widowControl/>
              <w:jc w:val="left"/>
              <w:textAlignment w:val="center"/>
              <w:rPr>
                <w:rFonts w:ascii="宋体" w:hAnsi="宋体" w:cs="宋体"/>
                <w:color w:val="000000"/>
                <w:sz w:val="21"/>
                <w:szCs w:val="21"/>
                <w:highlight w:val="none"/>
              </w:rPr>
            </w:pPr>
            <w:r>
              <w:rPr>
                <w:rFonts w:hint="eastAsia" w:ascii="宋体" w:hAnsi="宋体" w:cs="宋体"/>
                <w:sz w:val="21"/>
                <w:szCs w:val="21"/>
                <w:highlight w:val="none"/>
              </w:rPr>
              <w:t>计划产出数：项目绩效目标确定的在一定时期（本年度或项目期）内计划产出的产品或提供的服务数量。</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10</w:t>
            </w:r>
          </w:p>
        </w:tc>
      </w:tr>
      <w:tr>
        <w:tblPrEx>
          <w:tblCellMar>
            <w:top w:w="0" w:type="dxa"/>
            <w:left w:w="108" w:type="dxa"/>
            <w:bottom w:w="0" w:type="dxa"/>
            <w:right w:w="108" w:type="dxa"/>
          </w:tblCellMar>
        </w:tblPrEx>
        <w:trPr>
          <w:trHeight w:val="1505" w:hRule="atLeast"/>
        </w:trPr>
        <w:tc>
          <w:tcPr>
            <w:tcW w:w="967"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ascii="宋体" w:hAnsi="宋体" w:cs="宋体"/>
                <w:color w:val="000000"/>
                <w:sz w:val="21"/>
                <w:szCs w:val="21"/>
                <w:highlight w:val="none"/>
              </w:rPr>
            </w:pPr>
          </w:p>
        </w:tc>
        <w:tc>
          <w:tcPr>
            <w:tcW w:w="94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产出质量</w:t>
            </w:r>
          </w:p>
        </w:tc>
        <w:tc>
          <w:tcPr>
            <w:tcW w:w="1140" w:type="dxa"/>
            <w:tcBorders>
              <w:top w:val="single" w:color="auto" w:sz="4" w:space="0"/>
              <w:left w:val="single" w:color="000000"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设备维护覆盖率</w:t>
            </w:r>
          </w:p>
        </w:tc>
        <w:tc>
          <w:tcPr>
            <w:tcW w:w="4631" w:type="dxa"/>
            <w:tcBorders>
              <w:top w:val="single" w:color="000000" w:sz="4" w:space="0"/>
              <w:left w:val="single" w:color="auto" w:sz="4" w:space="0"/>
              <w:bottom w:val="single" w:color="000000" w:sz="4" w:space="0"/>
              <w:right w:val="single" w:color="000000" w:sz="4" w:space="0"/>
            </w:tcBorders>
            <w:shd w:val="clear" w:color="auto" w:fill="auto"/>
          </w:tcPr>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质量达标率=（质量达标产出数/实际产出数）×100%。</w:t>
            </w:r>
          </w:p>
          <w:p>
            <w:pPr>
              <w:widowControl/>
              <w:jc w:val="left"/>
              <w:textAlignment w:val="center"/>
              <w:rPr>
                <w:rFonts w:ascii="宋体" w:hAnsi="宋体" w:cs="宋体"/>
                <w:color w:val="000000"/>
                <w:sz w:val="21"/>
                <w:szCs w:val="21"/>
                <w:highlight w:val="none"/>
              </w:rPr>
            </w:pPr>
            <w:r>
              <w:rPr>
                <w:rFonts w:hint="eastAsia" w:ascii="宋体" w:hAnsi="宋体" w:cs="宋体"/>
                <w:sz w:val="21"/>
                <w:szCs w:val="21"/>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10</w:t>
            </w:r>
          </w:p>
        </w:tc>
      </w:tr>
      <w:tr>
        <w:tblPrEx>
          <w:tblCellMar>
            <w:top w:w="0" w:type="dxa"/>
            <w:left w:w="108" w:type="dxa"/>
            <w:bottom w:w="0" w:type="dxa"/>
            <w:right w:w="108" w:type="dxa"/>
          </w:tblCellMar>
        </w:tblPrEx>
        <w:trPr>
          <w:trHeight w:val="1273" w:hRule="atLeast"/>
        </w:trPr>
        <w:tc>
          <w:tcPr>
            <w:tcW w:w="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highlight w:val="none"/>
              </w:rPr>
            </w:pPr>
          </w:p>
        </w:tc>
        <w:tc>
          <w:tcPr>
            <w:tcW w:w="945" w:type="dxa"/>
            <w:tcBorders>
              <w:top w:val="single" w:color="auto"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产出时效</w:t>
            </w:r>
          </w:p>
        </w:tc>
        <w:tc>
          <w:tcPr>
            <w:tcW w:w="1140" w:type="dxa"/>
            <w:tcBorders>
              <w:top w:val="single" w:color="auto"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完成及时率</w:t>
            </w:r>
          </w:p>
        </w:tc>
        <w:tc>
          <w:tcPr>
            <w:tcW w:w="4631" w:type="dxa"/>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实际完成时间：项目实施单位完成该项目实际所耗用的时间。</w:t>
            </w:r>
          </w:p>
          <w:p>
            <w:pPr>
              <w:widowControl/>
              <w:jc w:val="left"/>
              <w:textAlignment w:val="center"/>
              <w:rPr>
                <w:rFonts w:ascii="宋体" w:hAnsi="宋体" w:cs="宋体"/>
                <w:color w:val="000000"/>
                <w:sz w:val="21"/>
                <w:szCs w:val="21"/>
                <w:highlight w:val="none"/>
              </w:rPr>
            </w:pPr>
            <w:r>
              <w:rPr>
                <w:rFonts w:hint="eastAsia" w:ascii="宋体" w:hAnsi="宋体" w:cs="宋体"/>
                <w:sz w:val="21"/>
                <w:szCs w:val="21"/>
                <w:highlight w:val="none"/>
              </w:rPr>
              <w:t>计划完成时间：按照项目实施计划或相关规定完成该项目所需的时间。</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5</w:t>
            </w:r>
          </w:p>
        </w:tc>
      </w:tr>
      <w:tr>
        <w:tblPrEx>
          <w:tblCellMar>
            <w:top w:w="0" w:type="dxa"/>
            <w:left w:w="108" w:type="dxa"/>
            <w:bottom w:w="0" w:type="dxa"/>
            <w:right w:w="108" w:type="dxa"/>
          </w:tblCellMar>
        </w:tblPrEx>
        <w:trPr>
          <w:trHeight w:val="1285" w:hRule="atLeast"/>
        </w:trPr>
        <w:tc>
          <w:tcPr>
            <w:tcW w:w="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highlight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产出成本</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成本节约率</w:t>
            </w:r>
          </w:p>
        </w:tc>
        <w:tc>
          <w:tcPr>
            <w:tcW w:w="4631" w:type="dxa"/>
            <w:tcBorders>
              <w:top w:val="single" w:color="000000" w:sz="4" w:space="0"/>
              <w:left w:val="single" w:color="000000" w:sz="4" w:space="0"/>
              <w:bottom w:val="single" w:color="000000" w:sz="4" w:space="0"/>
              <w:right w:val="single" w:color="000000" w:sz="4" w:space="0"/>
            </w:tcBorders>
            <w:shd w:val="clear" w:color="auto" w:fill="auto"/>
          </w:tcPr>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成本节约率=［（计划成本-实际成本）/计划成本］×100%。</w:t>
            </w:r>
          </w:p>
          <w:p>
            <w:pPr>
              <w:widowControl/>
              <w:jc w:val="left"/>
              <w:textAlignment w:val="center"/>
              <w:rPr>
                <w:rFonts w:ascii="宋体" w:hAnsi="宋体" w:cs="宋体"/>
                <w:sz w:val="21"/>
                <w:szCs w:val="21"/>
                <w:highlight w:val="none"/>
              </w:rPr>
            </w:pPr>
            <w:r>
              <w:rPr>
                <w:rFonts w:hint="eastAsia" w:ascii="宋体" w:hAnsi="宋体" w:cs="宋体"/>
                <w:sz w:val="21"/>
                <w:szCs w:val="21"/>
                <w:highlight w:val="none"/>
              </w:rPr>
              <w:t>实际成本：项目实施单位如期、保质、保量完成既定工作目标实际所耗费的支出。</w:t>
            </w:r>
          </w:p>
          <w:p>
            <w:pPr>
              <w:widowControl/>
              <w:jc w:val="left"/>
              <w:textAlignment w:val="center"/>
              <w:rPr>
                <w:rFonts w:ascii="宋体" w:hAnsi="宋体" w:cs="宋体"/>
                <w:color w:val="000000"/>
                <w:sz w:val="21"/>
                <w:szCs w:val="21"/>
                <w:highlight w:val="none"/>
              </w:rPr>
            </w:pPr>
            <w:r>
              <w:rPr>
                <w:rFonts w:hint="eastAsia" w:ascii="宋体" w:hAnsi="宋体" w:cs="宋体"/>
                <w:sz w:val="21"/>
                <w:szCs w:val="21"/>
                <w:highlight w:val="none"/>
              </w:rPr>
              <w:t>计划成本：项目实施单位为完成工作目标计划安排的支出，一般以项目预算为参考。</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5</w:t>
            </w:r>
          </w:p>
        </w:tc>
      </w:tr>
      <w:tr>
        <w:tblPrEx>
          <w:tblCellMar>
            <w:top w:w="0" w:type="dxa"/>
            <w:left w:w="108" w:type="dxa"/>
            <w:bottom w:w="0" w:type="dxa"/>
            <w:right w:w="108" w:type="dxa"/>
          </w:tblCellMar>
        </w:tblPrEx>
        <w:trPr>
          <w:trHeight w:val="662" w:hRule="atLeast"/>
        </w:trPr>
        <w:tc>
          <w:tcPr>
            <w:tcW w:w="9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效益（25分）</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社会效益</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1"/>
                <w:szCs w:val="21"/>
                <w:highlight w:val="none"/>
                <w:lang w:bidi="ar"/>
              </w:rPr>
            </w:pPr>
            <w:r>
              <w:rPr>
                <w:rFonts w:hint="eastAsia" w:ascii="宋体" w:hAnsi="宋体" w:cs="宋体"/>
                <w:color w:val="000000"/>
                <w:kern w:val="0"/>
                <w:sz w:val="21"/>
                <w:szCs w:val="21"/>
                <w:highlight w:val="none"/>
                <w:lang w:bidi="ar"/>
              </w:rPr>
              <w:t>对安全意识的影响程度</w:t>
            </w:r>
          </w:p>
        </w:tc>
        <w:tc>
          <w:tcPr>
            <w:tcW w:w="46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color w:val="000000"/>
                <w:sz w:val="21"/>
                <w:szCs w:val="21"/>
                <w:highlight w:val="none"/>
              </w:rPr>
            </w:pPr>
            <w:r>
              <w:rPr>
                <w:rFonts w:hint="eastAsia" w:ascii="宋体" w:hAnsi="宋体" w:cs="宋体"/>
                <w:sz w:val="21"/>
                <w:szCs w:val="21"/>
                <w:highlight w:val="none"/>
              </w:rPr>
              <w:t>项目实施所产生的社会效益，具体评价项目实施对安全意识的影响程度。</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8</w:t>
            </w:r>
          </w:p>
        </w:tc>
      </w:tr>
      <w:tr>
        <w:tblPrEx>
          <w:tblCellMar>
            <w:top w:w="0" w:type="dxa"/>
            <w:left w:w="108" w:type="dxa"/>
            <w:bottom w:w="0" w:type="dxa"/>
            <w:right w:w="108" w:type="dxa"/>
          </w:tblCellMar>
        </w:tblPrEx>
        <w:trPr>
          <w:trHeight w:val="962" w:hRule="atLeast"/>
        </w:trPr>
        <w:tc>
          <w:tcPr>
            <w:tcW w:w="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highlight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highlight w:val="none"/>
              </w:rPr>
            </w:pPr>
            <w:r>
              <w:rPr>
                <w:rFonts w:hint="eastAsia" w:ascii="宋体" w:hAnsi="宋体" w:cs="宋体"/>
                <w:color w:val="000000"/>
                <w:sz w:val="21"/>
                <w:szCs w:val="21"/>
                <w:highlight w:val="none"/>
              </w:rPr>
              <w:t>可持续影响</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1"/>
                <w:szCs w:val="21"/>
                <w:highlight w:val="none"/>
                <w:lang w:bidi="ar"/>
              </w:rPr>
            </w:pPr>
            <w:r>
              <w:rPr>
                <w:rFonts w:hint="eastAsia" w:ascii="宋体" w:hAnsi="宋体" w:cs="宋体"/>
                <w:color w:val="000000"/>
                <w:kern w:val="0"/>
                <w:sz w:val="21"/>
                <w:szCs w:val="21"/>
                <w:highlight w:val="none"/>
                <w:lang w:bidi="ar"/>
              </w:rPr>
              <w:t>辖区内安全生产的可持续影响程度</w:t>
            </w:r>
          </w:p>
        </w:tc>
        <w:tc>
          <w:tcPr>
            <w:tcW w:w="46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color w:val="000000"/>
                <w:sz w:val="21"/>
                <w:szCs w:val="21"/>
                <w:highlight w:val="none"/>
              </w:rPr>
            </w:pPr>
            <w:r>
              <w:rPr>
                <w:rFonts w:hint="eastAsia" w:ascii="宋体" w:hAnsi="宋体" w:cs="宋体"/>
                <w:sz w:val="21"/>
                <w:szCs w:val="21"/>
                <w:highlight w:val="none"/>
              </w:rPr>
              <w:t>项目实施所产生的可持续影响，具体评价项目实施对辖区内安全生产的可持续影响程度。</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8</w:t>
            </w:r>
          </w:p>
        </w:tc>
      </w:tr>
      <w:tr>
        <w:tblPrEx>
          <w:tblCellMar>
            <w:top w:w="0" w:type="dxa"/>
            <w:left w:w="108" w:type="dxa"/>
            <w:bottom w:w="0" w:type="dxa"/>
            <w:right w:w="108" w:type="dxa"/>
          </w:tblCellMar>
        </w:tblPrEx>
        <w:trPr>
          <w:trHeight w:val="1138" w:hRule="atLeast"/>
        </w:trPr>
        <w:tc>
          <w:tcPr>
            <w:tcW w:w="9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highlight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21"/>
                <w:szCs w:val="21"/>
                <w:highlight w:val="none"/>
              </w:rPr>
            </w:pPr>
            <w:r>
              <w:rPr>
                <w:rFonts w:hint="eastAsia" w:ascii="宋体" w:hAnsi="宋体" w:cs="宋体"/>
                <w:color w:val="000000"/>
                <w:sz w:val="21"/>
                <w:szCs w:val="21"/>
                <w:highlight w:val="none"/>
              </w:rPr>
              <w:t>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1"/>
                <w:szCs w:val="21"/>
                <w:highlight w:val="none"/>
                <w:lang w:bidi="ar"/>
              </w:rPr>
            </w:pPr>
            <w:r>
              <w:rPr>
                <w:rFonts w:hint="eastAsia" w:ascii="宋体" w:hAnsi="宋体" w:cs="宋体"/>
                <w:color w:val="000000"/>
                <w:kern w:val="0"/>
                <w:sz w:val="21"/>
                <w:szCs w:val="21"/>
                <w:highlight w:val="none"/>
                <w:lang w:bidi="ar"/>
              </w:rPr>
              <w:t>公众满意度</w:t>
            </w:r>
          </w:p>
        </w:tc>
        <w:tc>
          <w:tcPr>
            <w:tcW w:w="46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color w:val="000000"/>
                <w:sz w:val="21"/>
                <w:szCs w:val="21"/>
                <w:highlight w:val="none"/>
              </w:rPr>
            </w:pPr>
            <w:r>
              <w:rPr>
                <w:rFonts w:hint="eastAsia" w:ascii="宋体" w:hAnsi="宋体" w:cs="宋体"/>
                <w:sz w:val="21"/>
                <w:szCs w:val="21"/>
                <w:highlight w:val="none"/>
              </w:rPr>
              <w:t>社会公众或服务对象是指因该项目实施而受到影响的部门（单位）、群体或个人。一般采取社会调查的方式。</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9</w:t>
            </w:r>
          </w:p>
        </w:tc>
      </w:tr>
      <w:tr>
        <w:tblPrEx>
          <w:tblCellMar>
            <w:top w:w="0" w:type="dxa"/>
            <w:left w:w="108" w:type="dxa"/>
            <w:bottom w:w="0" w:type="dxa"/>
            <w:right w:w="108" w:type="dxa"/>
          </w:tblCellMar>
        </w:tblPrEx>
        <w:trPr>
          <w:trHeight w:val="632" w:hRule="atLeast"/>
        </w:trPr>
        <w:tc>
          <w:tcPr>
            <w:tcW w:w="768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bottom"/>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分值合计</w:t>
            </w:r>
          </w:p>
        </w:tc>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1"/>
                <w:szCs w:val="21"/>
                <w:highlight w:val="none"/>
              </w:rPr>
            </w:pPr>
            <w:r>
              <w:rPr>
                <w:rFonts w:hint="eastAsia" w:ascii="宋体" w:hAnsi="宋体" w:cs="宋体"/>
                <w:color w:val="000000"/>
                <w:kern w:val="0"/>
                <w:sz w:val="21"/>
                <w:szCs w:val="21"/>
                <w:highlight w:val="none"/>
                <w:lang w:bidi="ar"/>
              </w:rPr>
              <w:t>100</w:t>
            </w:r>
          </w:p>
        </w:tc>
      </w:tr>
    </w:tbl>
    <w:p>
      <w:pPr>
        <w:spacing w:line="500" w:lineRule="exact"/>
        <w:ind w:firstLine="480" w:firstLineChars="200"/>
        <w:outlineLvl w:val="1"/>
        <w:rPr>
          <w:rFonts w:ascii="宋体" w:hAnsi="宋体" w:cs="宋体"/>
          <w:bCs/>
          <w:highlight w:val="none"/>
          <w:lang w:bidi="ar"/>
        </w:rPr>
      </w:pPr>
      <w:bookmarkStart w:id="17" w:name="_Toc25399"/>
      <w:r>
        <w:rPr>
          <w:rFonts w:hint="eastAsia" w:ascii="宋体" w:hAnsi="宋体" w:cs="宋体"/>
          <w:highlight w:val="none"/>
          <w:lang w:bidi="ar"/>
        </w:rPr>
        <w:t>（二）</w:t>
      </w:r>
      <w:r>
        <w:rPr>
          <w:rFonts w:hint="eastAsia" w:ascii="宋体" w:hAnsi="宋体" w:cs="宋体"/>
          <w:bCs/>
          <w:highlight w:val="none"/>
          <w:lang w:bidi="ar"/>
        </w:rPr>
        <w:t>评价标准</w:t>
      </w:r>
      <w:bookmarkEnd w:id="17"/>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绩效评价采用百分制，项目决策、项目过程、项目产出、项目绩效四大类一级指标共100分。其中项目决策指标20分，项目过程25分，项目产出30分，项目绩效25分。</w:t>
      </w:r>
    </w:p>
    <w:p>
      <w:pPr>
        <w:spacing w:line="500" w:lineRule="exact"/>
        <w:ind w:firstLine="480" w:firstLineChars="200"/>
        <w:outlineLvl w:val="1"/>
        <w:rPr>
          <w:rFonts w:ascii="宋体" w:hAnsi="宋体" w:cs="宋体"/>
          <w:bCs/>
          <w:highlight w:val="none"/>
          <w:lang w:bidi="ar"/>
        </w:rPr>
      </w:pPr>
      <w:bookmarkStart w:id="18" w:name="_Toc7436"/>
      <w:r>
        <w:rPr>
          <w:rFonts w:hint="eastAsia" w:ascii="宋体" w:hAnsi="宋体" w:cs="宋体"/>
          <w:highlight w:val="none"/>
          <w:lang w:bidi="ar"/>
        </w:rPr>
        <w:t>（三）</w:t>
      </w:r>
      <w:r>
        <w:rPr>
          <w:rFonts w:hint="eastAsia" w:ascii="宋体" w:hAnsi="宋体" w:cs="宋体"/>
          <w:bCs/>
          <w:highlight w:val="none"/>
          <w:lang w:bidi="ar"/>
        </w:rPr>
        <w:t>评价结果等级</w:t>
      </w:r>
      <w:bookmarkEnd w:id="18"/>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为便于对评价结果的直接运用和判断，将专项资金的绩效评价分为四个等级：</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优：S≥90分</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良：75≤S＜90分</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中：60≤S＜75分</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差：S＜60分</w:t>
      </w:r>
    </w:p>
    <w:p>
      <w:pPr>
        <w:spacing w:line="500" w:lineRule="exact"/>
        <w:ind w:firstLine="480" w:firstLineChars="200"/>
        <w:outlineLvl w:val="1"/>
        <w:rPr>
          <w:rFonts w:ascii="宋体" w:hAnsi="宋体" w:cs="宋体"/>
          <w:bCs/>
          <w:highlight w:val="none"/>
          <w:lang w:bidi="ar"/>
        </w:rPr>
      </w:pPr>
      <w:bookmarkStart w:id="19" w:name="_Toc507"/>
      <w:r>
        <w:rPr>
          <w:rFonts w:hint="eastAsia" w:ascii="宋体" w:hAnsi="宋体" w:cs="宋体"/>
          <w:highlight w:val="none"/>
          <w:lang w:bidi="ar"/>
        </w:rPr>
        <w:t>（四）</w:t>
      </w:r>
      <w:r>
        <w:rPr>
          <w:rFonts w:hint="eastAsia" w:ascii="宋体" w:hAnsi="宋体" w:cs="宋体"/>
          <w:bCs/>
          <w:highlight w:val="none"/>
          <w:lang w:bidi="ar"/>
        </w:rPr>
        <w:t>评价方法</w:t>
      </w:r>
      <w:bookmarkEnd w:id="19"/>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绩效评价主要采用以下三种方法：</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（1）成本效益分析法。将一定时期内的支出与效益进行对比分析，评价绩效目标实现程度。</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（2）比较法。通过对绩效目标与实施效果、历史与当期情况、不同部门和地区同类支出的比较，综合分析绩效目标实现程度。</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（3）公众评判法。通过专家评估、公众问卷及抽样调查等对财政支出效果进行评判，评价绩效目标实现程度。</w:t>
      </w:r>
    </w:p>
    <w:p>
      <w:pPr>
        <w:spacing w:line="360" w:lineRule="auto"/>
        <w:ind w:firstLine="482" w:firstLineChars="200"/>
        <w:outlineLvl w:val="0"/>
        <w:rPr>
          <w:rFonts w:ascii="宋体" w:hAnsi="宋体" w:cs="宋体"/>
          <w:b/>
          <w:highlight w:val="none"/>
          <w:lang w:bidi="ar"/>
        </w:rPr>
      </w:pPr>
      <w:bookmarkStart w:id="20" w:name="_Toc3415"/>
      <w:r>
        <w:rPr>
          <w:rFonts w:hint="eastAsia" w:ascii="宋体" w:hAnsi="宋体" w:cs="宋体"/>
          <w:b/>
          <w:highlight w:val="none"/>
          <w:lang w:bidi="ar"/>
        </w:rPr>
        <w:t>四、总体评价结论</w:t>
      </w:r>
      <w:bookmarkEnd w:id="20"/>
    </w:p>
    <w:p>
      <w:pPr>
        <w:spacing w:line="360" w:lineRule="auto"/>
        <w:ind w:firstLine="480" w:firstLineChars="200"/>
        <w:outlineLvl w:val="1"/>
        <w:rPr>
          <w:rFonts w:ascii="宋体" w:hAnsi="宋体" w:cs="宋体"/>
          <w:highlight w:val="none"/>
          <w:lang w:bidi="ar"/>
        </w:rPr>
      </w:pPr>
      <w:bookmarkStart w:id="21" w:name="_Toc10364"/>
      <w:r>
        <w:rPr>
          <w:rFonts w:hint="eastAsia" w:ascii="宋体" w:hAnsi="宋体" w:cs="宋体"/>
          <w:highlight w:val="none"/>
          <w:lang w:bidi="ar"/>
        </w:rPr>
        <w:t>（一）评价得分情况</w:t>
      </w:r>
      <w:bookmarkEnd w:id="21"/>
    </w:p>
    <w:p>
      <w:pPr>
        <w:spacing w:line="500" w:lineRule="exact"/>
        <w:ind w:firstLine="480" w:firstLineChars="200"/>
        <w:rPr>
          <w:rFonts w:ascii="宋体" w:hAnsi="宋体" w:cs="宋体"/>
          <w:highlight w:val="none"/>
          <w:lang w:bidi="ar"/>
        </w:rPr>
      </w:pPr>
      <w:r>
        <w:rPr>
          <w:rFonts w:hint="eastAsia" w:ascii="宋体" w:hAnsi="宋体" w:cs="宋体"/>
          <w:highlight w:val="none"/>
          <w:lang w:bidi="ar"/>
        </w:rPr>
        <w:t>经综合评价，东丽区安防网2019年度系统软件技术及系统网络设备维护服务评价综合得分为8</w:t>
      </w:r>
      <w:r>
        <w:rPr>
          <w:rFonts w:ascii="宋体" w:hAnsi="宋体" w:cs="宋体"/>
          <w:highlight w:val="none"/>
          <w:lang w:bidi="ar"/>
        </w:rPr>
        <w:t>4</w:t>
      </w:r>
      <w:r>
        <w:rPr>
          <w:rFonts w:hint="eastAsia" w:ascii="宋体" w:hAnsi="宋体" w:cs="宋体"/>
          <w:highlight w:val="none"/>
          <w:lang w:bidi="ar"/>
        </w:rPr>
        <w:t>分，等级为良。具体指标评价分值如下表：</w:t>
      </w:r>
    </w:p>
    <w:p>
      <w:pPr>
        <w:pStyle w:val="2"/>
        <w:jc w:val="center"/>
        <w:rPr>
          <w:highlight w:val="none"/>
        </w:rPr>
      </w:pPr>
      <w:r>
        <w:rPr>
          <w:rFonts w:hint="eastAsia"/>
          <w:highlight w:val="none"/>
        </w:rPr>
        <w:t>表4：绩效评价得分情况表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9"/>
        <w:gridCol w:w="2119"/>
        <w:gridCol w:w="212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119"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指标</w:t>
            </w:r>
          </w:p>
        </w:tc>
        <w:tc>
          <w:tcPr>
            <w:tcW w:w="2119"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分值</w:t>
            </w:r>
          </w:p>
        </w:tc>
        <w:tc>
          <w:tcPr>
            <w:tcW w:w="2120"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评分</w:t>
            </w:r>
          </w:p>
        </w:tc>
        <w:tc>
          <w:tcPr>
            <w:tcW w:w="2120"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119"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项目决策</w:t>
            </w:r>
          </w:p>
        </w:tc>
        <w:tc>
          <w:tcPr>
            <w:tcW w:w="2119"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20.00</w:t>
            </w:r>
          </w:p>
        </w:tc>
        <w:tc>
          <w:tcPr>
            <w:tcW w:w="2120"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15.00</w:t>
            </w:r>
          </w:p>
        </w:tc>
        <w:tc>
          <w:tcPr>
            <w:tcW w:w="2120"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75.00%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119"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项目过程</w:t>
            </w:r>
          </w:p>
        </w:tc>
        <w:tc>
          <w:tcPr>
            <w:tcW w:w="2119"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25.00</w:t>
            </w:r>
          </w:p>
        </w:tc>
        <w:tc>
          <w:tcPr>
            <w:tcW w:w="2120"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2</w:t>
            </w:r>
            <w:r>
              <w:rPr>
                <w:rFonts w:ascii="宋体" w:hAnsi="宋体" w:cs="宋体"/>
                <w:sz w:val="21"/>
                <w:szCs w:val="21"/>
                <w:highlight w:val="none"/>
                <w:lang w:bidi="ar"/>
              </w:rPr>
              <w:t>3</w:t>
            </w:r>
            <w:r>
              <w:rPr>
                <w:rFonts w:hint="eastAsia" w:ascii="宋体" w:hAnsi="宋体" w:cs="宋体"/>
                <w:sz w:val="21"/>
                <w:szCs w:val="21"/>
                <w:highlight w:val="none"/>
                <w:lang w:bidi="ar"/>
              </w:rPr>
              <w:t>.00</w:t>
            </w:r>
          </w:p>
        </w:tc>
        <w:tc>
          <w:tcPr>
            <w:tcW w:w="2120" w:type="dxa"/>
            <w:vAlign w:val="center"/>
          </w:tcPr>
          <w:p>
            <w:pPr>
              <w:spacing w:line="280" w:lineRule="exact"/>
              <w:jc w:val="center"/>
              <w:rPr>
                <w:rFonts w:ascii="宋体" w:hAnsi="宋体" w:cs="宋体"/>
                <w:sz w:val="21"/>
                <w:szCs w:val="21"/>
                <w:highlight w:val="none"/>
                <w:lang w:bidi="ar"/>
              </w:rPr>
            </w:pPr>
            <w:r>
              <w:rPr>
                <w:rFonts w:ascii="宋体" w:hAnsi="宋体" w:cs="宋体"/>
                <w:sz w:val="21"/>
                <w:szCs w:val="21"/>
                <w:highlight w:val="none"/>
                <w:lang w:bidi="ar"/>
              </w:rPr>
              <w:t>92</w:t>
            </w:r>
            <w:r>
              <w:rPr>
                <w:rFonts w:hint="eastAsia" w:ascii="宋体" w:hAnsi="宋体" w:cs="宋体"/>
                <w:sz w:val="21"/>
                <w:szCs w:val="21"/>
                <w:highlight w:val="none"/>
                <w:lang w:bidi="ar"/>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119"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项目产出</w:t>
            </w:r>
          </w:p>
        </w:tc>
        <w:tc>
          <w:tcPr>
            <w:tcW w:w="2119"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30.00</w:t>
            </w:r>
          </w:p>
        </w:tc>
        <w:tc>
          <w:tcPr>
            <w:tcW w:w="2120"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2</w:t>
            </w:r>
            <w:r>
              <w:rPr>
                <w:rFonts w:ascii="宋体" w:hAnsi="宋体" w:cs="宋体"/>
                <w:sz w:val="21"/>
                <w:szCs w:val="21"/>
                <w:highlight w:val="none"/>
                <w:lang w:bidi="ar"/>
              </w:rPr>
              <w:t>6</w:t>
            </w:r>
            <w:r>
              <w:rPr>
                <w:rFonts w:hint="eastAsia" w:ascii="宋体" w:hAnsi="宋体" w:cs="宋体"/>
                <w:sz w:val="21"/>
                <w:szCs w:val="21"/>
                <w:highlight w:val="none"/>
                <w:lang w:bidi="ar"/>
              </w:rPr>
              <w:t>.00</w:t>
            </w:r>
          </w:p>
        </w:tc>
        <w:tc>
          <w:tcPr>
            <w:tcW w:w="2120" w:type="dxa"/>
            <w:vAlign w:val="center"/>
          </w:tcPr>
          <w:p>
            <w:pPr>
              <w:spacing w:line="280" w:lineRule="exact"/>
              <w:jc w:val="center"/>
              <w:rPr>
                <w:rFonts w:ascii="宋体" w:hAnsi="宋体" w:cs="宋体"/>
                <w:sz w:val="21"/>
                <w:szCs w:val="21"/>
                <w:highlight w:val="none"/>
                <w:lang w:bidi="ar"/>
              </w:rPr>
            </w:pPr>
            <w:r>
              <w:rPr>
                <w:rFonts w:ascii="宋体" w:hAnsi="宋体" w:cs="宋体"/>
                <w:sz w:val="21"/>
                <w:szCs w:val="21"/>
                <w:highlight w:val="none"/>
                <w:lang w:bidi="ar"/>
              </w:rPr>
              <w:t>86.67</w:t>
            </w:r>
            <w:r>
              <w:rPr>
                <w:rFonts w:hint="eastAsia" w:ascii="宋体" w:hAnsi="宋体" w:cs="宋体"/>
                <w:sz w:val="21"/>
                <w:szCs w:val="21"/>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119"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项目效益</w:t>
            </w:r>
          </w:p>
        </w:tc>
        <w:tc>
          <w:tcPr>
            <w:tcW w:w="2119"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25.00</w:t>
            </w:r>
          </w:p>
        </w:tc>
        <w:tc>
          <w:tcPr>
            <w:tcW w:w="2120"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20.00</w:t>
            </w:r>
          </w:p>
        </w:tc>
        <w:tc>
          <w:tcPr>
            <w:tcW w:w="2120"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2119"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合计</w:t>
            </w:r>
          </w:p>
        </w:tc>
        <w:tc>
          <w:tcPr>
            <w:tcW w:w="2119"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100.00</w:t>
            </w:r>
          </w:p>
        </w:tc>
        <w:tc>
          <w:tcPr>
            <w:tcW w:w="2120"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8</w:t>
            </w:r>
            <w:r>
              <w:rPr>
                <w:rFonts w:ascii="宋体" w:hAnsi="宋体" w:cs="宋体"/>
                <w:sz w:val="21"/>
                <w:szCs w:val="21"/>
                <w:highlight w:val="none"/>
                <w:lang w:bidi="ar"/>
              </w:rPr>
              <w:t>4</w:t>
            </w:r>
            <w:r>
              <w:rPr>
                <w:rFonts w:hint="eastAsia" w:ascii="宋体" w:hAnsi="宋体" w:cs="宋体"/>
                <w:sz w:val="21"/>
                <w:szCs w:val="21"/>
                <w:highlight w:val="none"/>
                <w:lang w:bidi="ar"/>
              </w:rPr>
              <w:t>.00</w:t>
            </w:r>
          </w:p>
        </w:tc>
        <w:tc>
          <w:tcPr>
            <w:tcW w:w="2120" w:type="dxa"/>
            <w:vAlign w:val="center"/>
          </w:tcPr>
          <w:p>
            <w:pPr>
              <w:spacing w:line="280" w:lineRule="exact"/>
              <w:jc w:val="center"/>
              <w:rPr>
                <w:rFonts w:ascii="宋体" w:hAnsi="宋体" w:cs="宋体"/>
                <w:sz w:val="21"/>
                <w:szCs w:val="21"/>
                <w:highlight w:val="none"/>
                <w:lang w:bidi="ar"/>
              </w:rPr>
            </w:pPr>
            <w:r>
              <w:rPr>
                <w:rFonts w:hint="eastAsia" w:ascii="宋体" w:hAnsi="宋体" w:cs="宋体"/>
                <w:sz w:val="21"/>
                <w:szCs w:val="21"/>
                <w:highlight w:val="none"/>
                <w:lang w:bidi="ar"/>
              </w:rPr>
              <w:t>8</w:t>
            </w:r>
            <w:r>
              <w:rPr>
                <w:rFonts w:ascii="宋体" w:hAnsi="宋体" w:cs="宋体"/>
                <w:sz w:val="21"/>
                <w:szCs w:val="21"/>
                <w:highlight w:val="none"/>
                <w:lang w:bidi="ar"/>
              </w:rPr>
              <w:t>4</w:t>
            </w:r>
            <w:r>
              <w:rPr>
                <w:rFonts w:hint="eastAsia" w:ascii="宋体" w:hAnsi="宋体" w:cs="宋体"/>
                <w:sz w:val="21"/>
                <w:szCs w:val="21"/>
                <w:highlight w:val="none"/>
                <w:lang w:bidi="ar"/>
              </w:rPr>
              <w:t>.00%</w:t>
            </w:r>
          </w:p>
        </w:tc>
      </w:tr>
    </w:tbl>
    <w:p>
      <w:pPr>
        <w:spacing w:line="500" w:lineRule="exact"/>
        <w:ind w:firstLine="480" w:firstLineChars="200"/>
        <w:rPr>
          <w:rFonts w:ascii="宋体" w:hAnsi="宋体" w:cs="宋体"/>
          <w:highlight w:val="none"/>
          <w:lang w:bidi="ar"/>
        </w:rPr>
      </w:pPr>
      <w:r>
        <w:rPr>
          <w:rFonts w:hint="eastAsia" w:ascii="宋体" w:hAnsi="宋体" w:cs="宋体"/>
          <w:highlight w:val="none"/>
          <w:lang w:bidi="ar"/>
        </w:rPr>
        <w:t>该项目在项目决策方面，立项依据充分、规范，绩效目标合理、明确，资金投入预算编制科学、资金分配合理；在项目过程方面，资金管理到位，预算执行与计划相符，组织机构健全，资金使用合规；在项目产出方面，产出效果较为显著，保证了安防网平台中心机房、与市局政务网通信、安防网系统、企业物联网主机、重大危险源信号通信、安防网平台视频通信的正常运行。</w:t>
      </w:r>
    </w:p>
    <w:p>
      <w:pPr>
        <w:spacing w:line="500" w:lineRule="exact"/>
        <w:ind w:firstLine="480" w:firstLineChars="200"/>
        <w:outlineLvl w:val="1"/>
        <w:rPr>
          <w:rFonts w:ascii="宋体" w:hAnsi="宋体" w:cs="宋体"/>
          <w:bCs/>
          <w:highlight w:val="none"/>
          <w:lang w:bidi="ar"/>
        </w:rPr>
      </w:pPr>
      <w:bookmarkStart w:id="22" w:name="_Toc7247"/>
      <w:r>
        <w:rPr>
          <w:rFonts w:hint="eastAsia" w:ascii="宋体" w:hAnsi="宋体" w:cs="宋体"/>
          <w:bCs/>
          <w:highlight w:val="none"/>
          <w:lang w:bidi="ar"/>
        </w:rPr>
        <w:t>（二）项目所实现的主要绩效</w:t>
      </w:r>
      <w:bookmarkEnd w:id="22"/>
    </w:p>
    <w:p>
      <w:pPr>
        <w:spacing w:line="500" w:lineRule="exact"/>
        <w:ind w:firstLine="480" w:firstLineChars="200"/>
        <w:rPr>
          <w:rFonts w:ascii="宋体" w:hAnsi="宋体" w:cs="宋体"/>
          <w:highlight w:val="none"/>
          <w:lang w:bidi="ar"/>
        </w:rPr>
      </w:pPr>
      <w:r>
        <w:rPr>
          <w:rFonts w:hint="eastAsia" w:ascii="宋体" w:hAnsi="宋体" w:cs="宋体"/>
          <w:bCs/>
          <w:highlight w:val="none"/>
          <w:lang w:bidi="ar"/>
        </w:rPr>
        <w:t>《</w:t>
      </w:r>
      <w:r>
        <w:rPr>
          <w:rFonts w:hint="eastAsia" w:ascii="宋体" w:hAnsi="宋体" w:cs="宋体"/>
          <w:highlight w:val="none"/>
          <w:lang w:bidi="ar"/>
        </w:rPr>
        <w:t>东丽区安防网2019年度系统软件技术及系统网络设备维护服务项目》合同服务期限，天津仁和嘉境科技有限公司共对企业平台组织定期巡检255人次，故障维修排除72人次，服务回访238人次，提出合理化建议65条。保证了安防网平台中心机房、与市局政务网通信、安防网系统、企业物联网主机、重大危险源信号通信、安防网平台视频通信的正常运行。</w:t>
      </w:r>
    </w:p>
    <w:p>
      <w:pPr>
        <w:spacing w:line="360" w:lineRule="auto"/>
        <w:ind w:firstLine="482" w:firstLineChars="200"/>
        <w:outlineLvl w:val="0"/>
        <w:rPr>
          <w:rFonts w:ascii="宋体" w:hAnsi="宋体" w:cs="宋体"/>
          <w:b/>
          <w:highlight w:val="none"/>
          <w:lang w:bidi="ar"/>
        </w:rPr>
      </w:pPr>
      <w:bookmarkStart w:id="23" w:name="_Toc14915"/>
      <w:r>
        <w:rPr>
          <w:rFonts w:hint="eastAsia" w:ascii="宋体" w:hAnsi="宋体" w:cs="宋体"/>
          <w:b/>
          <w:highlight w:val="none"/>
          <w:lang w:bidi="ar"/>
        </w:rPr>
        <w:t>五、绩效评价指标分析</w:t>
      </w:r>
      <w:bookmarkEnd w:id="23"/>
    </w:p>
    <w:p>
      <w:pPr>
        <w:spacing w:line="500" w:lineRule="exact"/>
        <w:ind w:firstLine="480" w:firstLineChars="200"/>
        <w:outlineLvl w:val="1"/>
        <w:rPr>
          <w:rFonts w:ascii="宋体" w:hAnsi="宋体" w:cs="宋体"/>
          <w:bCs/>
          <w:highlight w:val="none"/>
          <w:lang w:bidi="ar"/>
        </w:rPr>
      </w:pPr>
      <w:bookmarkStart w:id="24" w:name="_Toc22668"/>
      <w:r>
        <w:rPr>
          <w:rFonts w:hint="eastAsia" w:ascii="宋体" w:hAnsi="宋体" w:cs="宋体"/>
          <w:bCs/>
          <w:highlight w:val="none"/>
          <w:lang w:bidi="ar"/>
        </w:rPr>
        <w:t>（一）项目决策</w:t>
      </w:r>
      <w:bookmarkEnd w:id="24"/>
    </w:p>
    <w:p>
      <w:pPr>
        <w:spacing w:line="500" w:lineRule="exact"/>
        <w:ind w:firstLine="480" w:firstLineChars="200"/>
        <w:rPr>
          <w:rFonts w:ascii="宋体" w:hAnsi="宋体" w:cs="宋体"/>
          <w:bCs/>
          <w:highlight w:val="none"/>
          <w:lang w:bidi="ar"/>
        </w:rPr>
      </w:pPr>
      <w:r>
        <w:rPr>
          <w:rFonts w:hint="eastAsia"/>
          <w:bCs/>
          <w:highlight w:val="none"/>
          <w:lang w:bidi="ar"/>
        </w:rPr>
        <w:t>项目决策下设项目立项、绩效目标、资金投入三大类二级指标，</w:t>
      </w:r>
      <w:r>
        <w:rPr>
          <w:rFonts w:hint="eastAsia" w:ascii="宋体" w:hAnsi="宋体" w:cs="宋体"/>
          <w:bCs/>
          <w:highlight w:val="none"/>
          <w:lang w:bidi="ar"/>
        </w:rPr>
        <w:t>设计总分20分；经评价该项总计得分15分，具体评价过程和理由分述如下：</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1、项目立项</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（1）立项依据充分性</w:t>
      </w:r>
    </w:p>
    <w:p>
      <w:pPr>
        <w:spacing w:line="500" w:lineRule="exact"/>
        <w:ind w:firstLine="480" w:firstLineChars="200"/>
        <w:rPr>
          <w:rFonts w:ascii="宋体" w:hAnsi="宋体" w:cs="宋体"/>
          <w:highlight w:val="none"/>
        </w:rPr>
      </w:pPr>
      <w:r>
        <w:rPr>
          <w:rFonts w:hint="eastAsia" w:ascii="宋体" w:hAnsi="宋体" w:cs="宋体"/>
          <w:highlight w:val="none"/>
        </w:rPr>
        <w:t>区应急局依据《中华人民共和国网络安全法》、《危险化学品在线监测平台运行规范》（DB12/T 772-2018）和天津市应急管理局《关于加强安全生产防控网运行保障工作的通知》相关要求，提出东丽区安防网2019年度系统软件技术及系统网络设备维护服务项目。立项依据明确，符合天津市及上级主管部门的文件要求。</w:t>
      </w:r>
      <w:r>
        <w:rPr>
          <w:rFonts w:hint="eastAsia" w:ascii="宋体" w:hAnsi="宋体" w:cs="宋体"/>
          <w:highlight w:val="none"/>
          <w:lang w:bidi="ar"/>
        </w:rPr>
        <w:t>计4分。</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（2）立项程序规范性</w:t>
      </w:r>
    </w:p>
    <w:p>
      <w:pPr>
        <w:spacing w:line="500" w:lineRule="exact"/>
        <w:ind w:firstLine="480" w:firstLineChars="200"/>
        <w:rPr>
          <w:rFonts w:ascii="宋体" w:hAnsi="宋体" w:cs="宋体"/>
          <w:bCs/>
          <w:highlight w:val="none"/>
          <w:lang w:bidi="ar"/>
        </w:rPr>
      </w:pPr>
      <w:r>
        <w:rPr>
          <w:rFonts w:hint="eastAsia" w:ascii="宋体" w:hAnsi="宋体" w:cs="宋体"/>
          <w:highlight w:val="none"/>
        </w:rPr>
        <w:t>区应急局向区政府提交《</w:t>
      </w:r>
      <w:r>
        <w:rPr>
          <w:rFonts w:hint="eastAsia" w:ascii="宋体" w:hAnsi="宋体" w:cs="宋体"/>
          <w:bCs/>
          <w:highlight w:val="none"/>
          <w:lang w:bidi="ar"/>
        </w:rPr>
        <w:t>区应急管理局关于申请启动区安防网2019年度系统软件技术运维及系统网络设备维护服务项目的请示》（津丽应急请﹝2019﹞25号）文件，经批复后开展东丽区安防网2019年度系统软件技术及系统网络设备维护服务项目，立项程序规范。计4分。</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2、项目绩效</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（1）绩效目标合理性</w:t>
      </w:r>
    </w:p>
    <w:p>
      <w:pPr>
        <w:spacing w:line="500" w:lineRule="exact"/>
        <w:ind w:firstLine="480" w:firstLineChars="200"/>
        <w:rPr>
          <w:rFonts w:ascii="宋体" w:hAnsi="宋体" w:cs="宋体"/>
          <w:bCs/>
          <w:highlight w:val="none"/>
          <w:lang w:bidi="ar"/>
        </w:rPr>
      </w:pPr>
      <w:r>
        <w:rPr>
          <w:rFonts w:hint="eastAsia" w:ascii="宋体" w:hAnsi="宋体" w:cs="宋体"/>
          <w:highlight w:val="none"/>
        </w:rPr>
        <w:t>该项目设置了绩效目标表，但绩效目标合理性欠缺。绩效目标表中未体现年度实际工作内容，无法判断预算产出效益效果情况。扣2分，计1分。</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（2）绩效目标明确性</w:t>
      </w:r>
    </w:p>
    <w:p>
      <w:pPr>
        <w:spacing w:line="500" w:lineRule="exact"/>
        <w:ind w:firstLine="480" w:firstLineChars="200"/>
        <w:rPr>
          <w:rFonts w:ascii="宋体" w:hAnsi="宋体" w:cs="宋体"/>
          <w:highlight w:val="none"/>
          <w:lang w:bidi="ar"/>
        </w:rPr>
      </w:pPr>
      <w:r>
        <w:rPr>
          <w:rFonts w:hint="eastAsia" w:ascii="宋体" w:hAnsi="宋体" w:cs="宋体"/>
          <w:bCs/>
          <w:highlight w:val="none"/>
          <w:lang w:bidi="ar"/>
        </w:rPr>
        <w:t>总体绩效目标设置为“用于加强安全生产防控网运行保障工作经费”，未明确东丽区安防网2019年度系统软件技术及系统网络设备维护服务内容。未设置数量指标、成本指标，目标不明确，不具备可衡量性。效益指标设置为“服务对象满意度100%”，未明确服务对象，绩效目标设置不清晰。扣2分，</w:t>
      </w:r>
      <w:r>
        <w:rPr>
          <w:rFonts w:hint="eastAsia" w:ascii="宋体" w:hAnsi="宋体" w:cs="宋体"/>
          <w:highlight w:val="none"/>
          <w:lang w:bidi="ar"/>
        </w:rPr>
        <w:t>计1分。</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3、资金投入</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（1）预算编制科学性</w:t>
      </w:r>
    </w:p>
    <w:p>
      <w:pPr>
        <w:spacing w:line="500" w:lineRule="exact"/>
        <w:ind w:firstLine="480" w:firstLineChars="200"/>
        <w:rPr>
          <w:rFonts w:ascii="宋体" w:hAnsi="宋体" w:cs="宋体"/>
          <w:highlight w:val="none"/>
          <w:lang w:bidi="ar"/>
        </w:rPr>
      </w:pPr>
      <w:r>
        <w:rPr>
          <w:rFonts w:hint="eastAsia" w:ascii="宋体" w:hAnsi="宋体" w:cs="宋体"/>
          <w:bCs/>
          <w:highlight w:val="none"/>
          <w:lang w:bidi="ar"/>
        </w:rPr>
        <w:t>该项目预算金额146</w:t>
      </w:r>
      <w:r>
        <w:rPr>
          <w:rFonts w:ascii="宋体" w:hAnsi="宋体" w:cs="宋体"/>
          <w:bCs/>
          <w:highlight w:val="none"/>
          <w:lang w:bidi="ar"/>
        </w:rPr>
        <w:t>.00</w:t>
      </w:r>
      <w:r>
        <w:rPr>
          <w:rFonts w:hint="eastAsia" w:ascii="宋体" w:hAnsi="宋体" w:cs="宋体"/>
          <w:bCs/>
          <w:highlight w:val="none"/>
          <w:lang w:bidi="ar"/>
        </w:rPr>
        <w:t>万元，在</w:t>
      </w:r>
      <w:r>
        <w:rPr>
          <w:rFonts w:hint="eastAsia" w:ascii="宋体" w:hAnsi="宋体" w:cs="宋体"/>
          <w:highlight w:val="none"/>
        </w:rPr>
        <w:t>《东丽区应急管理局安防网平台系统软件技术运维及系统网络设备维护服务项目方案》运维费用预算中明确了每项费用构成，</w:t>
      </w:r>
      <w:r>
        <w:rPr>
          <w:rFonts w:hint="eastAsia" w:ascii="宋体" w:hAnsi="宋体" w:cs="宋体"/>
          <w:bCs/>
          <w:highlight w:val="none"/>
          <w:lang w:bidi="ar"/>
        </w:rPr>
        <w:t>并经中共天津市东丽区委网络安全和信息化委员会办公室确认。预算内容较为细化与项目实施内容匹配。</w:t>
      </w:r>
      <w:r>
        <w:rPr>
          <w:rFonts w:hint="eastAsia" w:ascii="宋体" w:hAnsi="宋体" w:cs="宋体"/>
          <w:highlight w:val="none"/>
          <w:lang w:bidi="ar"/>
        </w:rPr>
        <w:t>计3分。</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（2）资金分配合理性</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区应急局针对该项目预算列示了具体预算明细，在项目执行过程中，区应管局通过公开招标购买服务的方式遴选第三方技术支撑单位提供专业服务保障，合同中标金额144.60万元，在执行过程中节约了预算资金</w:t>
      </w:r>
      <w:r>
        <w:rPr>
          <w:rFonts w:hint="eastAsia" w:ascii="宋体" w:hAnsi="宋体" w:cs="宋体"/>
          <w:highlight w:val="none"/>
        </w:rPr>
        <w:t>。</w:t>
      </w:r>
      <w:r>
        <w:rPr>
          <w:rFonts w:hint="eastAsia" w:ascii="宋体" w:hAnsi="宋体" w:cs="宋体"/>
          <w:bCs/>
          <w:highlight w:val="none"/>
          <w:lang w:bidi="ar"/>
        </w:rPr>
        <w:t>资金预算具备合理性。计3分。</w:t>
      </w:r>
    </w:p>
    <w:p>
      <w:pPr>
        <w:spacing w:line="500" w:lineRule="exact"/>
        <w:ind w:firstLine="480" w:firstLineChars="200"/>
        <w:outlineLvl w:val="1"/>
        <w:rPr>
          <w:rFonts w:ascii="宋体" w:hAnsi="宋体" w:cs="宋体"/>
          <w:bCs/>
          <w:highlight w:val="none"/>
          <w:lang w:bidi="ar"/>
        </w:rPr>
      </w:pPr>
      <w:bookmarkStart w:id="25" w:name="_Toc10227"/>
      <w:r>
        <w:rPr>
          <w:rFonts w:hint="eastAsia" w:ascii="宋体" w:hAnsi="宋体" w:cs="宋体"/>
          <w:bCs/>
          <w:highlight w:val="none"/>
          <w:lang w:bidi="ar"/>
        </w:rPr>
        <w:t>（二）项目过程</w:t>
      </w:r>
      <w:bookmarkEnd w:id="25"/>
    </w:p>
    <w:p>
      <w:pPr>
        <w:spacing w:line="500" w:lineRule="exact"/>
        <w:ind w:firstLine="480" w:firstLineChars="200"/>
        <w:rPr>
          <w:rFonts w:ascii="宋体" w:hAnsi="宋体" w:cs="宋体"/>
          <w:highlight w:val="none"/>
        </w:rPr>
      </w:pPr>
      <w:r>
        <w:rPr>
          <w:rFonts w:hint="eastAsia" w:ascii="宋体" w:hAnsi="宋体" w:cs="宋体"/>
          <w:bCs/>
          <w:highlight w:val="none"/>
          <w:lang w:bidi="ar"/>
        </w:rPr>
        <w:t>项目过程下设资金管理、组织实施两大类二级指标，设计总分25分；经评价，该项总计得分21分，具体评价过程和理由分述如下：</w:t>
      </w:r>
    </w:p>
    <w:p>
      <w:pPr>
        <w:spacing w:line="500" w:lineRule="exact"/>
        <w:ind w:firstLine="480" w:firstLineChars="200"/>
        <w:rPr>
          <w:rFonts w:ascii="宋体" w:hAnsi="宋体" w:cs="宋体"/>
          <w:highlight w:val="none"/>
        </w:rPr>
      </w:pPr>
      <w:r>
        <w:rPr>
          <w:rFonts w:hint="eastAsia" w:ascii="宋体" w:hAnsi="宋体" w:cs="宋体"/>
          <w:highlight w:val="none"/>
        </w:rPr>
        <w:t>1、资金管理</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（1）资金到位率</w:t>
      </w:r>
    </w:p>
    <w:p>
      <w:pPr>
        <w:spacing w:line="500" w:lineRule="exact"/>
        <w:ind w:firstLine="480" w:firstLineChars="200"/>
        <w:rPr>
          <w:rFonts w:ascii="宋体" w:hAnsi="宋体" w:cs="宋体"/>
          <w:bCs/>
          <w:highlight w:val="none"/>
          <w:lang w:bidi="ar"/>
        </w:rPr>
      </w:pPr>
      <w:r>
        <w:rPr>
          <w:rFonts w:hint="eastAsia" w:ascii="宋体" w:hAnsi="宋体" w:cs="宋体"/>
          <w:highlight w:val="none"/>
        </w:rPr>
        <w:t>该项目调整前预算金额为146.00万元，执行过程中通过公开招投标</w:t>
      </w:r>
      <w:r>
        <w:rPr>
          <w:rFonts w:hint="eastAsia" w:ascii="宋体" w:hAnsi="宋体" w:cs="宋体"/>
          <w:bCs/>
          <w:highlight w:val="none"/>
          <w:lang w:bidi="ar"/>
        </w:rPr>
        <w:t>与天津仁和嘉境科技有限公司签订了《东丽区安防网2019年度系统软件技术及系统网络设备维护服务项目服务合同》，合同金额144.60万元。在项目实际执行中按照90%合同额度调整年度预算总额，调整后预算金额为130.14万元，</w:t>
      </w:r>
      <w:r>
        <w:rPr>
          <w:rFonts w:hint="eastAsia" w:ascii="宋体" w:hAnsi="宋体" w:cs="宋体"/>
          <w:highlight w:val="none"/>
        </w:rPr>
        <w:t>与实际到位金额130.14万元，资金到位率为100%。计5分。</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（2）项目预算执行率</w:t>
      </w:r>
    </w:p>
    <w:p>
      <w:pPr>
        <w:spacing w:line="500" w:lineRule="exact"/>
        <w:ind w:firstLine="480" w:firstLineChars="200"/>
        <w:rPr>
          <w:rFonts w:ascii="宋体" w:hAnsi="宋体" w:cs="宋体"/>
          <w:bCs/>
          <w:highlight w:val="none"/>
          <w:lang w:bidi="ar"/>
        </w:rPr>
      </w:pPr>
      <w:r>
        <w:rPr>
          <w:rFonts w:hint="eastAsia" w:ascii="宋体" w:hAnsi="宋体" w:cs="宋体"/>
          <w:highlight w:val="none"/>
        </w:rPr>
        <w:t>截至2020年12月31日，实际支付金额为130.14万元，预算执行率100%。计5分</w:t>
      </w:r>
      <w:r>
        <w:rPr>
          <w:rFonts w:hint="eastAsia" w:ascii="宋体" w:hAnsi="宋体" w:cs="宋体"/>
          <w:bCs/>
          <w:highlight w:val="none"/>
          <w:lang w:bidi="ar"/>
        </w:rPr>
        <w:t>。</w:t>
      </w:r>
    </w:p>
    <w:p>
      <w:pPr>
        <w:spacing w:line="500" w:lineRule="exact"/>
        <w:ind w:firstLine="480" w:firstLineChars="200"/>
        <w:rPr>
          <w:rFonts w:ascii="宋体" w:hAnsi="宋体" w:cs="宋体"/>
          <w:bCs/>
          <w:highlight w:val="none"/>
          <w:lang w:bidi="ar"/>
        </w:rPr>
      </w:pPr>
      <w:r>
        <w:rPr>
          <w:rFonts w:hint="eastAsia" w:ascii="宋体" w:hAnsi="宋体" w:cs="宋体"/>
          <w:highlight w:val="none"/>
        </w:rPr>
        <w:t>（3）</w:t>
      </w:r>
      <w:r>
        <w:rPr>
          <w:rFonts w:hint="eastAsia" w:ascii="宋体" w:hAnsi="宋体" w:cs="宋体"/>
          <w:bCs/>
          <w:highlight w:val="none"/>
          <w:lang w:bidi="ar"/>
        </w:rPr>
        <w:t>资金使用合规性</w:t>
      </w:r>
    </w:p>
    <w:p>
      <w:pPr>
        <w:spacing w:line="500" w:lineRule="exact"/>
        <w:ind w:firstLine="480" w:firstLineChars="200"/>
        <w:rPr>
          <w:rFonts w:ascii="宋体" w:hAnsi="宋体" w:cs="宋体"/>
          <w:highlight w:val="none"/>
          <w:lang w:bidi="ar"/>
        </w:rPr>
      </w:pPr>
      <w:r>
        <w:rPr>
          <w:rFonts w:hint="eastAsia" w:ascii="宋体" w:hAnsi="宋体" w:cs="宋体"/>
          <w:bCs/>
          <w:highlight w:val="none"/>
          <w:lang w:bidi="ar"/>
        </w:rPr>
        <w:t>经检查《东丽区安防网2019年度系统软件技术及系统网络设备维护服务项目服务合同》以及区应急局财务资料，款项支付均附有发票，发票抬头规范，金额与财务记账金额一致，</w:t>
      </w:r>
      <w:r>
        <w:rPr>
          <w:rFonts w:hint="eastAsia" w:ascii="宋体" w:hAnsi="宋体" w:cs="宋体"/>
          <w:highlight w:val="none"/>
        </w:rPr>
        <w:t>未发现违规挤占、挪用补助资金的情况</w:t>
      </w:r>
      <w:r>
        <w:rPr>
          <w:rFonts w:hint="eastAsia" w:ascii="宋体" w:hAnsi="宋体" w:cs="宋体"/>
          <w:bCs/>
          <w:highlight w:val="none"/>
          <w:lang w:bidi="ar"/>
        </w:rPr>
        <w:t>，资金使用合规。计5分。</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2、组织实施</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（1）管理制度的健全性</w:t>
      </w:r>
    </w:p>
    <w:p>
      <w:pPr>
        <w:spacing w:line="500" w:lineRule="exact"/>
        <w:ind w:firstLine="480" w:firstLineChars="200"/>
        <w:rPr>
          <w:rFonts w:ascii="宋体" w:hAnsi="宋体" w:cs="宋体"/>
          <w:highlight w:val="none"/>
          <w:lang w:bidi="ar"/>
        </w:rPr>
      </w:pPr>
      <w:r>
        <w:rPr>
          <w:rFonts w:hint="eastAsia" w:ascii="宋体" w:hAnsi="宋体" w:cs="宋体"/>
          <w:bCs/>
          <w:highlight w:val="none"/>
          <w:lang w:bidi="ar"/>
        </w:rPr>
        <w:t>该项目执行过程中按照单位内控手册要求调整年度预算、执行公开招标程序，但未提供内控手册，影响对管理制度健全性的评价。扣2分，计3分。</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（2）制度执行有效性</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区应管局通过公开招标购买服务的方式依托第三方技术支撑单位服务保障运维工作，2019年12月10日区应管局与天津仁和嘉境科技有限公司签订了《东丽区安防网2019年度系统软件技术及系统网络设备维护服务项目》合同，该项目公开招标、资金管理、费用支出等事项均按照单位内控要求执行。该项目在执行过程中通过对安防网运维每周、每月、每季度记录，及时反馈监督服务效果和效率分析，符合《东丽区应急管理局安防网平台系统软件技术运维及系统网络设备维护服务项目方案》的要求。计</w:t>
      </w:r>
      <w:r>
        <w:rPr>
          <w:rFonts w:ascii="宋体" w:hAnsi="宋体" w:cs="宋体"/>
          <w:bCs/>
          <w:highlight w:val="none"/>
          <w:lang w:bidi="ar"/>
        </w:rPr>
        <w:t>5</w:t>
      </w:r>
      <w:r>
        <w:rPr>
          <w:rFonts w:hint="eastAsia" w:ascii="宋体" w:hAnsi="宋体" w:cs="宋体"/>
          <w:bCs/>
          <w:highlight w:val="none"/>
          <w:lang w:bidi="ar"/>
        </w:rPr>
        <w:t>分。</w:t>
      </w:r>
    </w:p>
    <w:p>
      <w:pPr>
        <w:spacing w:line="500" w:lineRule="exact"/>
        <w:ind w:firstLine="480" w:firstLineChars="200"/>
        <w:outlineLvl w:val="1"/>
        <w:rPr>
          <w:rFonts w:ascii="宋体" w:hAnsi="宋体" w:cs="宋体"/>
          <w:bCs/>
          <w:highlight w:val="none"/>
          <w:lang w:bidi="ar"/>
        </w:rPr>
      </w:pPr>
      <w:bookmarkStart w:id="26" w:name="_Toc17130"/>
      <w:r>
        <w:rPr>
          <w:rFonts w:hint="eastAsia" w:ascii="宋体" w:hAnsi="宋体" w:cs="宋体"/>
          <w:bCs/>
          <w:highlight w:val="none"/>
          <w:lang w:bidi="ar"/>
        </w:rPr>
        <w:t>（三）项目产出</w:t>
      </w:r>
      <w:bookmarkEnd w:id="26"/>
    </w:p>
    <w:p>
      <w:pPr>
        <w:spacing w:line="500" w:lineRule="exact"/>
        <w:ind w:firstLine="480" w:firstLineChars="200"/>
        <w:rPr>
          <w:rFonts w:ascii="宋体" w:hAnsi="宋体" w:cs="宋体"/>
          <w:bCs/>
          <w:highlight w:val="none"/>
          <w:lang w:bidi="ar"/>
        </w:rPr>
      </w:pPr>
      <w:bookmarkStart w:id="27" w:name="OLE_LINK48"/>
      <w:r>
        <w:rPr>
          <w:rFonts w:hint="eastAsia" w:ascii="宋体" w:hAnsi="宋体" w:cs="宋体"/>
          <w:bCs/>
          <w:highlight w:val="none"/>
          <w:lang w:bidi="ar"/>
        </w:rPr>
        <w:t>项目产出下设产出数量、产出质量、产出时效、产出成本四大类二级指标，设计总分30分；经评价，该项总计得分2</w:t>
      </w:r>
      <w:r>
        <w:rPr>
          <w:rFonts w:ascii="宋体" w:hAnsi="宋体" w:cs="宋体"/>
          <w:bCs/>
          <w:highlight w:val="none"/>
          <w:lang w:bidi="ar"/>
        </w:rPr>
        <w:t>6</w:t>
      </w:r>
      <w:r>
        <w:rPr>
          <w:rFonts w:hint="eastAsia" w:ascii="宋体" w:hAnsi="宋体" w:cs="宋体"/>
          <w:bCs/>
          <w:highlight w:val="none"/>
          <w:lang w:bidi="ar"/>
        </w:rPr>
        <w:t>分，具体评价过程和理由分述如下：</w:t>
      </w:r>
      <w:bookmarkEnd w:id="27"/>
    </w:p>
    <w:p>
      <w:pPr>
        <w:spacing w:line="500" w:lineRule="exact"/>
        <w:ind w:firstLine="480" w:firstLineChars="200"/>
        <w:rPr>
          <w:rFonts w:ascii="宋体" w:hAnsi="宋体" w:cs="宋体"/>
          <w:bCs/>
          <w:highlight w:val="none"/>
        </w:rPr>
      </w:pPr>
      <w:r>
        <w:rPr>
          <w:rFonts w:hint="eastAsia" w:ascii="宋体" w:hAnsi="宋体" w:cs="宋体"/>
          <w:bCs/>
          <w:highlight w:val="none"/>
          <w:lang w:bidi="ar"/>
        </w:rPr>
        <w:t>1、产出数量</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定期巡检完成率：根据《2020年度东丽区安防网运维工作总结报告》完成区级平台及企业平台组织定期巡检255人次，完成年初预设目标，定期巡检完成率100%。计10分。</w:t>
      </w:r>
    </w:p>
    <w:p>
      <w:pPr>
        <w:spacing w:line="500" w:lineRule="exact"/>
        <w:ind w:firstLine="480" w:firstLineChars="200"/>
        <w:rPr>
          <w:rFonts w:ascii="宋体" w:hAnsi="宋体" w:cs="宋体"/>
          <w:bCs/>
          <w:highlight w:val="none"/>
        </w:rPr>
      </w:pPr>
      <w:r>
        <w:rPr>
          <w:rFonts w:hint="eastAsia" w:ascii="宋体" w:hAnsi="宋体" w:cs="宋体"/>
          <w:bCs/>
          <w:highlight w:val="none"/>
          <w:lang w:bidi="ar"/>
        </w:rPr>
        <w:t>2、产出质量</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设备维护覆盖率：该项目具体服务由天津仁和嘉境科技有限公司提供，全年故障维修排除72人次，设备维护覆盖率100%，聘请天津市津泽青诚项目管理有限公司组织东丽区安防网2019年度系统软件技术及系统网络设备维护服务项目的验收，验收结论为“文档资料齐全，完成合同约定内容，经专家组审核，同意项目通过验收。计10分。</w:t>
      </w:r>
    </w:p>
    <w:p>
      <w:pPr>
        <w:spacing w:line="500" w:lineRule="exact"/>
        <w:ind w:firstLine="480" w:firstLineChars="200"/>
        <w:rPr>
          <w:rFonts w:ascii="宋体" w:hAnsi="宋体" w:cs="宋体"/>
          <w:bCs/>
          <w:highlight w:val="none"/>
        </w:rPr>
      </w:pPr>
      <w:r>
        <w:rPr>
          <w:rFonts w:hint="eastAsia" w:ascii="宋体" w:hAnsi="宋体" w:cs="宋体"/>
          <w:bCs/>
          <w:highlight w:val="none"/>
          <w:lang w:bidi="ar"/>
        </w:rPr>
        <w:t>3、产出时效</w:t>
      </w:r>
    </w:p>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完成及时率：2019年12月10日，区应急局与天津仁和嘉境科技有限公司签订了《服务合同》，合同约定服务期限为“签订合同之日起一年”。依据合同服务期限约定，该项目服务期限至2020年12月9日，验收日期为2021年9月10日，验收工作开展不够及时。扣1分，计4分。</w:t>
      </w:r>
    </w:p>
    <w:p>
      <w:pPr>
        <w:spacing w:line="500" w:lineRule="exact"/>
        <w:ind w:firstLine="480" w:firstLineChars="200"/>
        <w:rPr>
          <w:rFonts w:ascii="宋体" w:hAnsi="宋体" w:cs="宋体"/>
          <w:bCs/>
          <w:highlight w:val="none"/>
        </w:rPr>
      </w:pPr>
      <w:r>
        <w:rPr>
          <w:rFonts w:hint="eastAsia" w:ascii="宋体" w:hAnsi="宋体" w:cs="宋体"/>
          <w:bCs/>
          <w:highlight w:val="none"/>
          <w:lang w:bidi="ar"/>
        </w:rPr>
        <w:t>4、产出成本</w:t>
      </w:r>
    </w:p>
    <w:p>
      <w:pPr>
        <w:spacing w:line="500" w:lineRule="exact"/>
        <w:ind w:firstLine="480" w:firstLineChars="200"/>
        <w:rPr>
          <w:rFonts w:ascii="宋体" w:hAnsi="宋体" w:cs="宋体"/>
          <w:highlight w:val="none"/>
        </w:rPr>
      </w:pPr>
      <w:r>
        <w:rPr>
          <w:rFonts w:hint="eastAsia" w:ascii="宋体" w:hAnsi="宋体" w:cs="宋体"/>
          <w:bCs/>
          <w:highlight w:val="none"/>
          <w:lang w:bidi="ar"/>
        </w:rPr>
        <w:t xml:space="preserve"> 2020年系统网络设备维护费用预算资金146.00万元，实际合同签署金额144.60万元，成本节约1.40万元，成本节约率全年使用该专项资金共144.60万元，成本节约率0.96%。扣3分，计2分。</w:t>
      </w:r>
    </w:p>
    <w:p>
      <w:pPr>
        <w:spacing w:line="500" w:lineRule="exact"/>
        <w:ind w:firstLine="480" w:firstLineChars="200"/>
        <w:outlineLvl w:val="1"/>
        <w:rPr>
          <w:rFonts w:ascii="宋体" w:hAnsi="宋体" w:cs="宋体"/>
          <w:bCs/>
          <w:highlight w:val="none"/>
        </w:rPr>
      </w:pPr>
      <w:bookmarkStart w:id="28" w:name="_Toc32431"/>
      <w:r>
        <w:rPr>
          <w:rFonts w:hint="eastAsia" w:ascii="宋体" w:hAnsi="宋体" w:cs="宋体"/>
          <w:bCs/>
          <w:highlight w:val="none"/>
          <w:lang w:bidi="ar"/>
        </w:rPr>
        <w:t>（四）项目绩效</w:t>
      </w:r>
      <w:bookmarkEnd w:id="28"/>
    </w:p>
    <w:p>
      <w:pPr>
        <w:spacing w:line="500" w:lineRule="exact"/>
        <w:ind w:firstLine="480" w:firstLineChars="200"/>
        <w:rPr>
          <w:rFonts w:ascii="宋体" w:hAnsi="宋体" w:cs="宋体"/>
          <w:bCs/>
          <w:highlight w:val="none"/>
        </w:rPr>
      </w:pPr>
      <w:bookmarkStart w:id="29" w:name="OLE_LINK52"/>
      <w:bookmarkStart w:id="30" w:name="OLE_LINK45"/>
      <w:r>
        <w:rPr>
          <w:rFonts w:hint="eastAsia" w:ascii="宋体" w:hAnsi="宋体" w:cs="宋体"/>
          <w:bCs/>
          <w:highlight w:val="none"/>
          <w:lang w:bidi="ar"/>
        </w:rPr>
        <w:t>项目绩效下设社会绩效、可持续影响指标、满意度</w:t>
      </w:r>
      <w:r>
        <w:rPr>
          <w:rFonts w:hint="eastAsia" w:ascii="宋体" w:hAnsi="宋体" w:cs="宋体"/>
          <w:bCs/>
          <w:highlight w:val="none"/>
          <w:lang w:val="en-US" w:eastAsia="zh-CN" w:bidi="ar"/>
        </w:rPr>
        <w:t>三</w:t>
      </w:r>
      <w:r>
        <w:rPr>
          <w:rFonts w:hint="eastAsia" w:ascii="宋体" w:hAnsi="宋体" w:cs="宋体"/>
          <w:bCs/>
          <w:highlight w:val="none"/>
          <w:lang w:bidi="ar"/>
        </w:rPr>
        <w:t>个</w:t>
      </w:r>
      <w:r>
        <w:rPr>
          <w:rFonts w:hint="eastAsia" w:ascii="宋体" w:hAnsi="宋体" w:cs="宋体"/>
          <w:bCs/>
          <w:highlight w:val="none"/>
          <w:lang w:val="en-US" w:eastAsia="zh-CN" w:bidi="ar"/>
        </w:rPr>
        <w:t>二</w:t>
      </w:r>
      <w:r>
        <w:rPr>
          <w:rFonts w:hint="eastAsia" w:ascii="宋体" w:hAnsi="宋体" w:cs="宋体"/>
          <w:bCs/>
          <w:highlight w:val="none"/>
          <w:lang w:bidi="ar"/>
        </w:rPr>
        <w:t>级指标，设计总分为25分，项目绩效评价得分20分，具体评价过程和理由分述如下：</w:t>
      </w:r>
    </w:p>
    <w:bookmarkEnd w:id="29"/>
    <w:bookmarkEnd w:id="30"/>
    <w:p>
      <w:pPr>
        <w:spacing w:line="500" w:lineRule="exact"/>
        <w:ind w:firstLine="480" w:firstLineChars="200"/>
        <w:rPr>
          <w:rFonts w:ascii="宋体" w:hAnsi="宋体" w:cs="宋体"/>
          <w:bCs/>
          <w:highlight w:val="none"/>
          <w:lang w:bidi="ar"/>
        </w:rPr>
      </w:pPr>
      <w:r>
        <w:rPr>
          <w:rFonts w:hint="eastAsia" w:ascii="宋体" w:hAnsi="宋体" w:cs="宋体"/>
          <w:bCs/>
          <w:highlight w:val="none"/>
          <w:lang w:bidi="ar"/>
        </w:rPr>
        <w:t>1、社会效益</w:t>
      </w:r>
    </w:p>
    <w:p>
      <w:pPr>
        <w:spacing w:line="500" w:lineRule="exact"/>
        <w:ind w:firstLine="480" w:firstLineChars="200"/>
        <w:rPr>
          <w:rFonts w:ascii="宋体" w:hAnsi="宋体" w:cs="宋体"/>
          <w:highlight w:val="none"/>
          <w:lang w:bidi="ar"/>
        </w:rPr>
      </w:pPr>
      <w:r>
        <w:rPr>
          <w:rFonts w:hint="eastAsia" w:ascii="宋体" w:hAnsi="宋体" w:cs="宋体"/>
          <w:highlight w:val="none"/>
          <w:lang w:bidi="ar"/>
        </w:rPr>
        <w:t>服务回访率：通过资金投入服务回访238人次</w:t>
      </w:r>
      <w:r>
        <w:rPr>
          <w:rFonts w:hint="eastAsia" w:ascii="宋体" w:hAnsi="宋体" w:cs="宋体"/>
          <w:bCs/>
          <w:highlight w:val="none"/>
          <w:lang w:bidi="ar"/>
        </w:rPr>
        <w:t>，</w:t>
      </w:r>
      <w:r>
        <w:rPr>
          <w:rFonts w:hint="eastAsia" w:ascii="宋体" w:hAnsi="宋体" w:cs="宋体"/>
          <w:highlight w:val="none"/>
        </w:rPr>
        <w:t>有效的保证了安防网系统的平稳运行，</w:t>
      </w:r>
      <w:r>
        <w:rPr>
          <w:rFonts w:hint="eastAsia" w:ascii="宋体" w:hAnsi="宋体" w:cs="宋体"/>
          <w:highlight w:val="none"/>
          <w:lang w:bidi="ar"/>
        </w:rPr>
        <w:t>服务回访率完成指标100%。</w:t>
      </w:r>
      <w:r>
        <w:rPr>
          <w:rFonts w:hint="eastAsia" w:ascii="宋体" w:hAnsi="宋体" w:cs="宋体"/>
          <w:bCs/>
          <w:highlight w:val="none"/>
          <w:lang w:bidi="ar"/>
        </w:rPr>
        <w:t>计8分</w:t>
      </w:r>
      <w:r>
        <w:rPr>
          <w:rFonts w:hint="eastAsia" w:ascii="宋体" w:hAnsi="宋体" w:cs="宋体"/>
          <w:highlight w:val="none"/>
          <w:lang w:bidi="ar"/>
        </w:rPr>
        <w:t>。</w:t>
      </w:r>
    </w:p>
    <w:p>
      <w:pPr>
        <w:spacing w:line="500" w:lineRule="exact"/>
        <w:ind w:firstLine="480" w:firstLineChars="200"/>
        <w:rPr>
          <w:rFonts w:ascii="宋体" w:hAnsi="宋体" w:cs="宋体"/>
          <w:highlight w:val="none"/>
        </w:rPr>
      </w:pPr>
      <w:r>
        <w:rPr>
          <w:rFonts w:hint="eastAsia" w:ascii="宋体" w:hAnsi="宋体" w:cs="宋体"/>
          <w:highlight w:val="none"/>
        </w:rPr>
        <w:t>2、</w:t>
      </w:r>
      <w:r>
        <w:rPr>
          <w:rFonts w:hint="eastAsia" w:ascii="宋体" w:hAnsi="宋体" w:cs="宋体"/>
          <w:bCs/>
          <w:highlight w:val="none"/>
          <w:lang w:bidi="ar"/>
        </w:rPr>
        <w:t>可持续影响指标</w:t>
      </w:r>
    </w:p>
    <w:p>
      <w:pPr>
        <w:spacing w:line="500" w:lineRule="exact"/>
        <w:ind w:firstLine="480" w:firstLineChars="200"/>
        <w:rPr>
          <w:rFonts w:ascii="宋体" w:hAnsi="宋体" w:cs="宋体"/>
          <w:highlight w:val="none"/>
        </w:rPr>
      </w:pPr>
      <w:r>
        <w:rPr>
          <w:rFonts w:hint="eastAsia" w:ascii="宋体" w:hAnsi="宋体" w:cs="宋体"/>
          <w:highlight w:val="none"/>
        </w:rPr>
        <w:t>提高安全生产率：通过项目实施，能够有效提高安全生产率，安全生产率完成指标值100%。计8分。</w:t>
      </w:r>
    </w:p>
    <w:p>
      <w:pPr>
        <w:spacing w:line="500" w:lineRule="exact"/>
        <w:ind w:firstLine="480" w:firstLineChars="200"/>
        <w:rPr>
          <w:rFonts w:ascii="宋体" w:hAnsi="宋体" w:cs="宋体"/>
          <w:highlight w:val="none"/>
        </w:rPr>
      </w:pPr>
      <w:r>
        <w:rPr>
          <w:rFonts w:hint="eastAsia" w:ascii="宋体" w:hAnsi="宋体" w:cs="宋体"/>
          <w:highlight w:val="none"/>
        </w:rPr>
        <w:t>3、</w:t>
      </w:r>
      <w:r>
        <w:rPr>
          <w:rFonts w:hint="eastAsia" w:ascii="宋体" w:hAnsi="宋体" w:cs="宋体"/>
          <w:bCs/>
          <w:highlight w:val="none"/>
          <w:lang w:bidi="ar"/>
        </w:rPr>
        <w:t>满意度</w:t>
      </w:r>
    </w:p>
    <w:p>
      <w:pPr>
        <w:spacing w:line="500" w:lineRule="exact"/>
        <w:ind w:firstLine="480" w:firstLineChars="200"/>
        <w:rPr>
          <w:rFonts w:ascii="宋体" w:hAnsi="宋体" w:cs="宋体"/>
          <w:highlight w:val="none"/>
        </w:rPr>
      </w:pPr>
      <w:r>
        <w:rPr>
          <w:rFonts w:hint="eastAsia" w:ascii="宋体" w:hAnsi="宋体" w:cs="宋体"/>
          <w:highlight w:val="none"/>
        </w:rPr>
        <w:t>通过对项目的实施，进一步加强了安防网网络安全保障工作，确保安防网网络环境安全稳定，但未针对设备维护服务开展满意度问卷调查，对满意度指标的实现情况缺少资料支撑。扣5分，计4分。</w:t>
      </w:r>
    </w:p>
    <w:p>
      <w:pPr>
        <w:spacing w:line="500" w:lineRule="exact"/>
        <w:ind w:firstLine="482" w:firstLineChars="200"/>
        <w:outlineLvl w:val="0"/>
        <w:rPr>
          <w:rFonts w:ascii="宋体" w:hAnsi="宋体" w:cs="宋体"/>
          <w:b/>
          <w:highlight w:val="none"/>
          <w:lang w:bidi="ar"/>
        </w:rPr>
      </w:pPr>
      <w:bookmarkStart w:id="31" w:name="_Toc27856"/>
      <w:r>
        <w:rPr>
          <w:rFonts w:hint="eastAsia" w:ascii="宋体" w:hAnsi="宋体" w:cs="宋体"/>
          <w:b/>
          <w:highlight w:val="none"/>
          <w:lang w:bidi="ar"/>
        </w:rPr>
        <w:t>六、存在问题</w:t>
      </w:r>
      <w:bookmarkEnd w:id="31"/>
    </w:p>
    <w:p>
      <w:pPr>
        <w:spacing w:line="500" w:lineRule="exact"/>
        <w:ind w:firstLine="480" w:firstLineChars="200"/>
        <w:outlineLvl w:val="1"/>
        <w:rPr>
          <w:rFonts w:ascii="宋体" w:hAnsi="宋体" w:cs="宋体"/>
          <w:highlight w:val="none"/>
        </w:rPr>
      </w:pPr>
      <w:bookmarkStart w:id="32" w:name="_Toc10191"/>
      <w:bookmarkStart w:id="33" w:name="_Toc19067"/>
      <w:r>
        <w:rPr>
          <w:rFonts w:hint="eastAsia" w:ascii="宋体" w:hAnsi="宋体" w:cs="宋体"/>
          <w:highlight w:val="none"/>
        </w:rPr>
        <w:t>（一）绩效指标设置不够明确</w:t>
      </w:r>
      <w:bookmarkEnd w:id="32"/>
      <w:bookmarkEnd w:id="33"/>
    </w:p>
    <w:p>
      <w:pPr>
        <w:spacing w:line="500" w:lineRule="exact"/>
        <w:ind w:firstLine="480" w:firstLineChars="200"/>
        <w:rPr>
          <w:rFonts w:ascii="宋体" w:hAnsi="宋体" w:cs="宋体"/>
          <w:highlight w:val="none"/>
        </w:rPr>
      </w:pPr>
      <w:r>
        <w:rPr>
          <w:rFonts w:hint="eastAsia" w:ascii="宋体" w:hAnsi="宋体" w:cs="宋体"/>
          <w:highlight w:val="none"/>
        </w:rPr>
        <w:t>绩效目标表未设置数量指标、成本指标，未体现年度维护服务工作内容，绩效目标表合理性不足。未明确服务对象，绩效目标的可衡量性较差，绩效指标有待进一步细化。</w:t>
      </w:r>
    </w:p>
    <w:p>
      <w:pPr>
        <w:spacing w:line="500" w:lineRule="exact"/>
        <w:ind w:firstLine="480" w:firstLineChars="200"/>
        <w:outlineLvl w:val="1"/>
        <w:rPr>
          <w:rFonts w:ascii="宋体" w:hAnsi="宋体" w:cs="宋体"/>
          <w:highlight w:val="none"/>
        </w:rPr>
      </w:pPr>
      <w:bookmarkStart w:id="34" w:name="_Toc27031"/>
      <w:bookmarkStart w:id="35" w:name="_Toc12894"/>
      <w:r>
        <w:rPr>
          <w:rFonts w:hint="eastAsia" w:ascii="宋体" w:hAnsi="宋体" w:cs="宋体"/>
          <w:highlight w:val="none"/>
        </w:rPr>
        <w:t>（二）未针对服务对象开展满意度问卷调查</w:t>
      </w:r>
      <w:bookmarkEnd w:id="34"/>
      <w:bookmarkEnd w:id="35"/>
    </w:p>
    <w:p>
      <w:pPr>
        <w:spacing w:line="500" w:lineRule="exact"/>
        <w:ind w:firstLine="480" w:firstLineChars="200"/>
        <w:rPr>
          <w:rFonts w:ascii="宋体" w:hAnsi="宋体" w:cs="宋体"/>
          <w:b/>
          <w:highlight w:val="none"/>
          <w:lang w:bidi="ar"/>
        </w:rPr>
      </w:pPr>
      <w:r>
        <w:rPr>
          <w:rFonts w:hint="eastAsia" w:ascii="宋体" w:hAnsi="宋体" w:cs="宋体"/>
          <w:highlight w:val="none"/>
        </w:rPr>
        <w:t>未针对年度项目实施情况及时开展受益群体满意度问卷调查，对项目实施情况的满意度情况缺少资料支撑，对项目实施效果实现情况的支撑资料不完整，影响对项目实施效果的评价。</w:t>
      </w:r>
    </w:p>
    <w:p>
      <w:pPr>
        <w:spacing w:line="500" w:lineRule="exact"/>
        <w:ind w:firstLine="482" w:firstLineChars="200"/>
        <w:outlineLvl w:val="0"/>
        <w:rPr>
          <w:rFonts w:ascii="宋体" w:hAnsi="宋体" w:cs="宋体"/>
          <w:b/>
          <w:highlight w:val="none"/>
          <w:lang w:bidi="ar"/>
        </w:rPr>
      </w:pPr>
      <w:bookmarkStart w:id="36" w:name="_Toc805"/>
      <w:r>
        <w:rPr>
          <w:rFonts w:hint="eastAsia" w:ascii="宋体" w:hAnsi="宋体" w:cs="宋体"/>
          <w:b/>
          <w:highlight w:val="none"/>
          <w:lang w:bidi="ar"/>
        </w:rPr>
        <w:t>七、相关建议</w:t>
      </w:r>
      <w:bookmarkEnd w:id="36"/>
    </w:p>
    <w:p>
      <w:pPr>
        <w:spacing w:line="500" w:lineRule="exact"/>
        <w:ind w:firstLine="480" w:firstLineChars="200"/>
        <w:outlineLvl w:val="1"/>
        <w:rPr>
          <w:rFonts w:ascii="宋体" w:hAnsi="宋体" w:cs="宋体"/>
          <w:highlight w:val="none"/>
        </w:rPr>
      </w:pPr>
      <w:bookmarkStart w:id="37" w:name="_Toc21307"/>
      <w:bookmarkStart w:id="38" w:name="_Toc13375"/>
      <w:r>
        <w:rPr>
          <w:rFonts w:hint="eastAsia" w:ascii="宋体" w:hAnsi="宋体" w:cs="宋体"/>
          <w:highlight w:val="none"/>
        </w:rPr>
        <w:t>（一）进一步完善绩效目标表</w:t>
      </w:r>
      <w:bookmarkEnd w:id="37"/>
      <w:bookmarkEnd w:id="38"/>
    </w:p>
    <w:p>
      <w:pPr>
        <w:spacing w:line="500" w:lineRule="exact"/>
        <w:ind w:firstLine="480" w:firstLineChars="200"/>
        <w:rPr>
          <w:rFonts w:ascii="宋体" w:hAnsi="宋体" w:cs="宋体"/>
          <w:highlight w:val="none"/>
        </w:rPr>
      </w:pPr>
      <w:r>
        <w:rPr>
          <w:rFonts w:hint="eastAsia" w:ascii="宋体" w:hAnsi="宋体" w:cs="宋体"/>
          <w:highlight w:val="none"/>
        </w:rPr>
        <w:t>结合项目实际情况，规范填制绩效目标表，明确年度维护服务内容及质量要求，进一步完善绩效目标表的设置。全面细化考虑指标影响，科学设置绩效目标表，保障安防网系统的平稳运行。</w:t>
      </w:r>
    </w:p>
    <w:p>
      <w:pPr>
        <w:spacing w:line="500" w:lineRule="exact"/>
        <w:ind w:firstLine="480" w:firstLineChars="200"/>
        <w:outlineLvl w:val="1"/>
        <w:rPr>
          <w:rFonts w:ascii="宋体" w:hAnsi="宋体" w:cs="宋体"/>
          <w:highlight w:val="none"/>
        </w:rPr>
      </w:pPr>
      <w:bookmarkStart w:id="39" w:name="_Toc6226"/>
      <w:bookmarkStart w:id="40" w:name="_Toc24202"/>
      <w:r>
        <w:rPr>
          <w:rFonts w:hint="eastAsia" w:ascii="宋体" w:hAnsi="宋体" w:cs="宋体"/>
          <w:highlight w:val="none"/>
        </w:rPr>
        <w:t>（二）重视对绩效成果支撑资料的收集</w:t>
      </w:r>
      <w:bookmarkEnd w:id="39"/>
      <w:bookmarkEnd w:id="40"/>
    </w:p>
    <w:p>
      <w:pPr>
        <w:spacing w:line="500" w:lineRule="exact"/>
        <w:ind w:firstLine="480" w:firstLineChars="200"/>
        <w:rPr>
          <w:rFonts w:ascii="宋体" w:hAnsi="宋体" w:cs="宋体"/>
          <w:highlight w:val="none"/>
        </w:rPr>
      </w:pPr>
      <w:r>
        <w:rPr>
          <w:rFonts w:hint="eastAsia" w:ascii="宋体" w:hAnsi="宋体" w:cs="宋体"/>
          <w:highlight w:val="none"/>
        </w:rPr>
        <w:t>通过东丽区安防网2019年度系统软件技术及系统网络设备维护服务项目实施，重点关注该项目的产出及效果的评价，在满意度问卷调查的基础上，进行数据统计分析，对项目的资金绩效进行评价分析，客观反映项目的效果。</w:t>
      </w:r>
    </w:p>
    <w:p>
      <w:pPr>
        <w:spacing w:line="500" w:lineRule="exact"/>
        <w:ind w:firstLine="480" w:firstLineChars="200"/>
        <w:rPr>
          <w:rFonts w:ascii="宋体" w:hAnsi="宋体" w:cs="宋体"/>
          <w:highlight w:val="none"/>
        </w:rPr>
      </w:pPr>
    </w:p>
    <w:p>
      <w:pPr>
        <w:spacing w:line="500" w:lineRule="exact"/>
        <w:rPr>
          <w:rFonts w:ascii="宋体" w:hAnsi="宋体" w:cs="宋体"/>
          <w:highlight w:val="none"/>
          <w:lang w:bidi="ar"/>
        </w:rPr>
      </w:pPr>
    </w:p>
    <w:p>
      <w:pPr>
        <w:spacing w:line="500" w:lineRule="exact"/>
        <w:ind w:firstLine="480" w:firstLineChars="200"/>
        <w:rPr>
          <w:rFonts w:ascii="宋体" w:hAnsi="宋体" w:cs="宋体"/>
          <w:highlight w:val="none"/>
        </w:rPr>
      </w:pPr>
      <w:r>
        <w:rPr>
          <w:rFonts w:hint="eastAsia" w:ascii="宋体" w:hAnsi="宋体" w:cs="宋体"/>
          <w:highlight w:val="none"/>
        </w:rPr>
        <w:t>附件：东丽区安防网2019年度系统软件技术及系统网络设备维护服务项目</w:t>
      </w:r>
      <w:bookmarkStart w:id="41" w:name="_GoBack"/>
      <w:bookmarkEnd w:id="41"/>
      <w:r>
        <w:rPr>
          <w:rFonts w:hint="eastAsia" w:ascii="宋体" w:hAnsi="宋体" w:cs="宋体"/>
          <w:highlight w:val="none"/>
        </w:rPr>
        <w:t>绩效评价体系评分表</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E05E20"/>
    <w:multiLevelType w:val="multilevel"/>
    <w:tmpl w:val="4EE05E20"/>
    <w:lvl w:ilvl="0" w:tentative="0">
      <w:start w:val="1"/>
      <w:numFmt w:val="chineseCounting"/>
      <w:pStyle w:val="3"/>
      <w:suff w:val="nothing"/>
      <w:lvlText w:val="%1、"/>
      <w:lvlJc w:val="left"/>
      <w:pPr>
        <w:ind w:left="0" w:firstLine="0"/>
      </w:pPr>
      <w:rPr>
        <w:rFonts w:hint="eastAsia"/>
      </w:rPr>
    </w:lvl>
    <w:lvl w:ilvl="1" w:tentative="0">
      <w:start w:val="1"/>
      <w:numFmt w:val="chineseCounting"/>
      <w:pStyle w:val="4"/>
      <w:suff w:val="nothing"/>
      <w:lvlText w:val="（%2）"/>
      <w:lvlJc w:val="left"/>
      <w:pPr>
        <w:ind w:left="283" w:firstLine="0"/>
      </w:pPr>
      <w:rPr>
        <w:rFonts w:hint="eastAsia"/>
        <w:lang w:val="en-US"/>
      </w:rPr>
    </w:lvl>
    <w:lvl w:ilvl="2" w:tentative="0">
      <w:start w:val="1"/>
      <w:numFmt w:val="decimal"/>
      <w:suff w:val="nothing"/>
      <w:lvlText w:val="%3．"/>
      <w:lvlJc w:val="left"/>
      <w:pPr>
        <w:ind w:left="-40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5775C1B2"/>
    <w:multiLevelType w:val="singleLevel"/>
    <w:tmpl w:val="5775C1B2"/>
    <w:lvl w:ilvl="0" w:tentative="0">
      <w:start w:val="1"/>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9A0162"/>
    <w:rsid w:val="00054CF6"/>
    <w:rsid w:val="00091E8E"/>
    <w:rsid w:val="00096391"/>
    <w:rsid w:val="000D6064"/>
    <w:rsid w:val="001B0BE6"/>
    <w:rsid w:val="00201E82"/>
    <w:rsid w:val="0020366D"/>
    <w:rsid w:val="002C4AF5"/>
    <w:rsid w:val="002D3A7A"/>
    <w:rsid w:val="00322BD1"/>
    <w:rsid w:val="00385394"/>
    <w:rsid w:val="00385E9E"/>
    <w:rsid w:val="003B05BC"/>
    <w:rsid w:val="004B2FDB"/>
    <w:rsid w:val="004E7493"/>
    <w:rsid w:val="00547429"/>
    <w:rsid w:val="0058431C"/>
    <w:rsid w:val="005856F6"/>
    <w:rsid w:val="005B1106"/>
    <w:rsid w:val="005E3F95"/>
    <w:rsid w:val="006416E4"/>
    <w:rsid w:val="006E66CA"/>
    <w:rsid w:val="0070581B"/>
    <w:rsid w:val="00765167"/>
    <w:rsid w:val="00865FF5"/>
    <w:rsid w:val="00896326"/>
    <w:rsid w:val="008A4097"/>
    <w:rsid w:val="009C3B40"/>
    <w:rsid w:val="009F346A"/>
    <w:rsid w:val="00A166DC"/>
    <w:rsid w:val="00A45AB9"/>
    <w:rsid w:val="00AE4CDB"/>
    <w:rsid w:val="00B27607"/>
    <w:rsid w:val="00B75C3F"/>
    <w:rsid w:val="00B867B2"/>
    <w:rsid w:val="00BA27F4"/>
    <w:rsid w:val="00BD006E"/>
    <w:rsid w:val="00BF4C13"/>
    <w:rsid w:val="00CB372B"/>
    <w:rsid w:val="00CD1EF0"/>
    <w:rsid w:val="00D17DDC"/>
    <w:rsid w:val="00D445F0"/>
    <w:rsid w:val="00D710B8"/>
    <w:rsid w:val="00DA6E29"/>
    <w:rsid w:val="00DC3766"/>
    <w:rsid w:val="00DF446F"/>
    <w:rsid w:val="00E020A2"/>
    <w:rsid w:val="00E07FA0"/>
    <w:rsid w:val="00EB2229"/>
    <w:rsid w:val="00F20C5B"/>
    <w:rsid w:val="00FB077E"/>
    <w:rsid w:val="00FC33FA"/>
    <w:rsid w:val="00FD2B93"/>
    <w:rsid w:val="00FF5B49"/>
    <w:rsid w:val="0219304F"/>
    <w:rsid w:val="034877EC"/>
    <w:rsid w:val="067D59FE"/>
    <w:rsid w:val="070E336D"/>
    <w:rsid w:val="078F76C3"/>
    <w:rsid w:val="07B05960"/>
    <w:rsid w:val="09BE5717"/>
    <w:rsid w:val="09F3120E"/>
    <w:rsid w:val="0A3D532E"/>
    <w:rsid w:val="0BA36ACB"/>
    <w:rsid w:val="0E532E33"/>
    <w:rsid w:val="0FCB77DB"/>
    <w:rsid w:val="14881BDF"/>
    <w:rsid w:val="14885A24"/>
    <w:rsid w:val="17D01087"/>
    <w:rsid w:val="196654C9"/>
    <w:rsid w:val="1C50124F"/>
    <w:rsid w:val="1C7A5BA8"/>
    <w:rsid w:val="1E74103D"/>
    <w:rsid w:val="1F06438B"/>
    <w:rsid w:val="1F8359DC"/>
    <w:rsid w:val="212636E3"/>
    <w:rsid w:val="233F6D50"/>
    <w:rsid w:val="23515DF1"/>
    <w:rsid w:val="25B35BEF"/>
    <w:rsid w:val="26940053"/>
    <w:rsid w:val="287C7261"/>
    <w:rsid w:val="2A8231FA"/>
    <w:rsid w:val="2AE4125A"/>
    <w:rsid w:val="2B8C660A"/>
    <w:rsid w:val="3094430E"/>
    <w:rsid w:val="32281930"/>
    <w:rsid w:val="32EE3247"/>
    <w:rsid w:val="35A0699A"/>
    <w:rsid w:val="36FF1A23"/>
    <w:rsid w:val="39C87740"/>
    <w:rsid w:val="3B761B92"/>
    <w:rsid w:val="3EDE0BDC"/>
    <w:rsid w:val="431C6B08"/>
    <w:rsid w:val="44510327"/>
    <w:rsid w:val="46D342C3"/>
    <w:rsid w:val="4729393A"/>
    <w:rsid w:val="483A4518"/>
    <w:rsid w:val="484A6B90"/>
    <w:rsid w:val="49E43AED"/>
    <w:rsid w:val="4A9D48C2"/>
    <w:rsid w:val="4C7810B2"/>
    <w:rsid w:val="4C9A1776"/>
    <w:rsid w:val="50B545CE"/>
    <w:rsid w:val="52E02961"/>
    <w:rsid w:val="53BD2563"/>
    <w:rsid w:val="5569376F"/>
    <w:rsid w:val="57646B6A"/>
    <w:rsid w:val="58931AE5"/>
    <w:rsid w:val="589A0162"/>
    <w:rsid w:val="5B89229B"/>
    <w:rsid w:val="5BC123C2"/>
    <w:rsid w:val="5D8F71E4"/>
    <w:rsid w:val="5DD61A60"/>
    <w:rsid w:val="5F38241F"/>
    <w:rsid w:val="61377DF9"/>
    <w:rsid w:val="66F74423"/>
    <w:rsid w:val="68713792"/>
    <w:rsid w:val="69B108F4"/>
    <w:rsid w:val="6AB45290"/>
    <w:rsid w:val="6B6E08BB"/>
    <w:rsid w:val="6D19068E"/>
    <w:rsid w:val="6DB620A5"/>
    <w:rsid w:val="701904DB"/>
    <w:rsid w:val="72186197"/>
    <w:rsid w:val="763A3FE7"/>
    <w:rsid w:val="76DB2A57"/>
    <w:rsid w:val="7A383EA6"/>
    <w:rsid w:val="7B187E19"/>
    <w:rsid w:val="7B5B68D0"/>
    <w:rsid w:val="7BAC35DA"/>
    <w:rsid w:val="7DBE5814"/>
    <w:rsid w:val="7E157BBE"/>
    <w:rsid w:val="7EC24845"/>
    <w:rsid w:val="7F961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4"/>
      <w:szCs w:val="24"/>
      <w:lang w:val="en-US" w:eastAsia="zh-CN" w:bidi="ar-SA"/>
    </w:rPr>
  </w:style>
  <w:style w:type="paragraph" w:styleId="3">
    <w:name w:val="heading 1"/>
    <w:basedOn w:val="1"/>
    <w:next w:val="1"/>
    <w:qFormat/>
    <w:uiPriority w:val="0"/>
    <w:pPr>
      <w:keepNext/>
      <w:keepLines/>
      <w:numPr>
        <w:ilvl w:val="0"/>
        <w:numId w:val="1"/>
      </w:numPr>
      <w:spacing w:before="340" w:after="330" w:line="576" w:lineRule="auto"/>
      <w:outlineLvl w:val="0"/>
    </w:pPr>
    <w:rPr>
      <w:b/>
      <w:kern w:val="44"/>
    </w:rPr>
  </w:style>
  <w:style w:type="paragraph" w:styleId="4">
    <w:name w:val="heading 2"/>
    <w:basedOn w:val="1"/>
    <w:next w:val="1"/>
    <w:unhideWhenUsed/>
    <w:qFormat/>
    <w:uiPriority w:val="0"/>
    <w:pPr>
      <w:keepNext/>
      <w:keepLines/>
      <w:numPr>
        <w:ilvl w:val="1"/>
        <w:numId w:val="1"/>
      </w:numPr>
      <w:tabs>
        <w:tab w:val="left" w:pos="0"/>
      </w:tabs>
      <w:spacing w:before="260" w:after="260" w:line="360" w:lineRule="auto"/>
      <w:outlineLvl w:val="1"/>
    </w:pPr>
    <w:rPr>
      <w:rFonts w:ascii="Arial" w:hAnsi="Arial" w:cs="Times New Roman"/>
      <w:szCs w:val="2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cs="Calibri"/>
      <w:szCs w:val="21"/>
    </w:rPr>
  </w:style>
  <w:style w:type="paragraph" w:styleId="5">
    <w:name w:val="Body Text Indent"/>
    <w:basedOn w:val="1"/>
    <w:qFormat/>
    <w:uiPriority w:val="0"/>
    <w:pPr>
      <w:snapToGrid w:val="0"/>
      <w:spacing w:before="60" w:after="60" w:line="300" w:lineRule="auto"/>
      <w:ind w:left="540"/>
    </w:pPr>
    <w:rPr>
      <w:rFonts w:ascii="Arial" w:hAnsi="Arial"/>
    </w:rPr>
  </w:style>
  <w:style w:type="paragraph" w:styleId="6">
    <w:name w:val="footer"/>
    <w:basedOn w:val="1"/>
    <w:qFormat/>
    <w:uiPriority w:val="99"/>
    <w:pPr>
      <w:tabs>
        <w:tab w:val="center" w:pos="4153"/>
        <w:tab w:val="right" w:pos="8306"/>
      </w:tabs>
      <w:snapToGrid w:val="0"/>
      <w:jc w:val="left"/>
    </w:pPr>
    <w:rPr>
      <w:sz w:val="18"/>
    </w:rPr>
  </w:style>
  <w:style w:type="paragraph" w:styleId="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41"/>
    <w:basedOn w:val="10"/>
    <w:qFormat/>
    <w:uiPriority w:val="0"/>
    <w:rPr>
      <w:rFonts w:hint="default" w:ascii="Times New Roman" w:hAnsi="Times New Roman" w:cs="Times New Roman"/>
      <w:color w:val="000000"/>
      <w:sz w:val="21"/>
      <w:szCs w:val="21"/>
      <w:u w:val="none"/>
    </w:rPr>
  </w:style>
  <w:style w:type="paragraph" w:customStyle="1" w:styleId="12">
    <w:name w:val="Default"/>
    <w:qFormat/>
    <w:uiPriority w:val="0"/>
    <w:pPr>
      <w:widowControl w:val="0"/>
      <w:autoSpaceDE w:val="0"/>
      <w:autoSpaceDN w:val="0"/>
      <w:adjustRightInd w:val="0"/>
    </w:pPr>
    <w:rPr>
      <w:rFonts w:ascii="......." w:hAnsi="......." w:eastAsia="......." w:cs="......."/>
      <w:color w:val="000000"/>
      <w:sz w:val="24"/>
      <w:szCs w:val="24"/>
      <w:lang w:val="en-US" w:eastAsia="zh-CN" w:bidi="ar-SA"/>
    </w:rPr>
  </w:style>
  <w:style w:type="character" w:customStyle="1" w:styleId="13">
    <w:name w:val="font31"/>
    <w:basedOn w:val="10"/>
    <w:qFormat/>
    <w:uiPriority w:val="0"/>
    <w:rPr>
      <w:rFonts w:ascii="宋体" w:hAnsi="宋体" w:eastAsia="宋体" w:cs="宋体"/>
      <w:color w:val="000000"/>
      <w:sz w:val="28"/>
      <w:szCs w:val="28"/>
      <w:u w:val="none"/>
    </w:rPr>
  </w:style>
  <w:style w:type="character" w:customStyle="1" w:styleId="14">
    <w:name w:val="font11"/>
    <w:basedOn w:val="10"/>
    <w:qFormat/>
    <w:uiPriority w:val="0"/>
    <w:rPr>
      <w:rFonts w:hint="eastAsia" w:ascii="宋体" w:hAnsi="宋体" w:eastAsia="宋体" w:cs="宋体"/>
      <w:color w:val="000000"/>
      <w:sz w:val="28"/>
      <w:szCs w:val="28"/>
      <w:u w:val="none"/>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7">
    <w:name w:val="font21"/>
    <w:basedOn w:val="10"/>
    <w:qFormat/>
    <w:uiPriority w:val="0"/>
    <w:rPr>
      <w:rFonts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1558</Words>
  <Characters>8881</Characters>
  <Lines>74</Lines>
  <Paragraphs>20</Paragraphs>
  <TotalTime>0</TotalTime>
  <ScaleCrop>false</ScaleCrop>
  <LinksUpToDate>false</LinksUpToDate>
  <CharactersWithSpaces>10419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2021-12-30T03:14:00Z</dcterms:created>
  <dc:creator>小石头</dc:creator>
  <cp:lastModifiedBy>小石头</cp:lastModifiedBy>
  <dcterms:modified xsi:type="dcterms:W3CDTF">2022-01-07T04:44:46Z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740E4794C96842B99635667DF6677494</vt:lpwstr>
  </property>
</Properties>
</file>