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964" w:afterLines="950" w:line="360" w:lineRule="auto"/>
        <w:jc w:val="center"/>
        <w:rPr>
          <w:rFonts w:hint="eastAsia" w:ascii="方正小标宋简体" w:hAnsi="Times New Roman" w:eastAsia="方正小标宋简体" w:cs="Times New Roman"/>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Times New Roman" w:eastAsia="方正小标宋简体" w:cs="Times New Roman"/>
          <w:bCs/>
          <w:sz w:val="48"/>
          <w:szCs w:val="48"/>
        </w:rPr>
      </w:pPr>
      <w:r>
        <w:rPr>
          <w:rFonts w:hint="eastAsia" w:ascii="方正小标宋简体" w:hAnsi="Times New Roman" w:eastAsia="方正小标宋简体" w:cs="Times New Roman"/>
          <w:bCs/>
          <w:sz w:val="48"/>
          <w:szCs w:val="48"/>
        </w:rPr>
        <w:t>2020年</w:t>
      </w:r>
      <w:r>
        <w:rPr>
          <w:rFonts w:hint="eastAsia" w:ascii="方正小标宋简体" w:hAnsi="Times New Roman" w:eastAsia="方正小标宋简体" w:cs="Times New Roman"/>
          <w:bCs/>
          <w:sz w:val="48"/>
          <w:szCs w:val="48"/>
          <w:lang w:val="en-US" w:eastAsia="zh-CN"/>
        </w:rPr>
        <w:t>东丽区</w:t>
      </w:r>
      <w:r>
        <w:rPr>
          <w:rFonts w:hint="eastAsia" w:ascii="方正小标宋简体" w:hAnsi="Times New Roman" w:eastAsia="方正小标宋简体" w:cs="Times New Roman"/>
          <w:bCs/>
          <w:sz w:val="48"/>
          <w:szCs w:val="48"/>
        </w:rPr>
        <w:t>普惠性民办幼儿园</w:t>
      </w:r>
    </w:p>
    <w:p>
      <w:pPr>
        <w:spacing w:after="2964" w:afterLines="950" w:line="360" w:lineRule="auto"/>
        <w:jc w:val="center"/>
        <w:rPr>
          <w:rFonts w:hint="eastAsia" w:ascii="方正小标宋简体" w:hAnsi="Times New Roman" w:eastAsia="方正小标宋简体" w:cs="Times New Roman"/>
          <w:bCs/>
          <w:sz w:val="48"/>
          <w:szCs w:val="48"/>
        </w:rPr>
      </w:pPr>
      <w:r>
        <w:rPr>
          <w:rFonts w:hint="eastAsia" w:ascii="方正小标宋简体" w:hAnsi="Times New Roman" w:eastAsia="方正小标宋简体" w:cs="Times New Roman"/>
          <w:bCs/>
          <w:sz w:val="48"/>
          <w:szCs w:val="48"/>
        </w:rPr>
        <w:t>生均经费补助资金项目绩效评价报告</w:t>
      </w:r>
    </w:p>
    <w:p>
      <w:pPr>
        <w:spacing w:after="2964" w:afterLines="950" w:line="360" w:lineRule="auto"/>
        <w:jc w:val="center"/>
        <w:rPr>
          <w:rFonts w:hint="eastAsia" w:ascii="方正小标宋简体" w:hAnsi="Times New Roman" w:eastAsia="方正小标宋简体" w:cs="Times New Roman"/>
          <w:bCs/>
          <w:sz w:val="48"/>
          <w:szCs w:val="48"/>
        </w:rPr>
      </w:pPr>
    </w:p>
    <w:p>
      <w:pPr>
        <w:spacing w:line="360" w:lineRule="auto"/>
        <w:ind w:right="178" w:rightChars="85"/>
        <w:jc w:val="center"/>
        <w:rPr>
          <w:rFonts w:hint="default" w:ascii="方正小标宋简体" w:hAnsi="Times New Roman" w:eastAsia="方正小标宋简体" w:cs="Times New Roman"/>
          <w:bCs/>
          <w:sz w:val="36"/>
          <w:szCs w:val="36"/>
          <w:lang w:val="en-US" w:eastAsia="zh-CN"/>
        </w:rPr>
      </w:pPr>
      <w:r>
        <w:rPr>
          <w:rFonts w:hint="eastAsia" w:ascii="方正小标宋简体" w:hAnsi="Times New Roman" w:eastAsia="方正小标宋简体" w:cs="Times New Roman"/>
          <w:bCs/>
          <w:sz w:val="36"/>
          <w:szCs w:val="36"/>
          <w:lang w:val="en-US" w:eastAsia="zh-CN"/>
        </w:rPr>
        <w:t>天津丞明会计师事务所（普通合伙）</w:t>
      </w:r>
    </w:p>
    <w:p>
      <w:pPr>
        <w:jc w:val="center"/>
        <w:rPr>
          <w:rFonts w:ascii="方正小标宋简体" w:hAnsi="Times New Roman" w:eastAsia="方正小标宋简体" w:cs="Times New Roman"/>
          <w:bCs/>
          <w:sz w:val="36"/>
          <w:szCs w:val="36"/>
        </w:rPr>
      </w:pPr>
      <w:r>
        <w:rPr>
          <w:rFonts w:hint="eastAsia" w:ascii="方正小标宋简体" w:hAnsi="Times New Roman" w:eastAsia="方正小标宋简体" w:cs="Times New Roman"/>
          <w:bCs/>
          <w:sz w:val="36"/>
          <w:szCs w:val="36"/>
        </w:rPr>
        <w:t>202</w:t>
      </w:r>
      <w:r>
        <w:rPr>
          <w:rFonts w:hint="eastAsia" w:ascii="方正小标宋简体" w:hAnsi="Times New Roman" w:eastAsia="方正小标宋简体" w:cs="Times New Roman"/>
          <w:bCs/>
          <w:sz w:val="36"/>
          <w:szCs w:val="36"/>
          <w:lang w:val="en-US" w:eastAsia="zh-CN"/>
        </w:rPr>
        <w:t>2</w:t>
      </w:r>
      <w:r>
        <w:rPr>
          <w:rFonts w:hint="eastAsia" w:ascii="方正小标宋简体" w:hAnsi="Times New Roman" w:eastAsia="方正小标宋简体" w:cs="Times New Roman"/>
          <w:bCs/>
          <w:sz w:val="36"/>
          <w:szCs w:val="36"/>
        </w:rPr>
        <w:t>年</w:t>
      </w:r>
      <w:r>
        <w:rPr>
          <w:rFonts w:hint="eastAsia" w:ascii="方正小标宋简体" w:hAnsi="Times New Roman" w:eastAsia="方正小标宋简体" w:cs="Times New Roman"/>
          <w:bCs/>
          <w:sz w:val="36"/>
          <w:szCs w:val="36"/>
          <w:lang w:val="en-US" w:eastAsia="zh-CN"/>
        </w:rPr>
        <w:t>1</w:t>
      </w:r>
      <w:r>
        <w:rPr>
          <w:rFonts w:hint="eastAsia" w:ascii="方正小标宋简体" w:hAnsi="Times New Roman" w:eastAsia="方正小标宋简体" w:cs="Times New Roman"/>
          <w:bCs/>
          <w:sz w:val="36"/>
          <w:szCs w:val="36"/>
        </w:rPr>
        <w:t>月</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Arial Narrow" w:hAnsi="Arial Narrow" w:eastAsia="方正小标宋简体" w:cs="Arial Narrow"/>
          <w:bCs/>
          <w:sz w:val="36"/>
          <w:szCs w:val="36"/>
        </w:rPr>
      </w:pPr>
      <w:bookmarkStart w:id="100" w:name="_GoBack"/>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Arial Narrow" w:hAnsi="Arial Narrow" w:eastAsia="黑体" w:cs="Arial Narrow"/>
          <w:b/>
          <w:bCs/>
          <w:kern w:val="0"/>
          <w:sz w:val="30"/>
          <w:szCs w:val="30"/>
          <w:lang w:val="zh-CN"/>
        </w:rPr>
      </w:pPr>
      <w:r>
        <w:rPr>
          <w:rFonts w:hint="default" w:ascii="Arial Narrow" w:hAnsi="Arial Narrow" w:eastAsia="黑体" w:cs="Arial Narrow"/>
          <w:b/>
          <w:bCs/>
          <w:kern w:val="0"/>
          <w:sz w:val="30"/>
          <w:szCs w:val="30"/>
          <w:lang w:val="zh-CN"/>
        </w:rPr>
        <w:t>目  录</w:t>
      </w:r>
    </w:p>
    <w:sdt>
      <w:sdtPr>
        <w:rPr>
          <w:rFonts w:hint="default" w:ascii="Arial Narrow" w:hAnsi="Arial Narrow" w:cs="Arial Narrow"/>
          <w:lang w:val="zh-CN"/>
        </w:rPr>
        <w:id w:val="1240213343"/>
        <w:docPartObj>
          <w:docPartGallery w:val="Table of Contents"/>
          <w:docPartUnique/>
        </w:docPartObj>
      </w:sdtPr>
      <w:sdtEndPr>
        <w:rPr>
          <w:b/>
          <w:bCs/>
          <w:sz w:val="32"/>
          <w:szCs w:val="32"/>
          <w:lang w:val="zh-CN"/>
        </w:rPr>
      </w:sdtEndPr>
      <w:sdtContent>
        <w:p>
          <w:pPr>
            <w:pStyle w:val="7"/>
            <w:keepNext w:val="0"/>
            <w:keepLines w:val="0"/>
            <w:pageBreakBefore w:val="0"/>
            <w:widowControl w:val="0"/>
            <w:tabs>
              <w:tab w:val="right" w:leader="dot" w:pos="8296"/>
            </w:tabs>
            <w:kinsoku/>
            <w:wordWrap/>
            <w:overflowPunct/>
            <w:topLinePunct w:val="0"/>
            <w:autoSpaceDE/>
            <w:autoSpaceDN/>
            <w:bidi w:val="0"/>
            <w:adjustRightInd/>
            <w:snapToGrid/>
            <w:spacing w:line="288" w:lineRule="auto"/>
            <w:textAlignment w:val="auto"/>
            <w:rPr>
              <w:rFonts w:hint="default" w:ascii="Arial Narrow" w:hAnsi="Arial Narrow" w:cs="Arial Narrow" w:eastAsiaTheme="minorEastAsia"/>
              <w:b/>
              <w:bCs/>
              <w:kern w:val="2"/>
              <w:sz w:val="32"/>
              <w:szCs w:val="32"/>
              <w:lang w:val="zh-CN" w:eastAsia="zh-CN" w:bidi="ar-SA"/>
            </w:rPr>
          </w:pPr>
          <w:r>
            <w:rPr>
              <w:rFonts w:hint="default" w:ascii="Arial Narrow" w:hAnsi="Arial Narrow" w:cs="Arial Narrow"/>
              <w:sz w:val="32"/>
              <w:szCs w:val="32"/>
            </w:rPr>
            <w:fldChar w:fldCharType="begin"/>
          </w:r>
          <w:r>
            <w:rPr>
              <w:rFonts w:hint="default" w:ascii="Arial Narrow" w:hAnsi="Arial Narrow" w:cs="Arial Narrow"/>
              <w:sz w:val="32"/>
              <w:szCs w:val="32"/>
            </w:rPr>
            <w:instrText xml:space="preserve"> TOC \o "1-3" \h \z \u </w:instrText>
          </w:r>
          <w:r>
            <w:rPr>
              <w:rFonts w:hint="default" w:ascii="Arial Narrow" w:hAnsi="Arial Narrow" w:cs="Arial Narrow"/>
              <w:sz w:val="32"/>
              <w:szCs w:val="32"/>
            </w:rPr>
            <w:fldChar w:fldCharType="separate"/>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_Toc11276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一、基本情况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_Toc11276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_Toc31175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（一）项目概况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_Toc31175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_Toc9762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1.项目背景</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_Toc9762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_Toc20952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 xml:space="preserve">2. </w:t>
          </w:r>
          <w:r>
            <w:rPr>
              <w:rFonts w:hint="default" w:ascii="Arial Narrow" w:hAnsi="Arial Narrow" w:eastAsia="仿宋" w:cs="Arial Narrow"/>
              <w:sz w:val="28"/>
              <w:szCs w:val="28"/>
              <w:highlight w:val="none"/>
            </w:rPr>
            <w:t>主要内容及实施情况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_Toc20952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_Toc10259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3.资金投入和使用情况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_Toc10259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_Toc5699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（二）项目绩效目标</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_Toc5699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黑体" w:cs="Arial Narrow"/>
              <w:sz w:val="30"/>
              <w:szCs w:val="30"/>
            </w:rPr>
          </w:pPr>
          <w:r>
            <w:rPr>
              <w:rFonts w:hint="default" w:ascii="Arial Narrow" w:hAnsi="Arial Narrow" w:eastAsia="黑体" w:cs="Arial Narrow"/>
              <w:bCs/>
              <w:sz w:val="30"/>
              <w:szCs w:val="30"/>
              <w:lang w:val="zh-CN"/>
            </w:rPr>
            <w:fldChar w:fldCharType="begin"/>
          </w:r>
          <w:r>
            <w:rPr>
              <w:rFonts w:hint="default" w:ascii="Arial Narrow" w:hAnsi="Arial Narrow" w:eastAsia="黑体" w:cs="Arial Narrow"/>
              <w:bCs/>
              <w:sz w:val="30"/>
              <w:szCs w:val="30"/>
              <w:lang w:val="zh-CN"/>
            </w:rPr>
            <w:instrText xml:space="preserve"> HYPERLINK \l _Toc16960 </w:instrText>
          </w:r>
          <w:r>
            <w:rPr>
              <w:rFonts w:hint="default" w:ascii="Arial Narrow" w:hAnsi="Arial Narrow" w:eastAsia="黑体" w:cs="Arial Narrow"/>
              <w:bCs/>
              <w:sz w:val="30"/>
              <w:szCs w:val="30"/>
              <w:lang w:val="zh-CN"/>
            </w:rPr>
            <w:fldChar w:fldCharType="separate"/>
          </w:r>
          <w:r>
            <w:rPr>
              <w:rFonts w:hint="default" w:ascii="Arial Narrow" w:hAnsi="Arial Narrow" w:eastAsia="黑体" w:cs="Arial Narrow"/>
              <w:sz w:val="30"/>
              <w:szCs w:val="30"/>
            </w:rPr>
            <w:t>二、绩效评价工作开展情况</w:t>
          </w:r>
          <w:r>
            <w:rPr>
              <w:rFonts w:hint="default" w:ascii="Arial Narrow" w:hAnsi="Arial Narrow" w:eastAsia="黑体" w:cs="Arial Narrow"/>
              <w:sz w:val="30"/>
              <w:szCs w:val="30"/>
            </w:rPr>
            <w:tab/>
          </w:r>
          <w:r>
            <w:rPr>
              <w:rFonts w:hint="default" w:ascii="Arial Narrow" w:hAnsi="Arial Narrow" w:eastAsia="黑体" w:cs="Arial Narrow"/>
              <w:sz w:val="30"/>
              <w:szCs w:val="30"/>
            </w:rPr>
            <w:fldChar w:fldCharType="begin"/>
          </w:r>
          <w:r>
            <w:rPr>
              <w:rFonts w:hint="default" w:ascii="Arial Narrow" w:hAnsi="Arial Narrow" w:eastAsia="黑体" w:cs="Arial Narrow"/>
              <w:sz w:val="30"/>
              <w:szCs w:val="30"/>
            </w:rPr>
            <w:instrText xml:space="preserve"> PAGEREF _Toc16960 \h </w:instrText>
          </w:r>
          <w:r>
            <w:rPr>
              <w:rFonts w:hint="default" w:ascii="Arial Narrow" w:hAnsi="Arial Narrow" w:eastAsia="黑体" w:cs="Arial Narrow"/>
              <w:sz w:val="30"/>
              <w:szCs w:val="30"/>
            </w:rPr>
            <w:fldChar w:fldCharType="separate"/>
          </w:r>
          <w:r>
            <w:rPr>
              <w:rFonts w:hint="default" w:ascii="Arial Narrow" w:hAnsi="Arial Narrow" w:eastAsia="黑体" w:cs="Arial Narrow"/>
              <w:sz w:val="30"/>
              <w:szCs w:val="30"/>
            </w:rPr>
            <w:t>3</w:t>
          </w:r>
          <w:r>
            <w:rPr>
              <w:rFonts w:hint="default" w:ascii="Arial Narrow" w:hAnsi="Arial Narrow" w:eastAsia="黑体" w:cs="Arial Narrow"/>
              <w:sz w:val="30"/>
              <w:szCs w:val="30"/>
            </w:rPr>
            <w:fldChar w:fldCharType="end"/>
          </w:r>
          <w:r>
            <w:rPr>
              <w:rFonts w:hint="default" w:ascii="Arial Narrow" w:hAnsi="Arial Narrow" w:eastAsia="黑体" w:cs="Arial Narrow"/>
              <w:bCs/>
              <w:sz w:val="30"/>
              <w:szCs w:val="30"/>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_Toc16140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（一）绩效评价目的、对象和范围</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_Toc16140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_Toc22794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1.绩效评价目的</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_Toc22794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_Toc25053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2.绩效评价对象</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_Toc25053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4</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_Toc27439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3.绩效评价范围</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_Toc27439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4</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_Toc11079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（二）绩效评价原则、评价指标体系、评价方法与标准</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_Toc11079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4</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_Toc16517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1.绩效评价原则</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_Toc16517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4</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_Toc814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2.绩效评价指标体系</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_Toc814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5</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_Toc27447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3.绩效评价方法与标准</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_Toc27447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9</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_Toc15745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（三）绩效评价工作过程</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_Toc15745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11</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_Toc6180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1.评价工作准备阶段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_Toc6180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11</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_Toc420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2.评价工作实施阶段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_Toc420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11</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黑体" w:cs="Arial Narrow"/>
              <w:sz w:val="30"/>
              <w:szCs w:val="30"/>
            </w:rPr>
          </w:pPr>
          <w:r>
            <w:rPr>
              <w:rFonts w:hint="default" w:ascii="Arial Narrow" w:hAnsi="Arial Narrow" w:eastAsia="黑体" w:cs="Arial Narrow"/>
              <w:bCs/>
              <w:sz w:val="30"/>
              <w:szCs w:val="30"/>
              <w:lang w:val="zh-CN"/>
            </w:rPr>
            <w:fldChar w:fldCharType="begin"/>
          </w:r>
          <w:r>
            <w:rPr>
              <w:rFonts w:hint="default" w:ascii="Arial Narrow" w:hAnsi="Arial Narrow" w:eastAsia="黑体" w:cs="Arial Narrow"/>
              <w:bCs/>
              <w:sz w:val="30"/>
              <w:szCs w:val="30"/>
              <w:lang w:val="zh-CN"/>
            </w:rPr>
            <w:instrText xml:space="preserve"> HYPERLINK \l _Toc20254 </w:instrText>
          </w:r>
          <w:r>
            <w:rPr>
              <w:rFonts w:hint="default" w:ascii="Arial Narrow" w:hAnsi="Arial Narrow" w:eastAsia="黑体" w:cs="Arial Narrow"/>
              <w:bCs/>
              <w:sz w:val="30"/>
              <w:szCs w:val="30"/>
              <w:lang w:val="zh-CN"/>
            </w:rPr>
            <w:fldChar w:fldCharType="separate"/>
          </w:r>
          <w:r>
            <w:rPr>
              <w:rFonts w:hint="default" w:ascii="Arial Narrow" w:hAnsi="Arial Narrow" w:eastAsia="黑体" w:cs="Arial Narrow"/>
              <w:sz w:val="30"/>
              <w:szCs w:val="30"/>
            </w:rPr>
            <w:t>三、综合评价情况及评价结论</w:t>
          </w:r>
          <w:r>
            <w:rPr>
              <w:rFonts w:hint="default" w:ascii="Arial Narrow" w:hAnsi="Arial Narrow" w:eastAsia="黑体" w:cs="Arial Narrow"/>
              <w:sz w:val="30"/>
              <w:szCs w:val="30"/>
            </w:rPr>
            <w:tab/>
          </w:r>
          <w:r>
            <w:rPr>
              <w:rFonts w:hint="default" w:ascii="Arial Narrow" w:hAnsi="Arial Narrow" w:eastAsia="黑体" w:cs="Arial Narrow"/>
              <w:sz w:val="30"/>
              <w:szCs w:val="30"/>
            </w:rPr>
            <w:fldChar w:fldCharType="begin"/>
          </w:r>
          <w:r>
            <w:rPr>
              <w:rFonts w:hint="default" w:ascii="Arial Narrow" w:hAnsi="Arial Narrow" w:eastAsia="黑体" w:cs="Arial Narrow"/>
              <w:sz w:val="30"/>
              <w:szCs w:val="30"/>
            </w:rPr>
            <w:instrText xml:space="preserve"> PAGEREF _Toc20254 \h </w:instrText>
          </w:r>
          <w:r>
            <w:rPr>
              <w:rFonts w:hint="default" w:ascii="Arial Narrow" w:hAnsi="Arial Narrow" w:eastAsia="黑体" w:cs="Arial Narrow"/>
              <w:sz w:val="30"/>
              <w:szCs w:val="30"/>
            </w:rPr>
            <w:fldChar w:fldCharType="separate"/>
          </w:r>
          <w:r>
            <w:rPr>
              <w:rFonts w:hint="default" w:ascii="Arial Narrow" w:hAnsi="Arial Narrow" w:eastAsia="黑体" w:cs="Arial Narrow"/>
              <w:sz w:val="30"/>
              <w:szCs w:val="30"/>
            </w:rPr>
            <w:t>12</w:t>
          </w:r>
          <w:r>
            <w:rPr>
              <w:rFonts w:hint="default" w:ascii="Arial Narrow" w:hAnsi="Arial Narrow" w:eastAsia="黑体" w:cs="Arial Narrow"/>
              <w:sz w:val="30"/>
              <w:szCs w:val="30"/>
            </w:rPr>
            <w:fldChar w:fldCharType="end"/>
          </w:r>
          <w:r>
            <w:rPr>
              <w:rFonts w:hint="default" w:ascii="Arial Narrow" w:hAnsi="Arial Narrow" w:eastAsia="黑体" w:cs="Arial Narrow"/>
              <w:bCs/>
              <w:sz w:val="30"/>
              <w:szCs w:val="30"/>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黑体" w:cs="Arial Narrow"/>
              <w:sz w:val="30"/>
              <w:szCs w:val="30"/>
            </w:rPr>
          </w:pPr>
          <w:r>
            <w:rPr>
              <w:rFonts w:hint="default" w:ascii="Arial Narrow" w:hAnsi="Arial Narrow" w:eastAsia="黑体" w:cs="Arial Narrow"/>
              <w:bCs/>
              <w:sz w:val="30"/>
              <w:szCs w:val="30"/>
              <w:lang w:val="zh-CN"/>
            </w:rPr>
            <w:fldChar w:fldCharType="begin"/>
          </w:r>
          <w:r>
            <w:rPr>
              <w:rFonts w:hint="default" w:ascii="Arial Narrow" w:hAnsi="Arial Narrow" w:eastAsia="黑体" w:cs="Arial Narrow"/>
              <w:bCs/>
              <w:sz w:val="30"/>
              <w:szCs w:val="30"/>
              <w:lang w:val="zh-CN"/>
            </w:rPr>
            <w:instrText xml:space="preserve"> HYPERLINK \l _Toc9782 </w:instrText>
          </w:r>
          <w:r>
            <w:rPr>
              <w:rFonts w:hint="default" w:ascii="Arial Narrow" w:hAnsi="Arial Narrow" w:eastAsia="黑体" w:cs="Arial Narrow"/>
              <w:bCs/>
              <w:sz w:val="30"/>
              <w:szCs w:val="30"/>
              <w:lang w:val="zh-CN"/>
            </w:rPr>
            <w:fldChar w:fldCharType="separate"/>
          </w:r>
          <w:r>
            <w:rPr>
              <w:rFonts w:hint="default" w:ascii="Arial Narrow" w:hAnsi="Arial Narrow" w:eastAsia="黑体" w:cs="Arial Narrow"/>
              <w:sz w:val="30"/>
              <w:szCs w:val="30"/>
            </w:rPr>
            <w:t>四、绩效评价指标分析</w:t>
          </w:r>
          <w:r>
            <w:rPr>
              <w:rFonts w:hint="default" w:ascii="Arial Narrow" w:hAnsi="Arial Narrow" w:eastAsia="黑体" w:cs="Arial Narrow"/>
              <w:sz w:val="30"/>
              <w:szCs w:val="30"/>
            </w:rPr>
            <w:tab/>
          </w:r>
          <w:r>
            <w:rPr>
              <w:rFonts w:hint="default" w:ascii="Arial Narrow" w:hAnsi="Arial Narrow" w:eastAsia="黑体" w:cs="Arial Narrow"/>
              <w:sz w:val="30"/>
              <w:szCs w:val="30"/>
            </w:rPr>
            <w:fldChar w:fldCharType="begin"/>
          </w:r>
          <w:r>
            <w:rPr>
              <w:rFonts w:hint="default" w:ascii="Arial Narrow" w:hAnsi="Arial Narrow" w:eastAsia="黑体" w:cs="Arial Narrow"/>
              <w:sz w:val="30"/>
              <w:szCs w:val="30"/>
            </w:rPr>
            <w:instrText xml:space="preserve"> PAGEREF _Toc9782 \h </w:instrText>
          </w:r>
          <w:r>
            <w:rPr>
              <w:rFonts w:hint="default" w:ascii="Arial Narrow" w:hAnsi="Arial Narrow" w:eastAsia="黑体" w:cs="Arial Narrow"/>
              <w:sz w:val="30"/>
              <w:szCs w:val="30"/>
            </w:rPr>
            <w:fldChar w:fldCharType="separate"/>
          </w:r>
          <w:r>
            <w:rPr>
              <w:rFonts w:hint="default" w:ascii="Arial Narrow" w:hAnsi="Arial Narrow" w:eastAsia="黑体" w:cs="Arial Narrow"/>
              <w:sz w:val="30"/>
              <w:szCs w:val="30"/>
            </w:rPr>
            <w:t>13</w:t>
          </w:r>
          <w:r>
            <w:rPr>
              <w:rFonts w:hint="default" w:ascii="Arial Narrow" w:hAnsi="Arial Narrow" w:eastAsia="黑体" w:cs="Arial Narrow"/>
              <w:sz w:val="30"/>
              <w:szCs w:val="30"/>
            </w:rPr>
            <w:fldChar w:fldCharType="end"/>
          </w:r>
          <w:r>
            <w:rPr>
              <w:rFonts w:hint="default" w:ascii="Arial Narrow" w:hAnsi="Arial Narrow" w:eastAsia="黑体" w:cs="Arial Narrow"/>
              <w:bCs/>
              <w:sz w:val="30"/>
              <w:szCs w:val="30"/>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_Toc2570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（一）项目决策情况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_Toc2570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_Toc27684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1.项目立项</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_Toc27684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_Toc576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2.绩效目标</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_Toc576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15</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_Toc6945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3.资金投入</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_Toc6945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16</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_Toc19857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（二）项目过程情况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_Toc19857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16</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_Toc21236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1.资金管理</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_Toc21236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17</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_Toc28898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2.组织实施</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_Toc28898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18</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_Toc16456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（三）项目产出情况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_Toc16456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19</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_Toc31804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1.产出数量</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_Toc31804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19</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_Toc6361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2.产出质量</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_Toc6361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19</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_Toc9411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3.产出时效</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_Toc9411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19</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_Toc8760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4.产出成本</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_Toc8760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20</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_Toc13038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（四）项目效益情况</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_Toc13038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20</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_Toc24444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1.项目效益</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_Toc24444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20</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黑体" w:cs="Arial Narrow"/>
              <w:sz w:val="30"/>
              <w:szCs w:val="30"/>
            </w:rPr>
          </w:pPr>
          <w:r>
            <w:rPr>
              <w:rFonts w:hint="default" w:ascii="Arial Narrow" w:hAnsi="Arial Narrow" w:eastAsia="黑体" w:cs="Arial Narrow"/>
              <w:bCs/>
              <w:sz w:val="30"/>
              <w:szCs w:val="30"/>
              <w:lang w:val="zh-CN"/>
            </w:rPr>
            <w:fldChar w:fldCharType="begin"/>
          </w:r>
          <w:r>
            <w:rPr>
              <w:rFonts w:hint="default" w:ascii="Arial Narrow" w:hAnsi="Arial Narrow" w:eastAsia="黑体" w:cs="Arial Narrow"/>
              <w:bCs/>
              <w:sz w:val="30"/>
              <w:szCs w:val="30"/>
              <w:lang w:val="zh-CN"/>
            </w:rPr>
            <w:instrText xml:space="preserve"> HYPERLINK \l _Toc4084 </w:instrText>
          </w:r>
          <w:r>
            <w:rPr>
              <w:rFonts w:hint="default" w:ascii="Arial Narrow" w:hAnsi="Arial Narrow" w:eastAsia="黑体" w:cs="Arial Narrow"/>
              <w:bCs/>
              <w:sz w:val="30"/>
              <w:szCs w:val="30"/>
              <w:lang w:val="zh-CN"/>
            </w:rPr>
            <w:fldChar w:fldCharType="separate"/>
          </w:r>
          <w:r>
            <w:rPr>
              <w:rFonts w:hint="default" w:ascii="Arial Narrow" w:hAnsi="Arial Narrow" w:eastAsia="黑体" w:cs="Arial Narrow"/>
              <w:sz w:val="30"/>
              <w:szCs w:val="30"/>
            </w:rPr>
            <w:t>五、存在的问题</w:t>
          </w:r>
          <w:r>
            <w:rPr>
              <w:rFonts w:hint="default" w:ascii="Arial Narrow" w:hAnsi="Arial Narrow" w:eastAsia="黑体" w:cs="Arial Narrow"/>
              <w:sz w:val="30"/>
              <w:szCs w:val="30"/>
            </w:rPr>
            <w:tab/>
          </w:r>
          <w:r>
            <w:rPr>
              <w:rFonts w:hint="default" w:ascii="Arial Narrow" w:hAnsi="Arial Narrow" w:eastAsia="黑体" w:cs="Arial Narrow"/>
              <w:sz w:val="30"/>
              <w:szCs w:val="30"/>
            </w:rPr>
            <w:fldChar w:fldCharType="begin"/>
          </w:r>
          <w:r>
            <w:rPr>
              <w:rFonts w:hint="default" w:ascii="Arial Narrow" w:hAnsi="Arial Narrow" w:eastAsia="黑体" w:cs="Arial Narrow"/>
              <w:sz w:val="30"/>
              <w:szCs w:val="30"/>
            </w:rPr>
            <w:instrText xml:space="preserve"> PAGEREF _Toc4084 \h </w:instrText>
          </w:r>
          <w:r>
            <w:rPr>
              <w:rFonts w:hint="default" w:ascii="Arial Narrow" w:hAnsi="Arial Narrow" w:eastAsia="黑体" w:cs="Arial Narrow"/>
              <w:sz w:val="30"/>
              <w:szCs w:val="30"/>
            </w:rPr>
            <w:fldChar w:fldCharType="separate"/>
          </w:r>
          <w:r>
            <w:rPr>
              <w:rFonts w:hint="default" w:ascii="Arial Narrow" w:hAnsi="Arial Narrow" w:eastAsia="黑体" w:cs="Arial Narrow"/>
              <w:sz w:val="30"/>
              <w:szCs w:val="30"/>
            </w:rPr>
            <w:t>21</w:t>
          </w:r>
          <w:r>
            <w:rPr>
              <w:rFonts w:hint="default" w:ascii="Arial Narrow" w:hAnsi="Arial Narrow" w:eastAsia="黑体" w:cs="Arial Narrow"/>
              <w:sz w:val="30"/>
              <w:szCs w:val="30"/>
            </w:rPr>
            <w:fldChar w:fldCharType="end"/>
          </w:r>
          <w:r>
            <w:rPr>
              <w:rFonts w:hint="default" w:ascii="Arial Narrow" w:hAnsi="Arial Narrow" w:eastAsia="黑体" w:cs="Arial Narrow"/>
              <w:bCs/>
              <w:sz w:val="30"/>
              <w:szCs w:val="30"/>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_Toc9618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w:t>
          </w:r>
          <w:r>
            <w:rPr>
              <w:rFonts w:hint="default" w:ascii="Arial Narrow" w:hAnsi="Arial Narrow" w:eastAsia="仿宋" w:cs="Arial Narrow"/>
              <w:sz w:val="28"/>
              <w:szCs w:val="28"/>
              <w:lang w:val="en-US" w:eastAsia="zh-CN"/>
            </w:rPr>
            <w:t>一</w:t>
          </w:r>
          <w:r>
            <w:rPr>
              <w:rFonts w:hint="default" w:ascii="Arial Narrow" w:hAnsi="Arial Narrow" w:eastAsia="仿宋" w:cs="Arial Narrow"/>
              <w:sz w:val="28"/>
              <w:szCs w:val="28"/>
            </w:rPr>
            <w:t>）项目绩效指标设置不科学</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_Toc9618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21</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_Toc21337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（二）项目未进行详细预算编制</w:t>
          </w:r>
          <w:r>
            <w:rPr>
              <w:rFonts w:hint="default" w:ascii="Arial Narrow" w:hAnsi="Arial Narrow" w:eastAsia="仿宋" w:cs="Arial Narrow"/>
              <w:sz w:val="28"/>
              <w:szCs w:val="28"/>
              <w:lang w:val="en-US" w:eastAsia="zh-CN"/>
            </w:rPr>
            <w:t>及资金分配</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_Toc21337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22</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_Toc4882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lang w:val="en-US" w:eastAsia="zh-CN"/>
            </w:rPr>
            <w:t xml:space="preserve">（三） </w:t>
          </w:r>
          <w:r>
            <w:rPr>
              <w:rFonts w:hint="default" w:ascii="Arial Narrow" w:hAnsi="Arial Narrow" w:eastAsia="仿宋" w:cs="Arial Narrow"/>
              <w:sz w:val="28"/>
              <w:szCs w:val="28"/>
            </w:rPr>
            <w:t>项目</w:t>
          </w:r>
          <w:r>
            <w:rPr>
              <w:rFonts w:hint="default" w:ascii="Arial Narrow" w:hAnsi="Arial Narrow" w:eastAsia="仿宋" w:cs="Arial Narrow"/>
              <w:sz w:val="28"/>
              <w:szCs w:val="28"/>
              <w:lang w:val="en-US" w:eastAsia="zh-CN"/>
            </w:rPr>
            <w:t>支出金额超出预算金额</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_Toc4882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22</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_Toc31210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lang w:val="en-US" w:eastAsia="zh-CN"/>
            </w:rPr>
            <w:t>（四） 未及时对满意度进行调查</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_Toc31210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22</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黑体" w:cs="Arial Narrow"/>
              <w:sz w:val="30"/>
              <w:szCs w:val="30"/>
            </w:rPr>
          </w:pPr>
          <w:r>
            <w:rPr>
              <w:rFonts w:hint="default" w:ascii="Arial Narrow" w:hAnsi="Arial Narrow" w:eastAsia="黑体" w:cs="Arial Narrow"/>
              <w:bCs/>
              <w:sz w:val="30"/>
              <w:szCs w:val="30"/>
              <w:lang w:val="zh-CN"/>
            </w:rPr>
            <w:fldChar w:fldCharType="begin"/>
          </w:r>
          <w:r>
            <w:rPr>
              <w:rFonts w:hint="default" w:ascii="Arial Narrow" w:hAnsi="Arial Narrow" w:eastAsia="黑体" w:cs="Arial Narrow"/>
              <w:bCs/>
              <w:sz w:val="30"/>
              <w:szCs w:val="30"/>
              <w:lang w:val="zh-CN"/>
            </w:rPr>
            <w:instrText xml:space="preserve"> HYPERLINK \l _Toc4038 </w:instrText>
          </w:r>
          <w:r>
            <w:rPr>
              <w:rFonts w:hint="default" w:ascii="Arial Narrow" w:hAnsi="Arial Narrow" w:eastAsia="黑体" w:cs="Arial Narrow"/>
              <w:bCs/>
              <w:sz w:val="30"/>
              <w:szCs w:val="30"/>
              <w:lang w:val="zh-CN"/>
            </w:rPr>
            <w:fldChar w:fldCharType="separate"/>
          </w:r>
          <w:r>
            <w:rPr>
              <w:rFonts w:hint="default" w:ascii="Arial Narrow" w:hAnsi="Arial Narrow" w:eastAsia="黑体" w:cs="Arial Narrow"/>
              <w:sz w:val="30"/>
              <w:szCs w:val="30"/>
            </w:rPr>
            <w:t>六、有关建议</w:t>
          </w:r>
          <w:r>
            <w:rPr>
              <w:rFonts w:hint="default" w:ascii="Arial Narrow" w:hAnsi="Arial Narrow" w:eastAsia="黑体" w:cs="Arial Narrow"/>
              <w:sz w:val="30"/>
              <w:szCs w:val="30"/>
            </w:rPr>
            <w:tab/>
          </w:r>
          <w:r>
            <w:rPr>
              <w:rFonts w:hint="default" w:ascii="Arial Narrow" w:hAnsi="Arial Narrow" w:eastAsia="黑体" w:cs="Arial Narrow"/>
              <w:sz w:val="30"/>
              <w:szCs w:val="30"/>
            </w:rPr>
            <w:fldChar w:fldCharType="begin"/>
          </w:r>
          <w:r>
            <w:rPr>
              <w:rFonts w:hint="default" w:ascii="Arial Narrow" w:hAnsi="Arial Narrow" w:eastAsia="黑体" w:cs="Arial Narrow"/>
              <w:sz w:val="30"/>
              <w:szCs w:val="30"/>
            </w:rPr>
            <w:instrText xml:space="preserve"> PAGEREF _Toc4038 \h </w:instrText>
          </w:r>
          <w:r>
            <w:rPr>
              <w:rFonts w:hint="default" w:ascii="Arial Narrow" w:hAnsi="Arial Narrow" w:eastAsia="黑体" w:cs="Arial Narrow"/>
              <w:sz w:val="30"/>
              <w:szCs w:val="30"/>
            </w:rPr>
            <w:fldChar w:fldCharType="separate"/>
          </w:r>
          <w:r>
            <w:rPr>
              <w:rFonts w:hint="default" w:ascii="Arial Narrow" w:hAnsi="Arial Narrow" w:eastAsia="黑体" w:cs="Arial Narrow"/>
              <w:sz w:val="30"/>
              <w:szCs w:val="30"/>
            </w:rPr>
            <w:t>22</w:t>
          </w:r>
          <w:r>
            <w:rPr>
              <w:rFonts w:hint="default" w:ascii="Arial Narrow" w:hAnsi="Arial Narrow" w:eastAsia="黑体" w:cs="Arial Narrow"/>
              <w:sz w:val="30"/>
              <w:szCs w:val="30"/>
            </w:rPr>
            <w:fldChar w:fldCharType="end"/>
          </w:r>
          <w:r>
            <w:rPr>
              <w:rFonts w:hint="default" w:ascii="Arial Narrow" w:hAnsi="Arial Narrow" w:eastAsia="黑体" w:cs="Arial Narrow"/>
              <w:bCs/>
              <w:sz w:val="30"/>
              <w:szCs w:val="30"/>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_Toc31160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（一）加强项目绩效</w:t>
          </w:r>
          <w:r>
            <w:rPr>
              <w:rFonts w:hint="default" w:ascii="Arial Narrow" w:hAnsi="Arial Narrow" w:eastAsia="仿宋" w:cs="Arial Narrow"/>
              <w:sz w:val="28"/>
              <w:szCs w:val="28"/>
              <w:lang w:val="en-US" w:eastAsia="zh-CN"/>
            </w:rPr>
            <w:t>目标</w:t>
          </w:r>
          <w:r>
            <w:rPr>
              <w:rFonts w:hint="default" w:ascii="Arial Narrow" w:hAnsi="Arial Narrow" w:eastAsia="仿宋" w:cs="Arial Narrow"/>
              <w:sz w:val="28"/>
              <w:szCs w:val="28"/>
            </w:rPr>
            <w:t>管理</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_Toc31160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22</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_Toc22844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（二）科学编制项目预算</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_Toc22844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_Toc17106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（三）</w:t>
          </w:r>
          <w:r>
            <w:rPr>
              <w:rFonts w:hint="default" w:ascii="Arial Narrow" w:hAnsi="Arial Narrow" w:eastAsia="仿宋" w:cs="Arial Narrow"/>
              <w:sz w:val="28"/>
              <w:szCs w:val="28"/>
              <w:lang w:val="en-US" w:eastAsia="zh-CN"/>
            </w:rPr>
            <w:t>合理控制项目支出</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_Toc17106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仿宋" w:cs="Arial Narrow"/>
              <w:sz w:val="28"/>
              <w:szCs w:val="28"/>
            </w:rPr>
          </w:pPr>
          <w:r>
            <w:rPr>
              <w:rFonts w:hint="default" w:ascii="Arial Narrow" w:hAnsi="Arial Narrow" w:eastAsia="仿宋" w:cs="Arial Narrow"/>
              <w:bCs/>
              <w:sz w:val="28"/>
              <w:szCs w:val="28"/>
              <w:lang w:val="zh-CN"/>
            </w:rPr>
            <w:fldChar w:fldCharType="begin"/>
          </w:r>
          <w:r>
            <w:rPr>
              <w:rFonts w:hint="default" w:ascii="Arial Narrow" w:hAnsi="Arial Narrow" w:eastAsia="仿宋" w:cs="Arial Narrow"/>
              <w:bCs/>
              <w:sz w:val="28"/>
              <w:szCs w:val="28"/>
              <w:lang w:val="zh-CN"/>
            </w:rPr>
            <w:instrText xml:space="preserve"> HYPERLINK \l _Toc3359 </w:instrText>
          </w:r>
          <w:r>
            <w:rPr>
              <w:rFonts w:hint="default" w:ascii="Arial Narrow" w:hAnsi="Arial Narrow" w:eastAsia="仿宋" w:cs="Arial Narrow"/>
              <w:bCs/>
              <w:sz w:val="28"/>
              <w:szCs w:val="28"/>
              <w:lang w:val="zh-CN"/>
            </w:rPr>
            <w:fldChar w:fldCharType="separate"/>
          </w:r>
          <w:r>
            <w:rPr>
              <w:rFonts w:hint="default" w:ascii="Arial Narrow" w:hAnsi="Arial Narrow" w:eastAsia="仿宋" w:cs="Arial Narrow"/>
              <w:sz w:val="28"/>
              <w:szCs w:val="28"/>
            </w:rPr>
            <w:t>（四）</w:t>
          </w:r>
          <w:r>
            <w:rPr>
              <w:rFonts w:hint="default" w:ascii="Arial Narrow" w:hAnsi="Arial Narrow" w:eastAsia="仿宋" w:cs="Arial Narrow"/>
              <w:sz w:val="28"/>
              <w:szCs w:val="28"/>
              <w:lang w:val="en-US" w:eastAsia="zh-CN"/>
            </w:rPr>
            <w:t>设置满意度调查问卷并对资料及时归档</w:t>
          </w:r>
          <w:r>
            <w:rPr>
              <w:rFonts w:hint="default" w:ascii="Arial Narrow" w:hAnsi="Arial Narrow" w:eastAsia="仿宋" w:cs="Arial Narrow"/>
              <w:sz w:val="28"/>
              <w:szCs w:val="28"/>
            </w:rPr>
            <w:tab/>
          </w:r>
          <w:r>
            <w:rPr>
              <w:rFonts w:hint="default" w:ascii="Arial Narrow" w:hAnsi="Arial Narrow" w:eastAsia="仿宋" w:cs="Arial Narrow"/>
              <w:sz w:val="28"/>
              <w:szCs w:val="28"/>
            </w:rPr>
            <w:fldChar w:fldCharType="begin"/>
          </w:r>
          <w:r>
            <w:rPr>
              <w:rFonts w:hint="default" w:ascii="Arial Narrow" w:hAnsi="Arial Narrow" w:eastAsia="仿宋" w:cs="Arial Narrow"/>
              <w:sz w:val="28"/>
              <w:szCs w:val="28"/>
            </w:rPr>
            <w:instrText xml:space="preserve"> PAGEREF _Toc3359 \h </w:instrText>
          </w:r>
          <w:r>
            <w:rPr>
              <w:rFonts w:hint="default" w:ascii="Arial Narrow" w:hAnsi="Arial Narrow" w:eastAsia="仿宋" w:cs="Arial Narrow"/>
              <w:sz w:val="28"/>
              <w:szCs w:val="28"/>
            </w:rPr>
            <w:fldChar w:fldCharType="separate"/>
          </w:r>
          <w:r>
            <w:rPr>
              <w:rFonts w:hint="default" w:ascii="Arial Narrow" w:hAnsi="Arial Narrow" w:eastAsia="仿宋" w:cs="Arial Narrow"/>
              <w:sz w:val="28"/>
              <w:szCs w:val="28"/>
            </w:rPr>
            <w:t>23</w:t>
          </w:r>
          <w:r>
            <w:rPr>
              <w:rFonts w:hint="default" w:ascii="Arial Narrow" w:hAnsi="Arial Narrow" w:eastAsia="仿宋" w:cs="Arial Narrow"/>
              <w:sz w:val="28"/>
              <w:szCs w:val="28"/>
            </w:rPr>
            <w:fldChar w:fldCharType="end"/>
          </w:r>
          <w:r>
            <w:rPr>
              <w:rFonts w:hint="default" w:ascii="Arial Narrow" w:hAnsi="Arial Narrow" w:eastAsia="仿宋" w:cs="Arial Narrow"/>
              <w:bCs/>
              <w:sz w:val="28"/>
              <w:szCs w:val="28"/>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88" w:lineRule="auto"/>
            <w:textAlignment w:val="auto"/>
            <w:rPr>
              <w:rFonts w:hint="default" w:ascii="Arial Narrow" w:hAnsi="Arial Narrow" w:eastAsia="黑体" w:cs="Arial Narrow"/>
              <w:sz w:val="30"/>
              <w:szCs w:val="30"/>
            </w:rPr>
          </w:pPr>
          <w:r>
            <w:rPr>
              <w:rFonts w:hint="default" w:ascii="Arial Narrow" w:hAnsi="Arial Narrow" w:eastAsia="黑体" w:cs="Arial Narrow"/>
              <w:bCs/>
              <w:sz w:val="30"/>
              <w:szCs w:val="30"/>
              <w:lang w:val="zh-CN"/>
            </w:rPr>
            <w:fldChar w:fldCharType="begin"/>
          </w:r>
          <w:r>
            <w:rPr>
              <w:rFonts w:hint="default" w:ascii="Arial Narrow" w:hAnsi="Arial Narrow" w:eastAsia="黑体" w:cs="Arial Narrow"/>
              <w:bCs/>
              <w:sz w:val="30"/>
              <w:szCs w:val="30"/>
              <w:lang w:val="zh-CN"/>
            </w:rPr>
            <w:instrText xml:space="preserve"> HYPERLINK \l _Toc31425 </w:instrText>
          </w:r>
          <w:r>
            <w:rPr>
              <w:rFonts w:hint="default" w:ascii="Arial Narrow" w:hAnsi="Arial Narrow" w:eastAsia="黑体" w:cs="Arial Narrow"/>
              <w:bCs/>
              <w:sz w:val="30"/>
              <w:szCs w:val="30"/>
              <w:lang w:val="zh-CN"/>
            </w:rPr>
            <w:fldChar w:fldCharType="separate"/>
          </w:r>
          <w:r>
            <w:rPr>
              <w:rFonts w:hint="default" w:ascii="Arial Narrow" w:hAnsi="Arial Narrow" w:eastAsia="黑体" w:cs="Arial Narrow"/>
              <w:sz w:val="30"/>
              <w:szCs w:val="30"/>
            </w:rPr>
            <w:t>七、其他需要说明的问题</w:t>
          </w:r>
          <w:r>
            <w:rPr>
              <w:rFonts w:hint="default" w:ascii="Arial Narrow" w:hAnsi="Arial Narrow" w:eastAsia="黑体" w:cs="Arial Narrow"/>
              <w:sz w:val="30"/>
              <w:szCs w:val="30"/>
            </w:rPr>
            <w:tab/>
          </w:r>
          <w:r>
            <w:rPr>
              <w:rFonts w:hint="default" w:ascii="Arial Narrow" w:hAnsi="Arial Narrow" w:eastAsia="黑体" w:cs="Arial Narrow"/>
              <w:sz w:val="30"/>
              <w:szCs w:val="30"/>
            </w:rPr>
            <w:fldChar w:fldCharType="begin"/>
          </w:r>
          <w:r>
            <w:rPr>
              <w:rFonts w:hint="default" w:ascii="Arial Narrow" w:hAnsi="Arial Narrow" w:eastAsia="黑体" w:cs="Arial Narrow"/>
              <w:sz w:val="30"/>
              <w:szCs w:val="30"/>
            </w:rPr>
            <w:instrText xml:space="preserve"> PAGEREF _Toc31425 \h </w:instrText>
          </w:r>
          <w:r>
            <w:rPr>
              <w:rFonts w:hint="default" w:ascii="Arial Narrow" w:hAnsi="Arial Narrow" w:eastAsia="黑体" w:cs="Arial Narrow"/>
              <w:sz w:val="30"/>
              <w:szCs w:val="30"/>
            </w:rPr>
            <w:fldChar w:fldCharType="separate"/>
          </w:r>
          <w:r>
            <w:rPr>
              <w:rFonts w:hint="default" w:ascii="Arial Narrow" w:hAnsi="Arial Narrow" w:eastAsia="黑体" w:cs="Arial Narrow"/>
              <w:sz w:val="30"/>
              <w:szCs w:val="30"/>
            </w:rPr>
            <w:t>24</w:t>
          </w:r>
          <w:r>
            <w:rPr>
              <w:rFonts w:hint="default" w:ascii="Arial Narrow" w:hAnsi="Arial Narrow" w:eastAsia="黑体" w:cs="Arial Narrow"/>
              <w:sz w:val="30"/>
              <w:szCs w:val="30"/>
            </w:rPr>
            <w:fldChar w:fldCharType="end"/>
          </w:r>
          <w:r>
            <w:rPr>
              <w:rFonts w:hint="default" w:ascii="Arial Narrow" w:hAnsi="Arial Narrow" w:eastAsia="黑体" w:cs="Arial Narrow"/>
              <w:bCs/>
              <w:sz w:val="30"/>
              <w:szCs w:val="30"/>
              <w:lang w:val="zh-CN"/>
            </w:rPr>
            <w:fldChar w:fldCharType="end"/>
          </w:r>
        </w:p>
        <w:p>
          <w:pPr>
            <w:pStyle w:val="7"/>
            <w:keepNext w:val="0"/>
            <w:keepLines w:val="0"/>
            <w:pageBreakBefore w:val="0"/>
            <w:widowControl w:val="0"/>
            <w:tabs>
              <w:tab w:val="right" w:leader="dot" w:pos="8296"/>
            </w:tabs>
            <w:kinsoku/>
            <w:wordWrap/>
            <w:overflowPunct/>
            <w:topLinePunct w:val="0"/>
            <w:autoSpaceDE/>
            <w:autoSpaceDN/>
            <w:bidi w:val="0"/>
            <w:adjustRightInd/>
            <w:snapToGrid/>
            <w:spacing w:line="288" w:lineRule="auto"/>
            <w:textAlignment w:val="auto"/>
            <w:rPr>
              <w:sz w:val="32"/>
              <w:szCs w:val="32"/>
            </w:rPr>
          </w:pPr>
          <w:r>
            <w:rPr>
              <w:rFonts w:hint="default" w:ascii="Arial Narrow" w:hAnsi="Arial Narrow" w:cs="Arial Narrow"/>
              <w:b/>
              <w:bCs/>
              <w:sz w:val="32"/>
              <w:szCs w:val="32"/>
              <w:lang w:val="zh-CN"/>
            </w:rPr>
            <w:fldChar w:fldCharType="end"/>
          </w:r>
          <w:bookmarkEnd w:id="100"/>
        </w:p>
      </w:sdtContent>
    </w:sdt>
    <w:p>
      <w:pPr>
        <w:rPr>
          <w:rFonts w:ascii="Times New Roman" w:hAnsi="Times New Roman" w:eastAsia="仿宋_GB2312" w:cs="Times New Roman"/>
          <w:b/>
          <w:bCs/>
          <w:kern w:val="0"/>
          <w:sz w:val="32"/>
          <w:szCs w:val="32"/>
          <w:lang w:val="zh-CN"/>
        </w:rPr>
      </w:pPr>
    </w:p>
    <w:p>
      <w:pPr>
        <w:rPr>
          <w:rFonts w:ascii="Times New Roman" w:hAnsi="Times New Roman" w:eastAsia="仿宋_GB2312" w:cs="Times New Roman"/>
          <w:b/>
          <w:bCs/>
          <w:kern w:val="0"/>
          <w:sz w:val="32"/>
          <w:szCs w:val="32"/>
          <w:lang w:val="zh-CN"/>
        </w:rPr>
        <w:sectPr>
          <w:footerReference r:id="rId3" w:type="default"/>
          <w:pgSz w:w="11906" w:h="16838"/>
          <w:pgMar w:top="1440" w:right="1800" w:bottom="1440" w:left="1800" w:header="851" w:footer="992" w:gutter="0"/>
          <w:pgNumType w:fmt="upperRoman" w:start="1"/>
          <w:cols w:space="425" w:num="1"/>
          <w:docGrid w:type="lines" w:linePitch="312" w:charSpace="0"/>
        </w:sectPr>
      </w:pPr>
    </w:p>
    <w:p>
      <w:pPr>
        <w:spacing w:after="312" w:afterLines="100" w:line="600" w:lineRule="exact"/>
        <w:jc w:val="center"/>
        <w:rPr>
          <w:rFonts w:hint="eastAsia" w:ascii="方正小标宋简体" w:hAnsi="Times New Roman" w:eastAsia="方正小标宋简体" w:cs="方正小标宋简体"/>
          <w:sz w:val="44"/>
          <w:szCs w:val="44"/>
        </w:rPr>
      </w:pPr>
      <w:r>
        <w:rPr>
          <w:rFonts w:hint="eastAsia" w:ascii="方正小标宋简体" w:hAnsi="Times New Roman" w:eastAsia="方正小标宋简体" w:cs="方正小标宋简体"/>
          <w:sz w:val="44"/>
          <w:szCs w:val="44"/>
        </w:rPr>
        <w:t>2020年</w:t>
      </w:r>
      <w:r>
        <w:rPr>
          <w:rFonts w:hint="eastAsia" w:ascii="方正小标宋简体" w:hAnsi="Times New Roman" w:eastAsia="方正小标宋简体" w:cs="方正小标宋简体"/>
          <w:sz w:val="44"/>
          <w:szCs w:val="44"/>
          <w:lang w:val="en-US" w:eastAsia="zh-CN"/>
        </w:rPr>
        <w:t>东丽区</w:t>
      </w:r>
      <w:r>
        <w:rPr>
          <w:rFonts w:hint="eastAsia" w:ascii="方正小标宋简体" w:hAnsi="Times New Roman" w:eastAsia="方正小标宋简体" w:cs="方正小标宋简体"/>
          <w:sz w:val="44"/>
          <w:szCs w:val="44"/>
        </w:rPr>
        <w:t>普惠性民办幼儿园</w:t>
      </w:r>
    </w:p>
    <w:p>
      <w:pPr>
        <w:spacing w:after="312" w:afterLines="100" w:line="600" w:lineRule="exact"/>
        <w:jc w:val="center"/>
        <w:rPr>
          <w:rFonts w:ascii="方正小标宋简体" w:hAnsi="Times New Roman" w:eastAsia="方正小标宋简体" w:cs="方正小标宋简体"/>
          <w:sz w:val="44"/>
          <w:szCs w:val="44"/>
        </w:rPr>
      </w:pPr>
      <w:r>
        <w:rPr>
          <w:rFonts w:hint="eastAsia" w:ascii="方正小标宋简体" w:hAnsi="Times New Roman" w:eastAsia="方正小标宋简体" w:cs="方正小标宋简体"/>
          <w:sz w:val="44"/>
          <w:szCs w:val="44"/>
        </w:rPr>
        <w:t>生均经费补助资金项目</w:t>
      </w:r>
    </w:p>
    <w:p>
      <w:pPr>
        <w:spacing w:after="312" w:afterLines="100" w:line="600" w:lineRule="exact"/>
        <w:jc w:val="center"/>
        <w:rPr>
          <w:rFonts w:ascii="方正小标宋简体" w:hAnsi="Times New Roman" w:eastAsia="方正小标宋简体" w:cs="方正小标宋简体"/>
          <w:sz w:val="44"/>
          <w:szCs w:val="44"/>
        </w:rPr>
      </w:pPr>
      <w:r>
        <w:rPr>
          <w:rFonts w:hint="eastAsia" w:ascii="方正小标宋简体" w:hAnsi="Times New Roman" w:eastAsia="方正小标宋简体" w:cs="方正小标宋简体"/>
          <w:sz w:val="44"/>
          <w:szCs w:val="44"/>
        </w:rPr>
        <w:t>绩效评价报告</w:t>
      </w:r>
    </w:p>
    <w:p>
      <w:pPr>
        <w:spacing w:line="360" w:lineRule="auto"/>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仿宋_GB2312"/>
          <w:sz w:val="32"/>
          <w:szCs w:val="32"/>
        </w:rPr>
        <w:t>为提高财政资金使用效益，合理配置公共财政资源，根据市委、市政府《关于全面推进预算绩效管理的实施方案》《天津市市级财政项目支出绩效评价管理办法》（津财绩效〔2020〕12号）等文件要求，天津市</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财政局引入第三方专业机构成立了绩效评价组，于2021年</w:t>
      </w:r>
      <w:r>
        <w:rPr>
          <w:rFonts w:ascii="Times New Roman" w:hAnsi="Times New Roman" w:eastAsia="仿宋_GB2312" w:cs="仿宋_GB2312"/>
          <w:sz w:val="32"/>
          <w:szCs w:val="32"/>
        </w:rPr>
        <w:t>12</w:t>
      </w:r>
      <w:r>
        <w:rPr>
          <w:rFonts w:hint="eastAsia" w:ascii="Times New Roman" w:hAnsi="Times New Roman" w:eastAsia="仿宋_GB2312" w:cs="仿宋_GB2312"/>
          <w:sz w:val="32"/>
          <w:szCs w:val="32"/>
        </w:rPr>
        <w:t>月，对</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2020年普惠性民办幼儿园生均经费补助资金项目开展了绩效评价。该项目评价</w:t>
      </w:r>
      <w:r>
        <w:rPr>
          <w:rFonts w:hint="eastAsia" w:ascii="Times New Roman" w:hAnsi="Times New Roman" w:eastAsia="仿宋_GB2312" w:cs="仿宋_GB2312"/>
          <w:sz w:val="32"/>
          <w:szCs w:val="32"/>
          <w:highlight w:val="none"/>
        </w:rPr>
        <w:t>结果为</w:t>
      </w:r>
      <w:r>
        <w:rPr>
          <w:rFonts w:hint="eastAsia" w:ascii="Times New Roman" w:hAnsi="Times New Roman" w:eastAsia="仿宋_GB2312" w:cs="仿宋_GB2312"/>
          <w:sz w:val="32"/>
          <w:szCs w:val="32"/>
          <w:highlight w:val="none"/>
          <w:lang w:val="en-US" w:eastAsia="zh-CN"/>
        </w:rPr>
        <w:t>73</w:t>
      </w:r>
      <w:r>
        <w:rPr>
          <w:rFonts w:hint="eastAsia" w:ascii="Times New Roman" w:hAnsi="Times New Roman" w:eastAsia="仿宋_GB2312" w:cs="仿宋_GB2312"/>
          <w:sz w:val="32"/>
          <w:szCs w:val="32"/>
          <w:highlight w:val="none"/>
        </w:rPr>
        <w:t>分，评价等级为“</w:t>
      </w:r>
      <w:r>
        <w:rPr>
          <w:rFonts w:hint="eastAsia" w:ascii="Times New Roman" w:hAnsi="Times New Roman" w:eastAsia="仿宋_GB2312" w:cs="仿宋_GB2312"/>
          <w:sz w:val="32"/>
          <w:szCs w:val="32"/>
          <w:highlight w:val="none"/>
          <w:lang w:val="en-US" w:eastAsia="zh-CN"/>
        </w:rPr>
        <w:t xml:space="preserve">合格 </w:t>
      </w: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rPr>
        <w:t>有关情况如下。</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0" w:name="_Toc66801440"/>
      <w:bookmarkStart w:id="1" w:name="_Toc11276"/>
      <w:r>
        <w:rPr>
          <w:rFonts w:hint="eastAsia" w:ascii="Times New Roman" w:hAnsi="黑体" w:eastAsia="黑体" w:cs="黑体"/>
          <w:sz w:val="32"/>
          <w:szCs w:val="32"/>
        </w:rPr>
        <w:t>一、基本情况</w:t>
      </w:r>
      <w:bookmarkEnd w:id="0"/>
      <w:bookmarkEnd w:id="1"/>
    </w:p>
    <w:p>
      <w:pPr>
        <w:spacing w:line="360" w:lineRule="auto"/>
        <w:ind w:firstLine="960" w:firstLineChars="300"/>
        <w:outlineLvl w:val="1"/>
        <w:rPr>
          <w:rFonts w:ascii="楷体_GB2312" w:hAnsi="Times New Roman" w:eastAsia="楷体_GB2312" w:cs="仿宋_GB2312"/>
          <w:sz w:val="32"/>
          <w:szCs w:val="32"/>
        </w:rPr>
      </w:pPr>
      <w:bookmarkStart w:id="2" w:name="_Toc66801441"/>
      <w:bookmarkStart w:id="3" w:name="_Toc31175"/>
      <w:r>
        <w:rPr>
          <w:rFonts w:hint="eastAsia" w:ascii="楷体_GB2312" w:hAnsi="Times New Roman" w:eastAsia="楷体_GB2312" w:cs="仿宋_GB2312"/>
          <w:sz w:val="32"/>
          <w:szCs w:val="32"/>
        </w:rPr>
        <w:t>（一）项目概况</w:t>
      </w:r>
      <w:bookmarkEnd w:id="2"/>
      <w:bookmarkEnd w:id="3"/>
    </w:p>
    <w:p>
      <w:pPr>
        <w:spacing w:line="360" w:lineRule="auto"/>
        <w:ind w:firstLine="640" w:firstLineChars="200"/>
        <w:outlineLvl w:val="2"/>
        <w:rPr>
          <w:rFonts w:ascii="Times New Roman" w:hAnsi="Times New Roman" w:eastAsia="仿宋_GB2312" w:cs="仿宋_GB2312"/>
          <w:sz w:val="32"/>
          <w:szCs w:val="32"/>
        </w:rPr>
      </w:pPr>
      <w:bookmarkStart w:id="4" w:name="_Toc66801442"/>
      <w:bookmarkStart w:id="5" w:name="_Toc9762"/>
      <w:r>
        <w:rPr>
          <w:rFonts w:hint="eastAsia" w:ascii="Times New Roman" w:hAnsi="Times New Roman" w:eastAsia="仿宋_GB2312" w:cs="仿宋_GB2312"/>
          <w:sz w:val="32"/>
          <w:szCs w:val="32"/>
        </w:rPr>
        <w:t>1.项目背景</w:t>
      </w:r>
      <w:bookmarkEnd w:id="4"/>
      <w:bookmarkEnd w:id="5"/>
    </w:p>
    <w:p>
      <w:pPr>
        <w:pStyle w:val="17"/>
        <w:rPr>
          <w:rFonts w:hint="eastAsia"/>
          <w:lang w:val="en-US" w:eastAsia="zh-CN"/>
        </w:rPr>
      </w:pPr>
      <w:r>
        <w:rPr>
          <w:rFonts w:hint="eastAsia"/>
          <w:lang w:eastAsia="zh-CN"/>
        </w:rPr>
        <w:t>《</w:t>
      </w:r>
      <w:r>
        <w:rPr>
          <w:rFonts w:hint="eastAsia"/>
          <w:lang w:val="en-US" w:eastAsia="zh-CN"/>
        </w:rPr>
        <w:t>中共天津市委天津市人民政府关于学前教育深化改革规划发展的实施意见</w:t>
      </w:r>
      <w:r>
        <w:rPr>
          <w:rFonts w:hint="eastAsia"/>
          <w:lang w:eastAsia="zh-CN"/>
        </w:rPr>
        <w:t>》、</w:t>
      </w:r>
      <w:r>
        <w:rPr>
          <w:rFonts w:hint="eastAsia"/>
        </w:rPr>
        <w:t>《天津市人民政府办公厅关于印发大力发展学前教育两年行动方案（2019—2020年）的通知》</w:t>
      </w:r>
      <w:r>
        <w:rPr>
          <w:rFonts w:hint="eastAsia"/>
          <w:lang w:val="en-US" w:eastAsia="zh-CN"/>
        </w:rPr>
        <w:t>相关规定中明确“根据</w:t>
      </w:r>
      <w:r>
        <w:rPr>
          <w:rFonts w:hint="eastAsia" w:eastAsia="仿宋_GB2312"/>
          <w:szCs w:val="32"/>
        </w:rPr>
        <w:t>《中共中央 国务院关于学前教育深化改革规范发展的若干意见》</w:t>
      </w:r>
      <w:r>
        <w:rPr>
          <w:rFonts w:hint="eastAsia"/>
          <w:szCs w:val="32"/>
          <w:lang w:val="en-US" w:eastAsia="zh-CN"/>
        </w:rPr>
        <w:t>精神和全国教育大会部署要求，我市认真落实立德树人根本任务，遵循学前教育规律，牢牢把握学前教育正确发展方向，坚持学前教育事业的公益普惠性，推进学前教育普及普惠安全优质发展。</w:t>
      </w:r>
      <w:r>
        <w:rPr>
          <w:rFonts w:hint="eastAsia"/>
          <w:lang w:val="en-US" w:eastAsia="zh-CN"/>
        </w:rPr>
        <w:t>我市鼓励社会力量办园，各区要制定政府补贴、土地划拨、费用减免等方面扶持政策，支持社会力量举办幼儿园，积极引导和扶持民办园提供普惠性服务；对在城区独立选址新建、改建、扩建教育部门办幼儿园或分园，以及接收或利用小区配套幼儿园用房举办的公办园或普惠性民办园给予补助。”</w:t>
      </w:r>
    </w:p>
    <w:p>
      <w:pPr>
        <w:pStyle w:val="17"/>
        <w:rPr>
          <w:rFonts w:hint="default"/>
          <w:lang w:val="en-US" w:eastAsia="zh-CN"/>
        </w:rPr>
      </w:pPr>
      <w:r>
        <w:rPr>
          <w:rFonts w:hint="eastAsia"/>
          <w:lang w:val="en-US" w:eastAsia="zh-CN"/>
        </w:rPr>
        <w:t>为促进学前教育普及普惠安全优质发展，鼓励多种形式扩大普惠性学前教育资源，我市建立普惠性民办幼儿园生均经费补助项目，并设立专项资金，制定了《天津市普惠性民办幼儿园认定办法》。东丽区教育局根据上述规定制定了《2020年东丽区普惠性民办幼儿园评定工作方案》并按照程序进行评定工作及发放补助资金工作。</w:t>
      </w:r>
    </w:p>
    <w:p>
      <w:pPr>
        <w:numPr>
          <w:ilvl w:val="0"/>
          <w:numId w:val="1"/>
        </w:numPr>
        <w:spacing w:line="360" w:lineRule="auto"/>
        <w:ind w:firstLine="640" w:firstLineChars="200"/>
        <w:outlineLvl w:val="2"/>
        <w:rPr>
          <w:rFonts w:hint="eastAsia" w:ascii="Times New Roman" w:hAnsi="Times New Roman" w:eastAsia="仿宋_GB2312" w:cs="仿宋_GB2312"/>
          <w:sz w:val="32"/>
          <w:szCs w:val="32"/>
          <w:highlight w:val="none"/>
        </w:rPr>
      </w:pPr>
      <w:bookmarkStart w:id="6" w:name="_Toc66801443"/>
      <w:bookmarkStart w:id="7" w:name="_Toc20952"/>
      <w:r>
        <w:rPr>
          <w:rFonts w:hint="eastAsia" w:ascii="Times New Roman" w:hAnsi="Times New Roman" w:eastAsia="仿宋_GB2312" w:cs="仿宋_GB2312"/>
          <w:sz w:val="32"/>
          <w:szCs w:val="32"/>
          <w:highlight w:val="none"/>
        </w:rPr>
        <w:t>主要内容及实施情况</w:t>
      </w:r>
      <w:bookmarkEnd w:id="6"/>
      <w:bookmarkEnd w:id="7"/>
    </w:p>
    <w:p>
      <w:pPr>
        <w:numPr>
          <w:ilvl w:val="0"/>
          <w:numId w:val="0"/>
        </w:numPr>
        <w:spacing w:line="360" w:lineRule="auto"/>
        <w:ind w:firstLine="640" w:firstLineChars="200"/>
        <w:outlineLvl w:val="9"/>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lang w:val="en-US" w:eastAsia="zh-CN"/>
        </w:rPr>
        <w:t>2020年初，东丽区教育局开始进行普惠性民办幼儿园评定工作，5月20日前，由全区非营利性民办幼儿园申报材料；5月21日至5月22日，进行资格审查；6月1日至6月5日，由区级进行评定；6月10日至6月16日向社会公示；6月17日评定结果报送市教委。2020年6月10日至6月16日，东丽区教育局对2020年普惠性民办幼儿园等级评定结果进行公示。</w:t>
      </w:r>
    </w:p>
    <w:p>
      <w:pPr>
        <w:numPr>
          <w:ilvl w:val="0"/>
          <w:numId w:val="0"/>
        </w:numPr>
        <w:spacing w:line="360" w:lineRule="auto"/>
        <w:ind w:firstLine="640" w:firstLineChars="200"/>
        <w:outlineLvl w:val="9"/>
        <w:rPr>
          <w:rFonts w:hint="default" w:ascii="Times New Roman" w:hAnsi="Times New Roman" w:eastAsia="仿宋_GB2312" w:cs="仿宋_GB2312"/>
          <w:sz w:val="32"/>
          <w:szCs w:val="32"/>
          <w:highlight w:val="yellow"/>
          <w:lang w:val="en-US" w:eastAsia="zh-CN"/>
        </w:rPr>
      </w:pPr>
      <w:r>
        <w:rPr>
          <w:rFonts w:hint="eastAsia" w:ascii="Times New Roman" w:hAnsi="Times New Roman" w:eastAsia="仿宋_GB2312" w:cs="仿宋_GB2312"/>
          <w:sz w:val="32"/>
          <w:szCs w:val="32"/>
          <w:highlight w:val="none"/>
          <w:lang w:val="en-US" w:eastAsia="zh-CN"/>
        </w:rPr>
        <w:t>截至2020年12月31日，东丽区普惠性民办幼儿园数量共42所，2020年东丽区教育局按照相应程序对幼儿园发放补助资金，扶持普惠性民办学前教育发展。</w:t>
      </w:r>
    </w:p>
    <w:p>
      <w:pPr>
        <w:spacing w:line="360" w:lineRule="auto"/>
        <w:ind w:firstLine="640" w:firstLineChars="200"/>
        <w:outlineLvl w:val="2"/>
        <w:rPr>
          <w:rFonts w:ascii="Times New Roman" w:hAnsi="Times New Roman" w:eastAsia="仿宋_GB2312" w:cs="仿宋_GB2312"/>
          <w:sz w:val="32"/>
          <w:szCs w:val="32"/>
        </w:rPr>
      </w:pPr>
      <w:bookmarkStart w:id="8" w:name="_Toc66801444"/>
      <w:bookmarkStart w:id="9" w:name="_Toc10259"/>
      <w:r>
        <w:rPr>
          <w:rFonts w:hint="eastAsia" w:ascii="Times New Roman" w:hAnsi="Times New Roman" w:eastAsia="仿宋_GB2312" w:cs="仿宋_GB2312"/>
          <w:sz w:val="32"/>
          <w:szCs w:val="32"/>
        </w:rPr>
        <w:t>3.资金投入和使用情况</w:t>
      </w:r>
      <w:bookmarkEnd w:id="8"/>
      <w:bookmarkEnd w:id="9"/>
    </w:p>
    <w:p>
      <w:pPr>
        <w:pStyle w:val="17"/>
        <w:rPr>
          <w:highlight w:val="none"/>
        </w:rPr>
      </w:pPr>
      <w:bookmarkStart w:id="10" w:name="_Toc66801445"/>
      <w:bookmarkStart w:id="11" w:name="_Toc65847355"/>
      <w:r>
        <w:rPr>
          <w:rFonts w:hint="eastAsia"/>
        </w:rPr>
        <w:t>2020年</w:t>
      </w:r>
      <w:r>
        <w:rPr>
          <w:rFonts w:hint="eastAsia"/>
          <w:lang w:val="en-US" w:eastAsia="zh-CN"/>
        </w:rPr>
        <w:t>东丽区</w:t>
      </w:r>
      <w:r>
        <w:rPr>
          <w:rFonts w:hint="eastAsia"/>
        </w:rPr>
        <w:t>普惠性民办幼儿园生均经费补助资金项目资金来源为</w:t>
      </w:r>
      <w:r>
        <w:rPr>
          <w:rFonts w:hint="eastAsia"/>
          <w:lang w:val="en-US" w:eastAsia="zh-CN"/>
        </w:rPr>
        <w:t>天津市财政局及东丽区</w:t>
      </w:r>
      <w:r>
        <w:rPr>
          <w:rFonts w:hint="eastAsia"/>
        </w:rPr>
        <w:t>财政局下达的</w:t>
      </w:r>
      <w:r>
        <w:rPr>
          <w:rFonts w:hint="eastAsia"/>
          <w:lang w:val="en-US" w:eastAsia="zh-CN"/>
        </w:rPr>
        <w:t>专项资金</w:t>
      </w:r>
      <w:r>
        <w:rPr>
          <w:rFonts w:hint="eastAsia"/>
        </w:rPr>
        <w:t>支出预算。</w:t>
      </w:r>
      <w:r>
        <w:rPr>
          <w:rFonts w:hint="eastAsia"/>
          <w:lang w:val="en-US" w:eastAsia="zh-CN"/>
        </w:rPr>
        <w:t>2020年度</w:t>
      </w:r>
      <w:r>
        <w:rPr>
          <w:rFonts w:hint="eastAsia"/>
        </w:rPr>
        <w:t>本项目预算金额为</w:t>
      </w:r>
      <w:r>
        <w:rPr>
          <w:rFonts w:hint="eastAsia"/>
          <w:lang w:val="en-US" w:eastAsia="zh-CN"/>
        </w:rPr>
        <w:t>12,074,800</w:t>
      </w:r>
      <w:r>
        <w:t>元，</w:t>
      </w:r>
      <w:r>
        <w:rPr>
          <w:rFonts w:hint="eastAsia"/>
          <w:lang w:val="en-US" w:eastAsia="zh-CN"/>
        </w:rPr>
        <w:t>共向41所普惠性民办幼儿园发放专项资金24,000,</w:t>
      </w:r>
      <w:r>
        <w:rPr>
          <w:rFonts w:hint="eastAsia"/>
          <w:highlight w:val="none"/>
          <w:lang w:val="en-US" w:eastAsia="zh-CN"/>
        </w:rPr>
        <w:t>600</w:t>
      </w:r>
      <w:r>
        <w:rPr>
          <w:highlight w:val="none"/>
        </w:rPr>
        <w:t>元</w:t>
      </w:r>
      <w:r>
        <w:rPr>
          <w:rFonts w:hint="eastAsia"/>
          <w:highlight w:val="none"/>
          <w:lang w:eastAsia="zh-CN"/>
        </w:rPr>
        <w:t>。</w:t>
      </w:r>
    </w:p>
    <w:p>
      <w:pPr>
        <w:spacing w:line="360" w:lineRule="auto"/>
        <w:ind w:firstLine="640" w:firstLineChars="200"/>
        <w:outlineLvl w:val="1"/>
        <w:rPr>
          <w:rFonts w:ascii="楷体_GB2312" w:hAnsi="Times New Roman" w:eastAsia="楷体_GB2312" w:cs="仿宋_GB2312"/>
          <w:sz w:val="32"/>
          <w:szCs w:val="32"/>
        </w:rPr>
      </w:pPr>
      <w:bookmarkStart w:id="12" w:name="_Toc5699"/>
      <w:r>
        <w:rPr>
          <w:rFonts w:hint="eastAsia" w:ascii="楷体_GB2312" w:hAnsi="Times New Roman" w:eastAsia="楷体_GB2312" w:cs="仿宋_GB2312"/>
          <w:sz w:val="32"/>
          <w:szCs w:val="32"/>
        </w:rPr>
        <w:t>（二）项目绩效目标</w:t>
      </w:r>
      <w:bookmarkEnd w:id="10"/>
      <w:bookmarkEnd w:id="11"/>
      <w:bookmarkEnd w:id="12"/>
    </w:p>
    <w:p>
      <w:pPr>
        <w:pStyle w:val="17"/>
        <w:rPr>
          <w:rFonts w:hint="default" w:eastAsia="仿宋_GB2312"/>
          <w:lang w:val="en-US" w:eastAsia="zh-CN"/>
        </w:rPr>
      </w:pPr>
      <w:r>
        <w:rPr>
          <w:rFonts w:hint="eastAsia"/>
        </w:rPr>
        <w:t>本项目绩效目标为：</w:t>
      </w:r>
      <w:r>
        <w:rPr>
          <w:rFonts w:hint="eastAsia"/>
          <w:lang w:val="en-US" w:eastAsia="zh-CN"/>
        </w:rPr>
        <w:t>支持社会力量举办幼儿园，积极引导和扶持民办幼儿园提供普惠服务。</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13" w:name="_Toc65847358"/>
      <w:bookmarkStart w:id="14" w:name="_Toc66801448"/>
      <w:bookmarkStart w:id="15" w:name="_Toc16960"/>
      <w:r>
        <w:rPr>
          <w:rFonts w:hint="eastAsia" w:ascii="Times New Roman" w:hAnsi="黑体" w:eastAsia="黑体" w:cs="黑体"/>
          <w:sz w:val="32"/>
          <w:szCs w:val="32"/>
        </w:rPr>
        <w:t>二、绩效评价工作开展情况</w:t>
      </w:r>
      <w:bookmarkEnd w:id="13"/>
      <w:bookmarkEnd w:id="14"/>
      <w:bookmarkEnd w:id="15"/>
    </w:p>
    <w:p>
      <w:pPr>
        <w:spacing w:line="360" w:lineRule="auto"/>
        <w:ind w:firstLine="640" w:firstLineChars="200"/>
        <w:outlineLvl w:val="1"/>
        <w:rPr>
          <w:rFonts w:ascii="楷体_GB2312" w:hAnsi="Times New Roman" w:eastAsia="楷体_GB2312" w:cs="仿宋_GB2312"/>
          <w:sz w:val="32"/>
          <w:szCs w:val="32"/>
        </w:rPr>
      </w:pPr>
      <w:bookmarkStart w:id="16" w:name="_Toc65847359"/>
      <w:bookmarkStart w:id="17" w:name="_Toc66801449"/>
      <w:bookmarkStart w:id="18" w:name="_Toc16140"/>
      <w:r>
        <w:rPr>
          <w:rFonts w:hint="eastAsia" w:ascii="楷体_GB2312" w:hAnsi="Times New Roman" w:eastAsia="楷体_GB2312" w:cs="仿宋_GB2312"/>
          <w:sz w:val="32"/>
          <w:szCs w:val="32"/>
        </w:rPr>
        <w:t>（一）绩效评价目的、对象和范围</w:t>
      </w:r>
      <w:bookmarkEnd w:id="16"/>
      <w:bookmarkEnd w:id="17"/>
      <w:bookmarkEnd w:id="18"/>
    </w:p>
    <w:p>
      <w:pPr>
        <w:spacing w:line="360" w:lineRule="auto"/>
        <w:ind w:firstLine="640" w:firstLineChars="200"/>
        <w:outlineLvl w:val="2"/>
        <w:rPr>
          <w:rFonts w:ascii="Times New Roman" w:hAnsi="Times New Roman" w:eastAsia="仿宋_GB2312" w:cs="仿宋_GB2312"/>
          <w:sz w:val="32"/>
          <w:szCs w:val="32"/>
        </w:rPr>
      </w:pPr>
      <w:bookmarkStart w:id="19" w:name="_Toc66801450"/>
      <w:bookmarkStart w:id="20" w:name="_Toc65847360"/>
      <w:bookmarkStart w:id="21" w:name="_Toc22794"/>
      <w:r>
        <w:rPr>
          <w:rFonts w:hint="eastAsia" w:ascii="Times New Roman" w:hAnsi="Times New Roman" w:eastAsia="仿宋_GB2312" w:cs="仿宋_GB2312"/>
          <w:sz w:val="32"/>
          <w:szCs w:val="32"/>
        </w:rPr>
        <w:t>1.绩效评价目的</w:t>
      </w:r>
      <w:bookmarkEnd w:id="19"/>
      <w:bookmarkEnd w:id="20"/>
      <w:bookmarkEnd w:id="2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（1）为推进全面实施预算绩效管理，建立科学、合理的预算绩效评价管理体系，提高财政资金使用效益。</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（2）通过</w:t>
      </w:r>
      <w:r>
        <w:rPr>
          <w:rFonts w:hint="eastAsia" w:ascii="Times New Roman" w:hAnsi="Times New Roman" w:eastAsia="仿宋_GB2312" w:cs="仿宋_GB2312"/>
          <w:sz w:val="32"/>
          <w:szCs w:val="32"/>
          <w:lang w:val="en-US" w:eastAsia="zh-CN"/>
        </w:rPr>
        <w:t>对</w:t>
      </w:r>
      <w:r>
        <w:rPr>
          <w:rFonts w:hint="eastAsia" w:ascii="Times New Roman" w:hAnsi="Times New Roman" w:eastAsia="仿宋_GB2312" w:cs="仿宋_GB2312"/>
          <w:sz w:val="32"/>
          <w:szCs w:val="32"/>
        </w:rPr>
        <w:t>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的绩效评价，了解和掌握项目实施的具体情况，评价其项目资金安排的科学性、合理性、规范性和资金使用成效，及时总结项目管理经验，完善项目管理办法，提高项目管理水平和资金的使用效益，切实提高整体及核心业务实施效果。</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促使项目承担部门根据绩效评价中发现的问题，将绩效结果与完善政策和改进管理挂钩，及时调整和完善部门的工作计划和绩效目标，加强绩效管理，提高管理水平，为项目后续资金投入、分配和管理提供决策依据。</w:t>
      </w:r>
    </w:p>
    <w:p>
      <w:pPr>
        <w:spacing w:line="360" w:lineRule="auto"/>
        <w:ind w:firstLine="640" w:firstLineChars="200"/>
        <w:outlineLvl w:val="2"/>
        <w:rPr>
          <w:rFonts w:ascii="Times New Roman" w:hAnsi="Times New Roman" w:eastAsia="仿宋_GB2312" w:cs="仿宋_GB2312"/>
          <w:sz w:val="32"/>
          <w:szCs w:val="32"/>
        </w:rPr>
      </w:pPr>
      <w:bookmarkStart w:id="22" w:name="_Toc66801451"/>
      <w:bookmarkStart w:id="23" w:name="_Toc65847361"/>
      <w:bookmarkStart w:id="24" w:name="_Toc25053"/>
      <w:r>
        <w:rPr>
          <w:rFonts w:hint="eastAsia" w:ascii="Times New Roman" w:hAnsi="Times New Roman" w:eastAsia="仿宋_GB2312" w:cs="仿宋_GB2312"/>
          <w:sz w:val="32"/>
          <w:szCs w:val="32"/>
        </w:rPr>
        <w:t>2.绩效评价对象</w:t>
      </w:r>
      <w:bookmarkEnd w:id="22"/>
      <w:bookmarkEnd w:id="23"/>
      <w:bookmarkEnd w:id="24"/>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w:t>
      </w:r>
      <w:r>
        <w:rPr>
          <w:rFonts w:hint="eastAsia" w:ascii="Times New Roman" w:hAnsi="Times New Roman" w:eastAsia="仿宋_GB2312" w:cs="仿宋_GB2312"/>
          <w:sz w:val="32"/>
          <w:szCs w:val="32"/>
          <w:lang w:val="en-US" w:eastAsia="zh-CN"/>
        </w:rPr>
        <w:t>实施</w:t>
      </w:r>
      <w:r>
        <w:rPr>
          <w:rFonts w:hint="eastAsia" w:ascii="Times New Roman" w:hAnsi="Times New Roman" w:eastAsia="仿宋_GB2312" w:cs="仿宋_GB2312"/>
          <w:sz w:val="32"/>
          <w:szCs w:val="32"/>
        </w:rPr>
        <w:t>单位为天津市</w:t>
      </w:r>
      <w:r>
        <w:rPr>
          <w:rFonts w:hint="eastAsia" w:ascii="Times New Roman" w:hAnsi="Times New Roman" w:eastAsia="仿宋_GB2312" w:cs="仿宋_GB2312"/>
          <w:sz w:val="32"/>
          <w:szCs w:val="32"/>
          <w:lang w:val="en-US" w:eastAsia="zh-CN"/>
        </w:rPr>
        <w:t>东丽区教育局</w:t>
      </w:r>
      <w:r>
        <w:rPr>
          <w:rFonts w:hint="eastAsia" w:ascii="Times New Roman" w:hAnsi="Times New Roman" w:eastAsia="仿宋_GB2312" w:cs="仿宋_GB2312"/>
          <w:sz w:val="32"/>
          <w:szCs w:val="32"/>
        </w:rPr>
        <w:t>。</w:t>
      </w:r>
    </w:p>
    <w:p>
      <w:pPr>
        <w:spacing w:line="360" w:lineRule="auto"/>
        <w:ind w:firstLine="640" w:firstLineChars="200"/>
        <w:outlineLvl w:val="2"/>
        <w:rPr>
          <w:rFonts w:ascii="Times New Roman" w:hAnsi="Times New Roman" w:eastAsia="仿宋_GB2312" w:cs="仿宋_GB2312"/>
          <w:sz w:val="32"/>
          <w:szCs w:val="32"/>
        </w:rPr>
      </w:pPr>
      <w:bookmarkStart w:id="25" w:name="_Toc65847362"/>
      <w:bookmarkStart w:id="26" w:name="_Toc66801452"/>
      <w:bookmarkStart w:id="27" w:name="_Toc27439"/>
      <w:r>
        <w:rPr>
          <w:rFonts w:hint="eastAsia" w:ascii="Times New Roman" w:hAnsi="Times New Roman" w:eastAsia="仿宋_GB2312" w:cs="仿宋_GB2312"/>
          <w:sz w:val="32"/>
          <w:szCs w:val="32"/>
        </w:rPr>
        <w:t>3.绩效评价范围</w:t>
      </w:r>
      <w:bookmarkEnd w:id="25"/>
      <w:bookmarkEnd w:id="26"/>
      <w:bookmarkEnd w:id="2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本次绩效评价针对2020年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普惠性民办幼儿园生均经费补助资金项目展开，主要评价内容及范围如下：</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（1）立项依据和立项程序情况；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（2）绩效目标和指标设定情况；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（3）预算编制和资金分配情况；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（4）资金管理和使用情况；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（5）相关制度办法的健全性及执行情况；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（6）实现的产出情况；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（7）取得的效益情况；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（8）其他相关内容。</w:t>
      </w:r>
    </w:p>
    <w:p>
      <w:pPr>
        <w:spacing w:line="360" w:lineRule="auto"/>
        <w:ind w:firstLine="640" w:firstLineChars="200"/>
        <w:outlineLvl w:val="1"/>
        <w:rPr>
          <w:rFonts w:ascii="楷体_GB2312" w:hAnsi="Times New Roman" w:eastAsia="楷体_GB2312" w:cs="仿宋_GB2312"/>
          <w:sz w:val="32"/>
          <w:szCs w:val="32"/>
        </w:rPr>
      </w:pPr>
      <w:bookmarkStart w:id="28" w:name="_Toc65847363"/>
      <w:bookmarkStart w:id="29" w:name="_Toc66801453"/>
      <w:bookmarkStart w:id="30" w:name="_Toc11079"/>
      <w:r>
        <w:rPr>
          <w:rFonts w:hint="eastAsia" w:ascii="楷体_GB2312" w:hAnsi="Times New Roman" w:eastAsia="楷体_GB2312" w:cs="仿宋_GB2312"/>
          <w:sz w:val="32"/>
          <w:szCs w:val="32"/>
        </w:rPr>
        <w:t>（二）绩效评价原则、评价指标体系、评价方法与标准</w:t>
      </w:r>
      <w:bookmarkEnd w:id="28"/>
      <w:bookmarkEnd w:id="29"/>
      <w:bookmarkEnd w:id="30"/>
    </w:p>
    <w:p>
      <w:pPr>
        <w:spacing w:line="360" w:lineRule="auto"/>
        <w:ind w:firstLine="640" w:firstLineChars="200"/>
        <w:outlineLvl w:val="2"/>
        <w:rPr>
          <w:rFonts w:ascii="Times New Roman" w:hAnsi="Times New Roman" w:eastAsia="仿宋_GB2312" w:cs="仿宋_GB2312"/>
          <w:sz w:val="32"/>
          <w:szCs w:val="32"/>
        </w:rPr>
      </w:pPr>
      <w:bookmarkStart w:id="31" w:name="_Toc66801454"/>
      <w:bookmarkStart w:id="32" w:name="_Toc65847364"/>
      <w:bookmarkStart w:id="33" w:name="_Toc16517"/>
      <w:r>
        <w:rPr>
          <w:rFonts w:hint="eastAsia" w:ascii="Times New Roman" w:hAnsi="Times New Roman" w:eastAsia="仿宋_GB2312" w:cs="仿宋_GB2312"/>
          <w:sz w:val="32"/>
          <w:szCs w:val="32"/>
        </w:rPr>
        <w:t>1.绩效评价原则</w:t>
      </w:r>
      <w:bookmarkEnd w:id="31"/>
      <w:bookmarkEnd w:id="32"/>
      <w:bookmarkEnd w:id="3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（1）坚持科学规范的原则。此次绩效评价运用科学合理的评价指标体系和方法，按照规范的程序，对支出绩效进行客观、公正的反映。</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坚持统筹兼顾的原则。单位自评、部门评价和财政评价各方职责明确，各有侧重，互相衔接。按照“谁支出、谁自评”的原则，绩效自评由项目单位自主实施，市级部门对部门本级和所属单位的绩效自评结果负责。此次评价我方作为第三方受委托机构开展绩效评价工作。</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（3）坚持激励约束的原则。本次绩效评价结果可以作为预算安排、政策调整、改进管理的参考，绩效评价工作将体现奖优罚劣和激励相容导向，有效要安排、低效要压减、无效要问责。</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（4）坚持公开透明的原则。承诺绩效评价结果依法依规公开，自觉接受有关机构和社会监督。</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（5）坚持综合绩效评价，定量分析与定性分析相结合的原则。</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（6）坚持绩效相关的原则。此次绩效评价将针对具体支出及其产出绩效进行，评价结果将清晰反映支出和产出绩效之间的紧密对应关系。</w:t>
      </w:r>
    </w:p>
    <w:p>
      <w:pPr>
        <w:spacing w:line="360" w:lineRule="auto"/>
        <w:ind w:firstLine="640" w:firstLineChars="200"/>
        <w:outlineLvl w:val="2"/>
        <w:rPr>
          <w:rFonts w:ascii="Times New Roman" w:hAnsi="Times New Roman" w:eastAsia="仿宋_GB2312" w:cs="仿宋_GB2312"/>
          <w:sz w:val="32"/>
          <w:szCs w:val="32"/>
        </w:rPr>
      </w:pPr>
      <w:bookmarkStart w:id="34" w:name="_Toc66801455"/>
      <w:bookmarkStart w:id="35" w:name="_Toc65847365"/>
      <w:bookmarkStart w:id="36" w:name="_Toc814"/>
      <w:r>
        <w:rPr>
          <w:rFonts w:hint="eastAsia" w:ascii="Times New Roman" w:hAnsi="Times New Roman" w:eastAsia="仿宋_GB2312" w:cs="仿宋_GB2312"/>
          <w:sz w:val="32"/>
          <w:szCs w:val="32"/>
        </w:rPr>
        <w:t>2.绩效评价指标体系</w:t>
      </w:r>
      <w:bookmarkEnd w:id="34"/>
      <w:bookmarkEnd w:id="35"/>
      <w:bookmarkEnd w:id="36"/>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本项目绩效评价指标体系由决策、过程、产出及效益四部分指标构成，此体系满分100分（绩效评价指标体系详细见附件），其中：</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（1）决策指标（17分）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决策指标包括项目立项、绩效目标和资金投入3项二级指标、6项三级指标，总分合计17分。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①项目立项（4分）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立项依据充分性”、“立项程序规范性”2项三级指标。“立项依据充分性”指标评价项目立项是否符合国家法律法规、国民经济发展规划和相关政策，是否与部门职责范围相符，属于部门履职所需；是否属于公共财政支持范围；“立项程序规范性”指标评价项目是否按照规定的程序申请设立，审批文件、材料是否符合相关要求。</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②绩效目标（7分）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绩效目标合理性”、“绩效指标明确性”2项三级指标。“绩效目标合理性”指标评价项目是否有绩效目标（如未设定预算绩效目标，也可考核其他工作任务目标），项目绩效目标与实际工作内容是否具有相关性，项目预期产出效益和效果是否符合正常的业绩水平，是否与预算确定的项目投资额或资金量相匹配；“绩效指标明确性”指标评价项目是否将项目绩效目标细化分解为具体的绩效指标，是否通过清晰、可衡量的指标值予以体现，是否与项目目标任务数或计划数相对应。</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③资金投入（6分）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预算编制科学性”、“资金分配合理性”2项三级指标。“预算编制科学性”指标评价项目预算编制是否经过科学论证，预算内容与项目内容是否匹配，预算额度测算依据是否充分，是否按照标准编制，预算确定的项目投资额或资金量是否与工作任务相匹配；“资金分配合理性”指标评价项目预算资金分配依据是否充分，资金分配额度是否合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（2）过程指标（23分）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过程指标主要包括资金管理、组织管理2项二级指标，6项三级指标。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①资金管理（16分）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资金到位率”、“资金到位及时率”、“预算执行率”、“资金使用合规性”4项三级指标。“资金到位率”指标通过实际到位资金与预算资金的比率考核资金落实情况；“资金到位及时率”指标通过及时到位资金与应到位资金的比率考核项目资金落实的及时性程度；“预算执行率”指标考核项目预算资金是否按照计划执行；“资金使用合规性”指标考核项目资金使用是否符合国家财经法规和财务管理制度以及有关专项资金管理办法的规定，资金的拨付是否有完整的审批程序和手续，是否符合项目预算批复或合同规定的用途，是否存在截留、挤占、挪用、虚列支出等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②组织实施（7分）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管理制度健全性”、“制度执行有效性”2项三级指标。“管理制度健全性”指标评价项目实施单位是否已制定或具有相应的财务和业务管理制度，与上位法要求是否相符，财务和业务管理制度是否合法、合规、完整；“制度执行有效性”指标评价项目实施是否遵守相关法律法规和相关管理规定，项目合同书、验收报告、技术鉴定等资料是否齐全并及时归档，是否符合政府采购相关政策。</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（3）产出指标（40分）</w:t>
      </w:r>
    </w:p>
    <w:p>
      <w:pPr>
        <w:spacing w:line="360" w:lineRule="auto"/>
        <w:ind w:firstLine="640" w:firstLineChars="200"/>
        <w:rPr>
          <w:rFonts w:ascii="Times New Roman" w:hAnsi="Times New Roman" w:eastAsia="仿宋_GB2312" w:cs="仿宋_GB2312"/>
          <w:sz w:val="32"/>
          <w:szCs w:val="32"/>
        </w:rPr>
      </w:pPr>
      <w:bookmarkStart w:id="37" w:name="_Hlk64725945"/>
      <w:r>
        <w:rPr>
          <w:rFonts w:hint="eastAsia" w:ascii="Times New Roman" w:hAnsi="Times New Roman" w:eastAsia="仿宋_GB2312" w:cs="仿宋_GB2312"/>
          <w:sz w:val="32"/>
          <w:szCs w:val="32"/>
        </w:rPr>
        <w:t>产出指标主要包括产出数量、产出质量、产出时效、产出成本4项二级指标，</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项三级指标。</w:t>
      </w:r>
    </w:p>
    <w:bookmarkEnd w:id="37"/>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①产出数量（1</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该指标包含“扶持普惠民办幼儿园数量</w:t>
      </w:r>
      <w:r>
        <w:rPr>
          <w:rFonts w:hint="eastAsia" w:ascii="Times New Roman" w:hAnsi="Times New Roman" w:eastAsia="仿宋_GB2312" w:cs="仿宋_GB2312"/>
          <w:sz w:val="32"/>
          <w:szCs w:val="32"/>
          <w:lang w:val="en-US" w:eastAsia="zh-CN"/>
        </w:rPr>
        <w:t>实现情况</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项三级指标。“扶持普惠民办幼儿园数量</w:t>
      </w:r>
      <w:r>
        <w:rPr>
          <w:rFonts w:hint="eastAsia" w:ascii="Times New Roman" w:hAnsi="Times New Roman" w:eastAsia="仿宋_GB2312" w:cs="仿宋_GB2312"/>
          <w:sz w:val="32"/>
          <w:szCs w:val="32"/>
          <w:lang w:val="en-US" w:eastAsia="zh-CN"/>
        </w:rPr>
        <w:t>实现情况</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指</w:t>
      </w:r>
      <w:r>
        <w:rPr>
          <w:rFonts w:hint="eastAsia" w:ascii="Times New Roman" w:hAnsi="Times New Roman" w:eastAsia="仿宋_GB2312" w:cs="仿宋_GB2312"/>
          <w:sz w:val="32"/>
          <w:szCs w:val="32"/>
        </w:rPr>
        <w:t>补助幼儿园实际数量与计划补助数量的比率，用以反映和考核扶持普惠性民办幼儿园数量目标的实现程度。</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②产出质量（1</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该指标包含“向普惠性民办幼儿园发放补助资金的完成效果”</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项三级指标。</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向普惠性民办幼儿园发放补助资金的完成效果</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指扶持幼儿园工作质量达标情况</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用以反映和考核扶持普惠性民办幼儿园</w:t>
      </w:r>
      <w:r>
        <w:rPr>
          <w:rFonts w:hint="eastAsia" w:ascii="Times New Roman" w:hAnsi="Times New Roman" w:eastAsia="仿宋_GB2312" w:cs="仿宋_GB2312"/>
          <w:sz w:val="32"/>
          <w:szCs w:val="32"/>
          <w:lang w:val="en-US" w:eastAsia="zh-CN"/>
        </w:rPr>
        <w:t>质量</w:t>
      </w:r>
      <w:r>
        <w:rPr>
          <w:rFonts w:hint="eastAsia" w:ascii="Times New Roman" w:hAnsi="Times New Roman" w:eastAsia="仿宋_GB2312" w:cs="仿宋_GB2312"/>
          <w:sz w:val="32"/>
          <w:szCs w:val="32"/>
        </w:rPr>
        <w:t>目标的实现程度。</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③产出时效（</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bookmarkStart w:id="38" w:name="_Hlk64726037"/>
      <w:r>
        <w:rPr>
          <w:rFonts w:hint="eastAsia" w:ascii="Times New Roman" w:hAnsi="Times New Roman" w:eastAsia="仿宋_GB2312" w:cs="仿宋_GB2312"/>
          <w:sz w:val="32"/>
          <w:szCs w:val="32"/>
        </w:rPr>
        <w:t>该指标包含“补助资金</w:t>
      </w:r>
      <w:r>
        <w:rPr>
          <w:rFonts w:hint="eastAsia" w:ascii="Times New Roman" w:hAnsi="Times New Roman" w:eastAsia="仿宋_GB2312" w:cs="仿宋_GB2312"/>
          <w:sz w:val="32"/>
          <w:szCs w:val="32"/>
          <w:lang w:val="en-US" w:eastAsia="zh-CN"/>
        </w:rPr>
        <w:t>拨付完成时间”1</w:t>
      </w:r>
      <w:r>
        <w:rPr>
          <w:rFonts w:hint="eastAsia" w:ascii="Times New Roman" w:hAnsi="Times New Roman" w:eastAsia="仿宋_GB2312" w:cs="仿宋_GB2312"/>
          <w:sz w:val="32"/>
          <w:szCs w:val="32"/>
        </w:rPr>
        <w:t>项三级指标。</w:t>
      </w:r>
      <w:bookmarkEnd w:id="38"/>
      <w:r>
        <w:rPr>
          <w:rFonts w:hint="eastAsia" w:ascii="Times New Roman" w:hAnsi="Times New Roman" w:eastAsia="仿宋_GB2312" w:cs="仿宋_GB2312"/>
          <w:sz w:val="32"/>
          <w:szCs w:val="32"/>
        </w:rPr>
        <w:t>“补助资金</w:t>
      </w:r>
      <w:r>
        <w:rPr>
          <w:rFonts w:hint="eastAsia" w:ascii="Times New Roman" w:hAnsi="Times New Roman" w:eastAsia="仿宋_GB2312" w:cs="仿宋_GB2312"/>
          <w:sz w:val="32"/>
          <w:szCs w:val="32"/>
          <w:lang w:val="en-US" w:eastAsia="zh-CN"/>
        </w:rPr>
        <w:t>拨付完成时间”指</w:t>
      </w:r>
      <w:r>
        <w:rPr>
          <w:rFonts w:hint="eastAsia" w:ascii="Times New Roman" w:hAnsi="Times New Roman" w:eastAsia="仿宋_GB2312" w:cs="仿宋_GB2312"/>
          <w:sz w:val="32"/>
          <w:szCs w:val="32"/>
        </w:rPr>
        <w:t>向普惠性民办幼儿园拨付资金</w:t>
      </w:r>
      <w:r>
        <w:rPr>
          <w:rFonts w:hint="eastAsia" w:ascii="Times New Roman" w:hAnsi="Times New Roman" w:eastAsia="仿宋_GB2312" w:cs="仿宋_GB2312"/>
          <w:sz w:val="32"/>
          <w:szCs w:val="32"/>
          <w:lang w:val="en-US" w:eastAsia="zh-CN"/>
        </w:rPr>
        <w:t>是否</w:t>
      </w:r>
      <w:r>
        <w:rPr>
          <w:rFonts w:hint="eastAsia" w:ascii="Times New Roman" w:hAnsi="Times New Roman" w:eastAsia="仿宋_GB2312" w:cs="仿宋_GB2312"/>
          <w:sz w:val="32"/>
          <w:szCs w:val="32"/>
        </w:rPr>
        <w:t>在2020年12月31日之前完成</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用以反映和考核扶持普惠性民办幼儿园</w:t>
      </w:r>
      <w:r>
        <w:rPr>
          <w:rFonts w:hint="eastAsia" w:ascii="Times New Roman" w:hAnsi="Times New Roman" w:eastAsia="仿宋_GB2312" w:cs="仿宋_GB2312"/>
          <w:sz w:val="32"/>
          <w:szCs w:val="32"/>
          <w:lang w:val="en-US" w:eastAsia="zh-CN"/>
        </w:rPr>
        <w:t>时效</w:t>
      </w:r>
      <w:r>
        <w:rPr>
          <w:rFonts w:hint="eastAsia" w:ascii="Times New Roman" w:hAnsi="Times New Roman" w:eastAsia="仿宋_GB2312" w:cs="仿宋_GB2312"/>
          <w:sz w:val="32"/>
          <w:szCs w:val="32"/>
        </w:rPr>
        <w:t>目标的实现程度。</w:t>
      </w:r>
    </w:p>
    <w:p>
      <w:pPr>
        <w:spacing w:line="360" w:lineRule="auto"/>
        <w:ind w:firstLine="640" w:firstLineChars="200"/>
        <w:rPr>
          <w:rFonts w:hint="default" w:ascii="Times New Roman" w:hAnsi="Times New Roman" w:eastAsia="仿宋_GB2312" w:cs="仿宋_GB2312"/>
          <w:sz w:val="32"/>
          <w:szCs w:val="32"/>
          <w:lang w:val="en-US" w:eastAsia="zh-CN"/>
        </w:rPr>
      </w:pP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④产出成本（</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该指标包含“</w:t>
      </w:r>
      <w:r>
        <w:rPr>
          <w:rFonts w:hint="eastAsia" w:ascii="Times New Roman" w:hAnsi="Times New Roman" w:eastAsia="仿宋_GB2312" w:cs="仿宋_GB2312"/>
          <w:sz w:val="32"/>
          <w:szCs w:val="32"/>
          <w:lang w:val="en-US" w:eastAsia="zh-CN"/>
        </w:rPr>
        <w:t>资金拨付额度</w:t>
      </w:r>
      <w:r>
        <w:rPr>
          <w:rFonts w:hint="eastAsia" w:ascii="Times New Roman" w:hAnsi="Times New Roman" w:eastAsia="仿宋_GB2312" w:cs="仿宋_GB2312"/>
          <w:sz w:val="32"/>
          <w:szCs w:val="32"/>
        </w:rPr>
        <w:t>”1项三级指标，完成项目计划工作目标的实际支出是否在实际拨付预算之内，用以反映和考核项目的成本节约程度。</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（4）效益指标（20分）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该指标包含项目效益1项二级指标，</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项三级指标。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①项目效益（20分）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该指标包含“社会效益”、“受益群体满意度”</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项三级指标。“社会效益”指项目实施后所产生的社会影响，用以反映和考核项目实施是否对</w:t>
      </w:r>
      <w:r>
        <w:rPr>
          <w:rFonts w:hint="eastAsia" w:ascii="Times New Roman" w:hAnsi="Times New Roman" w:eastAsia="仿宋_GB2312" w:cs="仿宋_GB2312"/>
          <w:sz w:val="32"/>
          <w:szCs w:val="32"/>
          <w:lang w:val="en-US" w:eastAsia="zh-CN"/>
        </w:rPr>
        <w:t>学前教育普及度</w:t>
      </w:r>
      <w:r>
        <w:rPr>
          <w:rFonts w:hint="eastAsia" w:ascii="Times New Roman" w:hAnsi="Times New Roman" w:eastAsia="仿宋_GB2312" w:cs="仿宋_GB2312"/>
          <w:sz w:val="32"/>
          <w:szCs w:val="32"/>
        </w:rPr>
        <w:t>起到改善作用。“受益群体满意度”指受益群体对项目实施效果的满意程度。一般采取问卷调查的方式。</w:t>
      </w:r>
    </w:p>
    <w:p>
      <w:pPr>
        <w:spacing w:line="360" w:lineRule="auto"/>
        <w:ind w:firstLine="640" w:firstLineChars="200"/>
        <w:outlineLvl w:val="2"/>
        <w:rPr>
          <w:rFonts w:ascii="Times New Roman" w:hAnsi="Times New Roman" w:eastAsia="仿宋_GB2312" w:cs="仿宋_GB2312"/>
          <w:sz w:val="32"/>
          <w:szCs w:val="32"/>
        </w:rPr>
      </w:pPr>
      <w:bookmarkStart w:id="39" w:name="_Toc65847366"/>
      <w:bookmarkStart w:id="40" w:name="_Toc66801456"/>
      <w:bookmarkStart w:id="41" w:name="_Toc27447"/>
      <w:r>
        <w:rPr>
          <w:rFonts w:hint="eastAsia" w:ascii="Times New Roman" w:hAnsi="Times New Roman" w:eastAsia="仿宋_GB2312" w:cs="仿宋_GB2312"/>
          <w:sz w:val="32"/>
          <w:szCs w:val="32"/>
        </w:rPr>
        <w:t>3.绩效评价方法与标准</w:t>
      </w:r>
      <w:bookmarkEnd w:id="39"/>
      <w:bookmarkEnd w:id="40"/>
      <w:bookmarkEnd w:id="4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（1）绩效评价方法</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方法主要包括成本效益分析法、比较法、因素分析法、最低成本法、公众评判法、标杆管理法等。根据评价对象的具体情况，可采用一种或多种方法进行绩效评价。本项目绩效评价方法主要采用成本效益分析法，将评价期内的投入与产出、效益进行关联性分析。主要工作方法包括资料收集与数据填报、实地调研、问卷调查等相结合的方法开展评价工作，具体如下。</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资料收集与数据填报：对项目资料进行收集整理，以现场或非现场方式，通过询问、实地</w:t>
      </w:r>
      <w:r>
        <w:rPr>
          <w:rFonts w:hint="eastAsia" w:ascii="Times New Roman" w:hAnsi="Times New Roman" w:eastAsia="仿宋_GB2312" w:cs="仿宋_GB2312"/>
          <w:sz w:val="32"/>
          <w:szCs w:val="32"/>
          <w:lang w:val="en-US" w:eastAsia="zh-CN"/>
        </w:rPr>
        <w:t>考察</w:t>
      </w:r>
      <w:r>
        <w:rPr>
          <w:rFonts w:hint="eastAsia" w:ascii="Times New Roman" w:hAnsi="Times New Roman" w:eastAsia="仿宋_GB2312" w:cs="仿宋_GB2312"/>
          <w:sz w:val="32"/>
          <w:szCs w:val="32"/>
        </w:rPr>
        <w:t>等形式，核查项目资料是否真实、合理，从而对项目做出初步的判断和评价。</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实地调研：本项目为确保评价结果客观真实，评价机构将深入被评价单位，对评价对象的建设情况、施工质量、财务管理制度的建立和健全情况、项目管理责任制的建立和落实情况、资金的使用情况进行实地检查和核实。</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问卷调查法：发放问卷调查是确保有关定性指标真实、准确的基础，主要由评价人员亲自发放和收回，不得经由评价客体内部人员间接发放或收回。问卷调查表的发放范围和数量由评价机构根据评价工作的实际情况确定。</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绩效评价标准通常包括计划标准、行业标准、历史标准、国际标准等，用于对绩效指标完成情况进行比较。</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计划标准。指以预先制定的目标、计划、预算、定额等作为评价标准。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行业标准。指参照国家公布的行业指标数据制定的评价标准。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历史标准。指参照历史数据制定的评价标准，为体现绩效改进的原则，在可实现的条件下应当确定相对较高的评价标准。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国际标准。指参照其他国家同期发展水平或国际先进标准确定的评价标准。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财政部门和预算部门确认或认可的其他标准。</w:t>
      </w:r>
    </w:p>
    <w:p>
      <w:pPr>
        <w:spacing w:line="360" w:lineRule="auto"/>
        <w:ind w:firstLine="640" w:firstLineChars="200"/>
        <w:outlineLvl w:val="1"/>
        <w:rPr>
          <w:rFonts w:ascii="楷体_GB2312" w:hAnsi="Times New Roman" w:eastAsia="楷体_GB2312" w:cs="仿宋_GB2312"/>
          <w:sz w:val="32"/>
          <w:szCs w:val="32"/>
        </w:rPr>
      </w:pPr>
      <w:bookmarkStart w:id="42" w:name="_Toc65847367"/>
      <w:bookmarkStart w:id="43" w:name="_Toc66801457"/>
      <w:bookmarkStart w:id="44" w:name="_Toc15745"/>
      <w:r>
        <w:rPr>
          <w:rFonts w:hint="eastAsia" w:ascii="楷体_GB2312" w:hAnsi="Times New Roman" w:eastAsia="楷体_GB2312" w:cs="仿宋_GB2312"/>
          <w:sz w:val="32"/>
          <w:szCs w:val="32"/>
        </w:rPr>
        <w:t>（三）绩效评价工作过程</w:t>
      </w:r>
      <w:bookmarkEnd w:id="42"/>
      <w:bookmarkEnd w:id="43"/>
      <w:bookmarkEnd w:id="44"/>
    </w:p>
    <w:p>
      <w:pPr>
        <w:spacing w:line="360" w:lineRule="auto"/>
        <w:ind w:firstLine="640" w:firstLineChars="200"/>
        <w:outlineLvl w:val="2"/>
        <w:rPr>
          <w:rFonts w:ascii="Times New Roman" w:hAnsi="Times New Roman" w:eastAsia="仿宋_GB2312" w:cs="仿宋_GB2312"/>
          <w:sz w:val="32"/>
          <w:szCs w:val="32"/>
        </w:rPr>
      </w:pPr>
      <w:bookmarkStart w:id="45" w:name="_Toc65847368"/>
      <w:bookmarkStart w:id="46" w:name="_Toc66801458"/>
      <w:bookmarkStart w:id="47" w:name="_Toc6180"/>
      <w:r>
        <w:rPr>
          <w:rFonts w:hint="eastAsia" w:ascii="Times New Roman" w:hAnsi="Times New Roman" w:eastAsia="仿宋_GB2312" w:cs="仿宋_GB2312"/>
          <w:sz w:val="32"/>
          <w:szCs w:val="32"/>
        </w:rPr>
        <w:t>1.评价工作准备阶段</w:t>
      </w:r>
      <w:bookmarkEnd w:id="45"/>
      <w:bookmarkEnd w:id="46"/>
      <w:bookmarkEnd w:id="47"/>
    </w:p>
    <w:p>
      <w:pPr>
        <w:spacing w:line="360" w:lineRule="auto"/>
        <w:ind w:firstLine="640" w:firstLineChars="200"/>
        <w:rPr>
          <w:rFonts w:ascii="Times New Roman" w:hAnsi="Times New Roman" w:eastAsia="仿宋_GB2312" w:cs="仿宋_GB2312"/>
          <w:sz w:val="32"/>
          <w:szCs w:val="32"/>
        </w:rPr>
      </w:pPr>
      <w:bookmarkStart w:id="48" w:name="_Hlk90830472"/>
      <w:r>
        <w:rPr>
          <w:rFonts w:hint="eastAsia" w:ascii="Times New Roman" w:hAnsi="Times New Roman" w:eastAsia="仿宋_GB2312" w:cs="仿宋_GB2312"/>
          <w:sz w:val="32"/>
          <w:szCs w:val="32"/>
        </w:rPr>
        <w:t>2021年</w:t>
      </w:r>
      <w:r>
        <w:rPr>
          <w:rFonts w:ascii="Times New Roman" w:hAnsi="Times New Roman" w:eastAsia="仿宋_GB2312" w:cs="仿宋_GB2312"/>
          <w:sz w:val="32"/>
          <w:szCs w:val="32"/>
        </w:rPr>
        <w:t>12</w:t>
      </w:r>
      <w:r>
        <w:rPr>
          <w:rFonts w:hint="eastAsia" w:ascii="Times New Roman" w:hAnsi="Times New Roman" w:eastAsia="仿宋_GB2312" w:cs="仿宋_GB2312"/>
          <w:sz w:val="32"/>
          <w:szCs w:val="32"/>
        </w:rPr>
        <w:t>月，绩效评价组赴</w:t>
      </w:r>
      <w:r>
        <w:rPr>
          <w:rFonts w:hint="eastAsia" w:ascii="Times New Roman" w:hAnsi="Times New Roman" w:eastAsia="仿宋_GB2312" w:cs="仿宋_GB2312"/>
          <w:sz w:val="32"/>
          <w:szCs w:val="32"/>
          <w:lang w:val="en-US" w:eastAsia="zh-CN"/>
        </w:rPr>
        <w:t>东丽区教育局</w:t>
      </w:r>
      <w:r>
        <w:rPr>
          <w:rFonts w:hint="eastAsia" w:ascii="Times New Roman" w:hAnsi="Times New Roman" w:eastAsia="仿宋_GB2312" w:cs="仿宋_GB2312"/>
          <w:sz w:val="32"/>
          <w:szCs w:val="32"/>
        </w:rPr>
        <w:t>，了解本项目的资金落实、业务管理、财务管理、项目产出、项目效益等方面的情况介绍，介绍了2020年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普惠性民办幼儿园生均经费补助资金项目绩效评价工作的基本原则，对需配合单位及所需各类资料文件提出了要求。</w:t>
      </w:r>
    </w:p>
    <w:bookmarkEnd w:id="48"/>
    <w:p>
      <w:pPr>
        <w:spacing w:line="360" w:lineRule="auto"/>
        <w:ind w:firstLine="640" w:firstLineChars="200"/>
        <w:outlineLvl w:val="2"/>
        <w:rPr>
          <w:rFonts w:ascii="Times New Roman" w:hAnsi="Times New Roman" w:eastAsia="仿宋_GB2312" w:cs="仿宋_GB2312"/>
          <w:sz w:val="32"/>
          <w:szCs w:val="32"/>
        </w:rPr>
      </w:pPr>
      <w:bookmarkStart w:id="49" w:name="_Toc66801459"/>
      <w:bookmarkStart w:id="50" w:name="_Toc65847369"/>
      <w:bookmarkStart w:id="51" w:name="_Toc420"/>
      <w:r>
        <w:rPr>
          <w:rFonts w:hint="eastAsia" w:ascii="Times New Roman" w:hAnsi="Times New Roman" w:eastAsia="仿宋_GB2312" w:cs="仿宋_GB2312"/>
          <w:sz w:val="32"/>
          <w:szCs w:val="32"/>
        </w:rPr>
        <w:t>2.评价工作实施阶段</w:t>
      </w:r>
      <w:bookmarkEnd w:id="49"/>
      <w:bookmarkEnd w:id="50"/>
      <w:bookmarkEnd w:id="5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绩效评价组进驻</w:t>
      </w:r>
      <w:r>
        <w:rPr>
          <w:rFonts w:hint="eastAsia" w:ascii="Times New Roman" w:hAnsi="Times New Roman" w:eastAsia="仿宋_GB2312" w:cs="仿宋_GB2312"/>
          <w:sz w:val="32"/>
          <w:szCs w:val="32"/>
          <w:lang w:val="en-US" w:eastAsia="zh-CN"/>
        </w:rPr>
        <w:t>东丽区教育局</w:t>
      </w:r>
      <w:r>
        <w:rPr>
          <w:rFonts w:hint="eastAsia" w:ascii="Times New Roman" w:hAnsi="Times New Roman" w:eastAsia="仿宋_GB2312" w:cs="仿宋_GB2312"/>
          <w:sz w:val="32"/>
          <w:szCs w:val="32"/>
        </w:rPr>
        <w:t>进行沟通，收集项目基础资料，进行现场调研，开展绩效评价工作。绩效评价组编制评价工作实施方案，拟定需提交材料提纲，并向被评价单位发送资料清单。评价过程中，绩效评价组对</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普惠性民办幼儿园生均经费补助资金项目的立项、资金投入、资金管理、组织实施、产出数量、产出质量、产出时效、产出成本情况进行了全面梳理。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绩效评价组根据《2020年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w:t>
      </w:r>
      <w:r>
        <w:rPr>
          <w:rFonts w:hint="eastAsia" w:ascii="Times New Roman" w:hAnsi="Times New Roman" w:eastAsia="仿宋_GB2312" w:cs="仿宋_GB2312"/>
          <w:sz w:val="32"/>
          <w:szCs w:val="32"/>
          <w:lang w:val="en-US" w:eastAsia="zh-CN"/>
        </w:rPr>
        <w:t>目标完成情况</w:t>
      </w:r>
      <w:r>
        <w:rPr>
          <w:rFonts w:hint="eastAsia" w:ascii="Times New Roman" w:hAnsi="Times New Roman" w:eastAsia="仿宋_GB2312" w:cs="仿宋_GB2312"/>
          <w:sz w:val="32"/>
          <w:szCs w:val="32"/>
        </w:rPr>
        <w:t>自评表》的内容，确定了2020年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普惠性民办幼儿园生均经费补助资金项目政策方向及效果目标。</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绩效评价组进驻后现场实际查阅的2020年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普惠性民办幼儿园生均经费补助资金项目专项经费使用情况，对项目立项情况、专项经费到位情况、专项经费支出范围和规范性及完成情况进行了核查。</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绩效评价组实地核查了2020年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普惠性民办幼儿园生均经费补助资金项目的建设开展情况及取得效益的实际情况，并通过现场实际</w:t>
      </w:r>
      <w:r>
        <w:rPr>
          <w:rFonts w:hint="eastAsia" w:ascii="Times New Roman" w:hAnsi="Times New Roman" w:eastAsia="仿宋_GB2312" w:cs="仿宋_GB2312"/>
          <w:sz w:val="32"/>
          <w:szCs w:val="32"/>
          <w:lang w:val="en-US" w:eastAsia="zh-CN"/>
        </w:rPr>
        <w:t>考察</w:t>
      </w:r>
      <w:r>
        <w:rPr>
          <w:rFonts w:hint="eastAsia" w:ascii="Times New Roman" w:hAnsi="Times New Roman" w:eastAsia="仿宋_GB2312" w:cs="仿宋_GB2312"/>
          <w:sz w:val="32"/>
          <w:szCs w:val="32"/>
        </w:rPr>
        <w:t>，形成相关意见。</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绩效评价组依据绩效评价指标体系针对2020年</w:t>
      </w:r>
      <w:r>
        <w:rPr>
          <w:rFonts w:hint="eastAsia" w:ascii="Times New Roman" w:hAnsi="Times New Roman" w:eastAsia="仿宋_GB2312" w:cs="仿宋_GB2312"/>
          <w:sz w:val="32"/>
          <w:szCs w:val="32"/>
          <w:lang w:val="en-US" w:eastAsia="zh-CN"/>
        </w:rPr>
        <w:t>东丽区</w:t>
      </w:r>
      <w:r>
        <w:rPr>
          <w:rFonts w:hint="eastAsia" w:ascii="Times New Roman" w:hAnsi="Times New Roman" w:eastAsia="仿宋_GB2312" w:cs="仿宋_GB2312"/>
          <w:sz w:val="32"/>
          <w:szCs w:val="32"/>
        </w:rPr>
        <w:t>普惠性民办幼儿园生均经费补助资金提升改造项目编制了工作底稿，对绩效考核分项表及绩效考核汇总表进行评分，拟定绩效评价报告，全面梳理项目取得的成效，并针对存在问题提出工作整改建议。</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52" w:name="_Toc66801460"/>
      <w:bookmarkStart w:id="53" w:name="_Toc20254"/>
      <w:r>
        <w:rPr>
          <w:rFonts w:hint="eastAsia" w:ascii="Times New Roman" w:hAnsi="黑体" w:eastAsia="黑体" w:cs="黑体"/>
          <w:sz w:val="32"/>
          <w:szCs w:val="32"/>
        </w:rPr>
        <w:t>三、综合评价情况及评价结论</w:t>
      </w:r>
      <w:bookmarkEnd w:id="52"/>
      <w:bookmarkEnd w:id="53"/>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rPr>
        <w:t>经综合评价，如皋里社区提升改造项目得分</w:t>
      </w:r>
      <w:r>
        <w:rPr>
          <w:rFonts w:hint="eastAsia" w:ascii="Times New Roman" w:hAnsi="Times New Roman" w:eastAsia="仿宋_GB2312" w:cs="仿宋_GB2312"/>
          <w:sz w:val="32"/>
          <w:szCs w:val="32"/>
          <w:highlight w:val="none"/>
          <w:lang w:val="en-US" w:eastAsia="zh-CN"/>
        </w:rPr>
        <w:t>73</w:t>
      </w:r>
      <w:r>
        <w:rPr>
          <w:rFonts w:hint="eastAsia" w:ascii="Times New Roman" w:hAnsi="Times New Roman" w:eastAsia="仿宋_GB2312" w:cs="仿宋_GB2312"/>
          <w:sz w:val="32"/>
          <w:szCs w:val="32"/>
          <w:highlight w:val="none"/>
        </w:rPr>
        <w:t>分，绩效级别为“</w:t>
      </w:r>
      <w:r>
        <w:rPr>
          <w:rFonts w:hint="eastAsia" w:ascii="Times New Roman" w:hAnsi="Times New Roman" w:eastAsia="仿宋_GB2312" w:cs="仿宋_GB2312"/>
          <w:sz w:val="32"/>
          <w:szCs w:val="32"/>
          <w:highlight w:val="none"/>
          <w:lang w:val="en-US" w:eastAsia="zh-CN"/>
        </w:rPr>
        <w:t>合格</w:t>
      </w:r>
      <w:r>
        <w:rPr>
          <w:rFonts w:hint="eastAsia" w:ascii="Times New Roman" w:hAnsi="Times New Roman" w:eastAsia="仿宋_GB2312" w:cs="仿宋_GB2312"/>
          <w:sz w:val="32"/>
          <w:szCs w:val="32"/>
          <w:highlight w:val="none"/>
        </w:rPr>
        <w:t>”。项目决策得分为</w:t>
      </w:r>
      <w:r>
        <w:rPr>
          <w:rFonts w:hint="eastAsia" w:ascii="Times New Roman" w:hAnsi="Times New Roman" w:eastAsia="仿宋_GB2312" w:cs="仿宋_GB2312"/>
          <w:sz w:val="32"/>
          <w:szCs w:val="32"/>
          <w:highlight w:val="none"/>
          <w:lang w:val="en-US" w:eastAsia="zh-CN"/>
        </w:rPr>
        <w:t>7</w:t>
      </w:r>
      <w:r>
        <w:rPr>
          <w:rFonts w:hint="eastAsia" w:ascii="Times New Roman" w:hAnsi="Times New Roman" w:eastAsia="仿宋_GB2312" w:cs="仿宋_GB2312"/>
          <w:sz w:val="32"/>
          <w:szCs w:val="32"/>
          <w:highlight w:val="none"/>
        </w:rPr>
        <w:t>分、过程得分为</w:t>
      </w:r>
      <w:r>
        <w:rPr>
          <w:rFonts w:hint="eastAsia" w:ascii="Times New Roman" w:hAnsi="Times New Roman" w:eastAsia="仿宋_GB2312" w:cs="仿宋_GB2312"/>
          <w:sz w:val="32"/>
          <w:szCs w:val="32"/>
          <w:highlight w:val="none"/>
          <w:lang w:val="en-US" w:eastAsia="zh-CN"/>
        </w:rPr>
        <w:t>21</w:t>
      </w:r>
      <w:r>
        <w:rPr>
          <w:rFonts w:hint="eastAsia" w:ascii="Times New Roman" w:hAnsi="Times New Roman" w:eastAsia="仿宋_GB2312" w:cs="仿宋_GB2312"/>
          <w:sz w:val="32"/>
          <w:szCs w:val="32"/>
          <w:highlight w:val="none"/>
        </w:rPr>
        <w:t>分、产出得分为</w:t>
      </w:r>
      <w:r>
        <w:rPr>
          <w:rFonts w:hint="eastAsia" w:ascii="Times New Roman" w:hAnsi="Times New Roman" w:eastAsia="仿宋_GB2312" w:cs="仿宋_GB2312"/>
          <w:sz w:val="32"/>
          <w:szCs w:val="32"/>
          <w:highlight w:val="none"/>
          <w:lang w:val="en-US" w:eastAsia="zh-CN"/>
        </w:rPr>
        <w:t>30</w:t>
      </w:r>
      <w:r>
        <w:rPr>
          <w:rFonts w:hint="eastAsia" w:ascii="Times New Roman" w:hAnsi="Times New Roman" w:eastAsia="仿宋_GB2312" w:cs="仿宋_GB2312"/>
          <w:sz w:val="32"/>
          <w:szCs w:val="32"/>
          <w:highlight w:val="none"/>
        </w:rPr>
        <w:t>分、效益得分为</w:t>
      </w:r>
      <w:r>
        <w:rPr>
          <w:rFonts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lang w:val="en-US" w:eastAsia="zh-CN"/>
        </w:rPr>
        <w:t>5</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评价结论：本项目</w:t>
      </w:r>
      <w:r>
        <w:rPr>
          <w:rFonts w:hint="eastAsia" w:ascii="Times New Roman" w:hAnsi="Times New Roman" w:eastAsia="仿宋_GB2312" w:cs="仿宋_GB2312"/>
          <w:sz w:val="32"/>
          <w:szCs w:val="32"/>
          <w:highlight w:val="none"/>
          <w:lang w:val="en-US" w:eastAsia="zh-CN"/>
        </w:rPr>
        <w:t>立项</w:t>
      </w:r>
      <w:r>
        <w:rPr>
          <w:rFonts w:hint="eastAsia" w:ascii="Times New Roman" w:hAnsi="Times New Roman" w:eastAsia="仿宋_GB2312" w:cs="仿宋_GB2312"/>
          <w:sz w:val="32"/>
          <w:szCs w:val="32"/>
          <w:highlight w:val="none"/>
        </w:rPr>
        <w:t>依据</w:t>
      </w:r>
      <w:r>
        <w:rPr>
          <w:rFonts w:hint="eastAsia" w:ascii="Times New Roman" w:hAnsi="Times New Roman" w:eastAsia="仿宋_GB2312" w:cs="仿宋_GB2312"/>
          <w:sz w:val="32"/>
          <w:szCs w:val="32"/>
          <w:highlight w:val="none"/>
          <w:lang w:val="en-US" w:eastAsia="zh-CN"/>
        </w:rPr>
        <w:t>充分</w:t>
      </w:r>
      <w:r>
        <w:rPr>
          <w:rFonts w:hint="eastAsia" w:ascii="Times New Roman" w:hAnsi="Times New Roman" w:eastAsia="仿宋_GB2312" w:cs="仿宋_GB2312"/>
          <w:sz w:val="32"/>
          <w:szCs w:val="32"/>
          <w:highlight w:val="none"/>
        </w:rPr>
        <w:t>，政策落实到位，资金使用流程比较规范，项目产出</w:t>
      </w:r>
      <w:r>
        <w:rPr>
          <w:rFonts w:hint="eastAsia" w:ascii="Times New Roman" w:hAnsi="Times New Roman" w:eastAsia="仿宋_GB2312" w:cs="仿宋_GB2312"/>
          <w:sz w:val="32"/>
          <w:szCs w:val="32"/>
          <w:highlight w:val="none"/>
          <w:lang w:val="en-US" w:eastAsia="zh-CN"/>
        </w:rPr>
        <w:t>数量、质量、时效</w:t>
      </w:r>
      <w:r>
        <w:rPr>
          <w:rFonts w:hint="eastAsia" w:ascii="Times New Roman" w:hAnsi="Times New Roman" w:eastAsia="仿宋_GB2312" w:cs="仿宋_GB2312"/>
          <w:sz w:val="32"/>
          <w:szCs w:val="32"/>
          <w:highlight w:val="none"/>
        </w:rPr>
        <w:t>目标完成，</w:t>
      </w:r>
      <w:r>
        <w:rPr>
          <w:rFonts w:hint="eastAsia" w:ascii="Times New Roman" w:hAnsi="Times New Roman" w:eastAsia="仿宋_GB2312" w:cs="仿宋_GB2312"/>
          <w:sz w:val="32"/>
          <w:szCs w:val="32"/>
          <w:highlight w:val="none"/>
          <w:lang w:val="en-US" w:eastAsia="zh-CN"/>
        </w:rPr>
        <w:t>社会效益基本实现，</w:t>
      </w:r>
      <w:r>
        <w:rPr>
          <w:rFonts w:hint="eastAsia" w:ascii="Times New Roman" w:hAnsi="Times New Roman" w:eastAsia="仿宋_GB2312" w:cs="仿宋_GB2312"/>
          <w:sz w:val="32"/>
          <w:szCs w:val="32"/>
          <w:highlight w:val="none"/>
        </w:rPr>
        <w:t>但在</w:t>
      </w:r>
      <w:r>
        <w:rPr>
          <w:rFonts w:hint="eastAsia" w:ascii="Times New Roman" w:hAnsi="Times New Roman" w:eastAsia="仿宋_GB2312" w:cs="仿宋_GB2312"/>
          <w:sz w:val="32"/>
          <w:szCs w:val="32"/>
          <w:highlight w:val="none"/>
          <w:lang w:val="en-US" w:eastAsia="zh-CN"/>
        </w:rPr>
        <w:t>立项程序、</w:t>
      </w:r>
      <w:r>
        <w:rPr>
          <w:rFonts w:hint="eastAsia" w:ascii="Times New Roman" w:hAnsi="Times New Roman" w:eastAsia="仿宋_GB2312" w:cs="仿宋_GB2312"/>
          <w:sz w:val="32"/>
          <w:szCs w:val="32"/>
          <w:highlight w:val="none"/>
        </w:rPr>
        <w:t>绩效</w:t>
      </w:r>
      <w:r>
        <w:rPr>
          <w:rFonts w:hint="eastAsia" w:ascii="Times New Roman" w:hAnsi="Times New Roman" w:eastAsia="仿宋_GB2312" w:cs="仿宋_GB2312"/>
          <w:sz w:val="32"/>
          <w:szCs w:val="32"/>
          <w:highlight w:val="none"/>
          <w:lang w:val="en-US" w:eastAsia="zh-CN"/>
        </w:rPr>
        <w:t>目标</w:t>
      </w:r>
      <w:r>
        <w:rPr>
          <w:rFonts w:hint="eastAsia" w:ascii="Times New Roman" w:hAnsi="Times New Roman" w:eastAsia="仿宋_GB2312" w:cs="仿宋_GB2312"/>
          <w:sz w:val="32"/>
          <w:szCs w:val="32"/>
          <w:highlight w:val="none"/>
        </w:rPr>
        <w:t>制定、预算编制、</w:t>
      </w:r>
      <w:r>
        <w:rPr>
          <w:rFonts w:hint="eastAsia" w:ascii="Times New Roman" w:hAnsi="Times New Roman" w:eastAsia="仿宋_GB2312" w:cs="仿宋_GB2312"/>
          <w:sz w:val="32"/>
          <w:szCs w:val="32"/>
          <w:highlight w:val="none"/>
          <w:lang w:val="en-US" w:eastAsia="zh-CN"/>
        </w:rPr>
        <w:t>资金分配</w:t>
      </w:r>
      <w:r>
        <w:rPr>
          <w:rFonts w:hint="eastAsia" w:ascii="Times New Roman" w:hAnsi="Times New Roman" w:eastAsia="仿宋_GB2312" w:cs="仿宋_GB2312"/>
          <w:sz w:val="32"/>
          <w:szCs w:val="32"/>
          <w:highlight w:val="none"/>
        </w:rPr>
        <w:t>方面还需要进一步提升。</w:t>
      </w:r>
      <w:r>
        <w:rPr>
          <w:rFonts w:ascii="Times New Roman" w:hAnsi="Times New Roman" w:eastAsia="仿宋_GB2312" w:cs="仿宋_GB2312"/>
          <w:sz w:val="32"/>
          <w:szCs w:val="32"/>
          <w:highlight w:val="none"/>
        </w:rPr>
        <w:br w:type="page"/>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54" w:name="_Toc66801461"/>
      <w:bookmarkStart w:id="55" w:name="_Toc9782"/>
      <w:r>
        <w:rPr>
          <w:rFonts w:hint="eastAsia" w:ascii="Times New Roman" w:hAnsi="黑体" w:eastAsia="黑体" w:cs="黑体"/>
          <w:sz w:val="32"/>
          <w:szCs w:val="32"/>
        </w:rPr>
        <w:t>四、绩效评价指标分析</w:t>
      </w:r>
      <w:bookmarkEnd w:id="54"/>
      <w:bookmarkEnd w:id="55"/>
    </w:p>
    <w:p>
      <w:pPr>
        <w:spacing w:line="360" w:lineRule="auto"/>
        <w:ind w:firstLine="640" w:firstLineChars="200"/>
        <w:outlineLvl w:val="1"/>
        <w:rPr>
          <w:rFonts w:ascii="楷体_GB2312" w:hAnsi="Times New Roman" w:eastAsia="楷体_GB2312" w:cs="仿宋_GB2312"/>
          <w:sz w:val="32"/>
          <w:szCs w:val="32"/>
        </w:rPr>
      </w:pPr>
      <w:bookmarkStart w:id="56" w:name="_Toc66801462"/>
      <w:bookmarkStart w:id="57" w:name="_Toc2570"/>
      <w:r>
        <w:rPr>
          <w:rFonts w:hint="eastAsia" w:ascii="楷体_GB2312" w:hAnsi="Times New Roman" w:eastAsia="楷体_GB2312" w:cs="仿宋_GB2312"/>
          <w:sz w:val="32"/>
          <w:szCs w:val="32"/>
        </w:rPr>
        <w:t>（一）项目决策情况</w:t>
      </w:r>
      <w:bookmarkEnd w:id="56"/>
      <w:bookmarkEnd w:id="5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决策指标主要包括项目立项、绩效目标、资金投入3项二级指标，6项三级指标，基础总分17分，合计得分</w:t>
      </w:r>
      <w:r>
        <w:rPr>
          <w:rFonts w:hint="eastAsia" w:ascii="Times New Roman" w:hAnsi="Times New Roman" w:eastAsia="仿宋_GB2312" w:cs="仿宋_GB2312"/>
          <w:sz w:val="32"/>
          <w:szCs w:val="32"/>
          <w:lang w:val="en-US" w:eastAsia="zh-CN"/>
        </w:rPr>
        <w:t>7</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58" w:name="_Toc66801463"/>
      <w:bookmarkStart w:id="59" w:name="_Toc27684"/>
      <w:r>
        <w:rPr>
          <w:rFonts w:hint="eastAsia" w:ascii="Times New Roman" w:hAnsi="Times New Roman" w:eastAsia="仿宋_GB2312" w:cs="仿宋_GB2312"/>
          <w:sz w:val="32"/>
          <w:szCs w:val="32"/>
        </w:rPr>
        <w:t>1.项目立项</w:t>
      </w:r>
      <w:bookmarkEnd w:id="58"/>
      <w:bookmarkEnd w:id="5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（1）立项依据充分性（总分2分，得分</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《中华人民共和国民办教育促进法》第七章第四十五条规定</w:t>
      </w:r>
      <w:r>
        <w:rPr>
          <w:rFonts w:hint="eastAsia" w:ascii="Times New Roman" w:hAnsi="Times New Roman" w:eastAsia="仿宋_GB2312" w:cs="仿宋_GB2312"/>
          <w:sz w:val="32"/>
          <w:szCs w:val="32"/>
          <w:lang w:val="en-US" w:eastAsia="zh-CN"/>
        </w:rPr>
        <w:t>显示</w:t>
      </w:r>
      <w:r>
        <w:rPr>
          <w:rFonts w:hint="eastAsia" w:ascii="Times New Roman" w:hAnsi="Times New Roman" w:eastAsia="仿宋_GB2312" w:cs="仿宋_GB2312"/>
          <w:sz w:val="32"/>
          <w:szCs w:val="32"/>
        </w:rPr>
        <w:t>“县级以上各级人民政府可以设立专项资金，用于资助民办学校的发展”；《中华人民共和国民办教育促进法实施条例》第七章第五十二条规定</w:t>
      </w:r>
      <w:r>
        <w:rPr>
          <w:rFonts w:hint="eastAsia" w:ascii="Times New Roman" w:hAnsi="Times New Roman" w:eastAsia="仿宋_GB2312" w:cs="仿宋_GB2312"/>
          <w:sz w:val="32"/>
          <w:szCs w:val="32"/>
          <w:lang w:val="en-US" w:eastAsia="zh-CN"/>
        </w:rPr>
        <w:t>显示</w:t>
      </w:r>
      <w:r>
        <w:rPr>
          <w:rFonts w:hint="eastAsia" w:ascii="Times New Roman" w:hAnsi="Times New Roman" w:eastAsia="仿宋_GB2312" w:cs="仿宋_GB2312"/>
          <w:sz w:val="32"/>
          <w:szCs w:val="32"/>
        </w:rPr>
        <w:t>“各级人民政府及有关部门应当依法健全对民办学校的支持政策，优先扶持办学质量高、特色明显、社会效益显著的民办学校。县级以上地方人民政府可以参照同级同类公办学校生均经费等相关经费标准和支持政策，对非营利性民办学校给予适当补助”。《天津市人民政府办公厅关于印发大力发展学前教育两年行动方案（2019—2020年）的通知》（津政办发[2019]26号）第四章规定中显示“设立普惠性民办园财政补助资金专用账户，明确普惠性民办园财政补助资金可用于补助幼儿园运行支出，不得用于经营性支出、捐赠、偿还债务、付息、回报举办者、投资、大型基本建设等非基本办园支出”；《中共天津市委 天津市人民政府关于学前教育深化改革规范发展的实施意见》第三章第六条规定</w:t>
      </w:r>
      <w:r>
        <w:rPr>
          <w:rFonts w:hint="eastAsia" w:ascii="Times New Roman" w:hAnsi="Times New Roman" w:eastAsia="仿宋_GB2312" w:cs="仿宋_GB2312"/>
          <w:sz w:val="32"/>
          <w:szCs w:val="32"/>
          <w:lang w:val="en-US" w:eastAsia="zh-CN"/>
        </w:rPr>
        <w:t>显示</w:t>
      </w:r>
      <w:r>
        <w:rPr>
          <w:rFonts w:hint="eastAsia" w:ascii="Times New Roman" w:hAnsi="Times New Roman" w:eastAsia="仿宋_GB2312" w:cs="仿宋_GB2312"/>
          <w:sz w:val="32"/>
          <w:szCs w:val="32"/>
        </w:rPr>
        <w:t>“进一步加大学前教育投入力度，逐步提高学前教育财政投入和支持水平，主要用于扩大普惠性资源、补充配备教师、提高教师待遇、改善办园条件。市财政安排专项资金，对在城区独立选址新建、改建、扩建教育部门办幼儿园或分园，以及接收或利用小区配套幼儿园用房举办的公办园或普惠性民办园给予补助。</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为促进学前教育普及普惠安全优质发展，鼓励多种形式扩大普惠性学前教育资源，我市</w:t>
      </w:r>
      <w:r>
        <w:rPr>
          <w:rFonts w:hint="eastAsia" w:ascii="Times New Roman" w:hAnsi="Times New Roman" w:eastAsia="仿宋_GB2312" w:cs="仿宋_GB2312"/>
          <w:sz w:val="32"/>
          <w:szCs w:val="32"/>
        </w:rPr>
        <w:t>建立普惠性民办幼儿园生均经费补助项目，</w:t>
      </w:r>
      <w:r>
        <w:rPr>
          <w:rFonts w:hint="eastAsia" w:ascii="Times New Roman" w:hAnsi="Times New Roman" w:eastAsia="仿宋_GB2312" w:cs="仿宋_GB2312"/>
          <w:sz w:val="32"/>
          <w:szCs w:val="32"/>
          <w:lang w:val="en-US" w:eastAsia="zh-CN"/>
        </w:rPr>
        <w:t>并</w:t>
      </w:r>
      <w:r>
        <w:rPr>
          <w:rFonts w:hint="eastAsia" w:ascii="Times New Roman" w:hAnsi="Times New Roman" w:eastAsia="仿宋_GB2312" w:cs="仿宋_GB2312"/>
          <w:sz w:val="32"/>
          <w:szCs w:val="32"/>
        </w:rPr>
        <w:t>设立专项资金</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本项目立项符合国家法律法规、国民经济发展规划</w:t>
      </w:r>
      <w:r>
        <w:rPr>
          <w:rFonts w:hint="eastAsia" w:ascii="Times New Roman" w:hAnsi="Times New Roman" w:eastAsia="仿宋_GB2312" w:cs="仿宋_GB2312"/>
          <w:sz w:val="32"/>
          <w:szCs w:val="32"/>
          <w:lang w:val="en-US" w:eastAsia="zh-CN"/>
        </w:rPr>
        <w:t>和</w:t>
      </w:r>
      <w:r>
        <w:rPr>
          <w:rFonts w:hint="eastAsia" w:ascii="Times New Roman" w:hAnsi="Times New Roman" w:eastAsia="仿宋_GB2312" w:cs="仿宋_GB2312"/>
          <w:sz w:val="32"/>
          <w:szCs w:val="32"/>
        </w:rPr>
        <w:t>政策要求。</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《市教委 市财政局关于印发天津市普惠性民办幼儿园生均经费补助项目和资金管理办法的通知》（津教政[2019]12号）第二章第六条规定</w:t>
      </w:r>
      <w:r>
        <w:rPr>
          <w:rFonts w:hint="eastAsia" w:ascii="Times New Roman" w:hAnsi="Times New Roman" w:eastAsia="仿宋_GB2312" w:cs="仿宋_GB2312"/>
          <w:sz w:val="32"/>
          <w:szCs w:val="32"/>
          <w:lang w:val="en-US" w:eastAsia="zh-CN"/>
        </w:rPr>
        <w:t>显示</w:t>
      </w:r>
      <w:r>
        <w:rPr>
          <w:rFonts w:hint="eastAsia" w:ascii="Times New Roman" w:hAnsi="Times New Roman" w:eastAsia="仿宋_GB2312" w:cs="仿宋_GB2312"/>
          <w:sz w:val="32"/>
          <w:szCs w:val="32"/>
        </w:rPr>
        <w:t>“区教育局主要负责组织普惠性民办幼</w:t>
      </w:r>
      <w:r>
        <w:rPr>
          <w:rFonts w:hint="eastAsia" w:ascii="Times New Roman" w:hAnsi="Times New Roman" w:eastAsia="仿宋_GB2312" w:cs="仿宋_GB2312"/>
          <w:sz w:val="32"/>
          <w:szCs w:val="32"/>
          <w:lang w:val="en-US" w:eastAsia="zh-CN"/>
        </w:rPr>
        <w:t>儿</w:t>
      </w:r>
      <w:r>
        <w:rPr>
          <w:rFonts w:hint="eastAsia" w:ascii="Times New Roman" w:hAnsi="Times New Roman" w:eastAsia="仿宋_GB2312" w:cs="仿宋_GB2312"/>
          <w:sz w:val="32"/>
          <w:szCs w:val="32"/>
        </w:rPr>
        <w:t>园分级认定工作。组织普惠性民办幼儿园按照规定落实补助项目内容和信息公开工作：开展补助项目绩效自评工作：配合指导并监督普惠性民办幼儿园规范资金使用和管理”。东丽区教育局通过使用普惠性民办幼儿园生均经费补助项目资金用于支持普惠性民办幼儿园建设及发展，本项目属于公共财政支出范围，属于部门履职所需。</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故该指标得分为</w:t>
      </w:r>
      <w:r>
        <w:rPr>
          <w:rFonts w:ascii="Times New Roman" w:hAnsi="Times New Roman" w:eastAsia="仿宋_GB2312" w:cs="仿宋_GB2312"/>
          <w:sz w:val="32"/>
          <w:szCs w:val="32"/>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（2）立项程序规范性（总分2分，得分</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《市教委  市财政局关于印发普惠性民办幼儿园政府扶持资金专用账户监督管理办法（试行）的通知》第四章第九条规定显示“幼儿园要于每年11月底前，编制下一年度扶持资金专户核算的资金收支预算和月用款计划，报区教育局审核。区教育局于12月底前完成审核确认，最终确定的资金收支预算和月用款计划须由区教育局、普惠性民办幼儿园和开户银行各自留存一份。”但</w:t>
      </w:r>
      <w:r>
        <w:rPr>
          <w:rFonts w:hint="eastAsia" w:ascii="Times New Roman" w:hAnsi="Times New Roman" w:eastAsia="仿宋_GB2312" w:cs="仿宋_GB2312"/>
          <w:sz w:val="32"/>
          <w:szCs w:val="32"/>
        </w:rPr>
        <w:t>该单位未提供申请本项目预算的相关文件，无法判断是否按照规定的程序申请设立，</w:t>
      </w:r>
      <w:r>
        <w:rPr>
          <w:rFonts w:hint="eastAsia" w:ascii="Times New Roman" w:hAnsi="Times New Roman" w:eastAsia="仿宋_GB2312" w:cs="仿宋_GB2312"/>
          <w:sz w:val="32"/>
          <w:szCs w:val="32"/>
          <w:lang w:val="en-US" w:eastAsia="zh-CN"/>
        </w:rPr>
        <w:t>是否符合相关要求，</w:t>
      </w:r>
      <w:r>
        <w:rPr>
          <w:rFonts w:hint="eastAsia" w:ascii="Times New Roman" w:hAnsi="Times New Roman" w:eastAsia="仿宋_GB2312" w:cs="仿宋_GB2312"/>
          <w:sz w:val="32"/>
          <w:szCs w:val="32"/>
        </w:rPr>
        <w:t>扣</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0" w:name="_Toc66801464"/>
      <w:bookmarkStart w:id="61" w:name="_Toc576"/>
      <w:r>
        <w:rPr>
          <w:rFonts w:hint="eastAsia" w:ascii="Times New Roman" w:hAnsi="Times New Roman" w:eastAsia="仿宋_GB2312" w:cs="仿宋_GB2312"/>
          <w:sz w:val="32"/>
          <w:szCs w:val="32"/>
        </w:rPr>
        <w:t>2.绩效目标</w:t>
      </w:r>
      <w:bookmarkEnd w:id="60"/>
      <w:bookmarkEnd w:id="6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（1）绩效目标合理性（总分4分，得分</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该单位提供</w:t>
      </w:r>
      <w:r>
        <w:rPr>
          <w:rFonts w:hint="eastAsia" w:ascii="Times New Roman" w:hAnsi="Times New Roman" w:eastAsia="仿宋_GB2312" w:cs="仿宋_GB2312"/>
          <w:sz w:val="32"/>
          <w:szCs w:val="32"/>
          <w:lang w:val="en-US" w:eastAsia="zh-CN"/>
        </w:rPr>
        <w:t>的</w:t>
      </w:r>
      <w:r>
        <w:rPr>
          <w:rFonts w:hint="eastAsia" w:ascii="Times New Roman" w:hAnsi="Times New Roman" w:eastAsia="仿宋_GB2312" w:cs="仿宋_GB2312"/>
          <w:sz w:val="32"/>
          <w:szCs w:val="32"/>
        </w:rPr>
        <w:t>《项目绩效目标完成情况自评表》</w:t>
      </w:r>
      <w:r>
        <w:rPr>
          <w:rFonts w:hint="eastAsia" w:ascii="Times New Roman" w:hAnsi="Times New Roman" w:eastAsia="仿宋_GB2312" w:cs="仿宋_GB2312"/>
          <w:sz w:val="32"/>
          <w:szCs w:val="32"/>
          <w:lang w:val="en-US" w:eastAsia="zh-CN"/>
        </w:rPr>
        <w:t>中制定了绩效目标</w:t>
      </w:r>
      <w:r>
        <w:rPr>
          <w:rFonts w:hint="eastAsia" w:ascii="Times New Roman" w:hAnsi="Times New Roman" w:eastAsia="仿宋_GB2312" w:cs="仿宋_GB2312"/>
          <w:sz w:val="32"/>
          <w:szCs w:val="32"/>
        </w:rPr>
        <w:t>，绩效目标为支持社会力量举办幼儿园，积极引导和扶持民办幼儿园提供普惠服务。本项目实际工作内容为通过普惠性民办幼儿园生均经费补助资金规范和鼓励普惠性民办幼儿园发展，正常业绩水平为引导和扶持普惠性幼儿园的数量、质量、成本、时效等，</w:t>
      </w:r>
      <w:r>
        <w:rPr>
          <w:rFonts w:hint="eastAsia" w:ascii="Times New Roman" w:hAnsi="Times New Roman" w:eastAsia="仿宋_GB2312" w:cs="仿宋_GB2312"/>
          <w:sz w:val="32"/>
          <w:szCs w:val="32"/>
          <w:lang w:val="en-US" w:eastAsia="zh-CN"/>
        </w:rPr>
        <w:t>故</w:t>
      </w:r>
      <w:r>
        <w:rPr>
          <w:rFonts w:hint="eastAsia" w:ascii="Times New Roman" w:hAnsi="Times New Roman" w:eastAsia="仿宋_GB2312" w:cs="仿宋_GB2312"/>
          <w:sz w:val="32"/>
          <w:szCs w:val="32"/>
        </w:rPr>
        <w:t>绩效目标与实际工作内容相关</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项目预期产出效益和效果符合正常的业绩水平。</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《项目绩效目标完成情况自评表》</w:t>
      </w:r>
      <w:r>
        <w:rPr>
          <w:rFonts w:hint="eastAsia" w:ascii="Times New Roman" w:hAnsi="Times New Roman" w:eastAsia="仿宋_GB2312" w:cs="仿宋_GB2312"/>
          <w:sz w:val="32"/>
          <w:szCs w:val="32"/>
          <w:lang w:val="en-US" w:eastAsia="zh-CN"/>
        </w:rPr>
        <w:t>中显示</w:t>
      </w:r>
      <w:r>
        <w:rPr>
          <w:rFonts w:hint="eastAsia" w:ascii="Times New Roman" w:hAnsi="Times New Roman" w:eastAsia="仿宋_GB2312" w:cs="仿宋_GB2312"/>
          <w:sz w:val="32"/>
          <w:szCs w:val="32"/>
        </w:rPr>
        <w:t>2020年本项目预算为12</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074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8</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w:t>
      </w:r>
      <w:r>
        <w:rPr>
          <w:rFonts w:hint="eastAsia" w:ascii="Times New Roman" w:hAnsi="Times New Roman" w:eastAsia="仿宋_GB2312" w:cs="仿宋_GB2312"/>
          <w:sz w:val="32"/>
          <w:szCs w:val="32"/>
          <w:lang w:val="en-US" w:eastAsia="zh-CN"/>
        </w:rPr>
        <w:t>但</w:t>
      </w:r>
      <w:r>
        <w:rPr>
          <w:rFonts w:hint="eastAsia" w:ascii="Times New Roman" w:hAnsi="Times New Roman" w:eastAsia="仿宋_GB2312" w:cs="仿宋_GB2312"/>
          <w:sz w:val="32"/>
          <w:szCs w:val="32"/>
        </w:rPr>
        <w:t>该单位未提供申请预算相关</w:t>
      </w:r>
      <w:r>
        <w:rPr>
          <w:rFonts w:hint="eastAsia" w:ascii="Times New Roman" w:hAnsi="Times New Roman" w:eastAsia="仿宋_GB2312" w:cs="仿宋_GB2312"/>
          <w:sz w:val="32"/>
          <w:szCs w:val="32"/>
          <w:lang w:val="en-US" w:eastAsia="zh-CN"/>
        </w:rPr>
        <w:t>资料</w:t>
      </w:r>
      <w:r>
        <w:rPr>
          <w:rFonts w:hint="eastAsia" w:ascii="Times New Roman" w:hAnsi="Times New Roman" w:eastAsia="仿宋_GB2312" w:cs="仿宋_GB2312"/>
          <w:sz w:val="32"/>
          <w:szCs w:val="32"/>
        </w:rPr>
        <w:t>，无法确定与预算确定的项目投资额或资金量是否相匹配，扣1分。</w:t>
      </w:r>
    </w:p>
    <w:p>
      <w:pPr>
        <w:spacing w:line="360" w:lineRule="auto"/>
        <w:ind w:firstLine="640" w:firstLineChars="200"/>
        <w:rPr>
          <w:rFonts w:ascii="Times New Roman" w:hAnsi="Times New Roman" w:eastAsia="仿宋_GB2312" w:cs="仿宋_GB2312"/>
          <w:color w:val="FF0000"/>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3</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（2）绩效目标明确性（总分3分，得分</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东丽区教育局提供的</w:t>
      </w:r>
      <w:r>
        <w:rPr>
          <w:rFonts w:hint="eastAsia" w:ascii="Times New Roman" w:hAnsi="Times New Roman" w:eastAsia="仿宋_GB2312" w:cs="仿宋_GB2312"/>
          <w:sz w:val="32"/>
          <w:szCs w:val="32"/>
        </w:rPr>
        <w:t>《项目绩效目标完成情况自评表》</w:t>
      </w:r>
      <w:r>
        <w:rPr>
          <w:rFonts w:hint="eastAsia" w:ascii="Times New Roman" w:hAnsi="Times New Roman" w:eastAsia="仿宋_GB2312" w:cs="仿宋_GB2312"/>
          <w:sz w:val="32"/>
          <w:szCs w:val="32"/>
          <w:lang w:val="en-US" w:eastAsia="zh-CN"/>
        </w:rPr>
        <w:t>中</w:t>
      </w:r>
      <w:r>
        <w:rPr>
          <w:rFonts w:hint="eastAsia" w:ascii="Times New Roman" w:hAnsi="Times New Roman" w:eastAsia="仿宋_GB2312" w:cs="仿宋_GB2312"/>
          <w:sz w:val="32"/>
          <w:szCs w:val="32"/>
        </w:rPr>
        <w:t>将绩效目标细化分解为产出、效益、满意度等具体指标</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其中</w:t>
      </w:r>
      <w:r>
        <w:rPr>
          <w:rFonts w:hint="eastAsia" w:ascii="Times New Roman" w:hAnsi="Times New Roman" w:eastAsia="仿宋_GB2312" w:cs="仿宋_GB2312"/>
          <w:sz w:val="32"/>
          <w:szCs w:val="32"/>
        </w:rPr>
        <w:t>将经济效益指标设定为市民接收普惠性学前教育比例有所提升，未对提升比例进行明确规定，指标值不清晰、不可衡量，扣1分；</w:t>
      </w:r>
      <w:r>
        <w:rPr>
          <w:rFonts w:hint="eastAsia" w:ascii="Times New Roman" w:hAnsi="Times New Roman" w:eastAsia="仿宋_GB2312" w:cs="仿宋_GB2312"/>
          <w:sz w:val="32"/>
          <w:szCs w:val="32"/>
          <w:lang w:val="en-US" w:eastAsia="zh-CN"/>
        </w:rPr>
        <w:t>且</w:t>
      </w:r>
      <w:r>
        <w:rPr>
          <w:rFonts w:hint="eastAsia" w:ascii="Times New Roman" w:hAnsi="Times New Roman" w:eastAsia="仿宋_GB2312" w:cs="仿宋_GB2312"/>
          <w:sz w:val="32"/>
          <w:szCs w:val="32"/>
        </w:rPr>
        <w:t>该单位未提供申请预算相关文件，无法判断绩效目标与项目目标任务数或计划数是否相对应，扣1分。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2" w:name="_Toc66801465"/>
      <w:bookmarkStart w:id="63" w:name="_Toc6945"/>
      <w:r>
        <w:rPr>
          <w:rFonts w:hint="eastAsia" w:ascii="Times New Roman" w:hAnsi="Times New Roman" w:eastAsia="仿宋_GB2312" w:cs="仿宋_GB2312"/>
          <w:sz w:val="32"/>
          <w:szCs w:val="32"/>
        </w:rPr>
        <w:t>3.资金投入</w:t>
      </w:r>
      <w:bookmarkEnd w:id="62"/>
      <w:bookmarkEnd w:id="6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（1）预算编制科学性（总分4分，得分</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本项目不需事前论证</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但</w:t>
      </w:r>
      <w:r>
        <w:rPr>
          <w:rFonts w:hint="eastAsia" w:ascii="Times New Roman" w:hAnsi="Times New Roman" w:eastAsia="仿宋_GB2312" w:cs="仿宋_GB2312"/>
          <w:sz w:val="32"/>
          <w:szCs w:val="32"/>
        </w:rPr>
        <w:t>该单位未提供申请预算相关文件，无法确定预算内容与项目内容是否匹配，扣1分；无法确定预算额度测算依据是否充分，是否按照标准编制，扣1分；无法确定预算确定的项目投资额或资金量是否与工作任务相匹配，扣1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（2）资金分配合理性（总分2分，得分</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该单位未提供申请预算相关文件，无法判断预算资金分配依据是否充分，资金分配额度是否合理，扣</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分</w:t>
      </w:r>
      <w:r>
        <w:rPr>
          <w:rFonts w:hint="eastAsia" w:ascii="Times New Roman" w:hAnsi="Times New Roman" w:eastAsia="仿宋_GB2312" w:cs="仿宋_GB2312"/>
          <w:sz w:val="32"/>
          <w:szCs w:val="32"/>
          <w:lang w:eastAsia="zh-CN"/>
        </w:rPr>
        <w:t>。</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outlineLvl w:val="1"/>
        <w:rPr>
          <w:rFonts w:ascii="楷体_GB2312" w:hAnsi="Times New Roman" w:eastAsia="楷体_GB2312" w:cs="仿宋_GB2312"/>
          <w:sz w:val="32"/>
          <w:szCs w:val="32"/>
        </w:rPr>
      </w:pPr>
      <w:bookmarkStart w:id="64" w:name="_Toc66801466"/>
      <w:bookmarkStart w:id="65" w:name="_Toc19857"/>
      <w:r>
        <w:rPr>
          <w:rFonts w:hint="eastAsia" w:ascii="楷体_GB2312" w:hAnsi="Times New Roman" w:eastAsia="楷体_GB2312" w:cs="仿宋_GB2312"/>
          <w:sz w:val="32"/>
          <w:szCs w:val="32"/>
        </w:rPr>
        <w:t>（二）项目过程情况</w:t>
      </w:r>
      <w:bookmarkEnd w:id="64"/>
      <w:bookmarkEnd w:id="65"/>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过程指标主要包括资金管理、组织管理2项二级指标，6项三级指标，基础总分23分，合计得分</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6" w:name="_Toc66801467"/>
      <w:bookmarkStart w:id="67" w:name="_Toc21236"/>
      <w:r>
        <w:rPr>
          <w:rFonts w:ascii="Times New Roman" w:hAnsi="Times New Roman" w:eastAsia="仿宋_GB2312" w:cs="仿宋_GB2312"/>
          <w:sz w:val="32"/>
          <w:szCs w:val="32"/>
        </w:rPr>
        <w:t>1</w:t>
      </w:r>
      <w:r>
        <w:rPr>
          <w:rFonts w:hint="eastAsia" w:ascii="Times New Roman" w:hAnsi="Times New Roman" w:eastAsia="仿宋_GB2312" w:cs="仿宋_GB2312"/>
          <w:sz w:val="32"/>
          <w:szCs w:val="32"/>
        </w:rPr>
        <w:t>.资金管理</w:t>
      </w:r>
      <w:bookmarkEnd w:id="66"/>
      <w:bookmarkEnd w:id="6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（1）资金到位率（总分2分，得分2分）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东丽区财政局</w:t>
      </w:r>
      <w:r>
        <w:rPr>
          <w:rFonts w:hint="eastAsia" w:ascii="Times New Roman" w:hAnsi="Times New Roman" w:eastAsia="仿宋_GB2312" w:cs="仿宋_GB2312"/>
          <w:sz w:val="32"/>
          <w:szCs w:val="32"/>
        </w:rPr>
        <w:t>提供的《</w:t>
      </w:r>
      <w:r>
        <w:rPr>
          <w:rFonts w:hint="eastAsia" w:ascii="Times New Roman" w:hAnsi="Times New Roman" w:eastAsia="仿宋_GB2312" w:cs="仿宋_GB2312"/>
          <w:sz w:val="32"/>
          <w:szCs w:val="32"/>
          <w:lang w:val="en-US" w:eastAsia="zh-CN"/>
        </w:rPr>
        <w:t>项目</w:t>
      </w:r>
      <w:r>
        <w:rPr>
          <w:rFonts w:hint="eastAsia" w:ascii="Times New Roman" w:hAnsi="Times New Roman" w:eastAsia="仿宋_GB2312" w:cs="仿宋_GB2312"/>
          <w:sz w:val="32"/>
          <w:szCs w:val="32"/>
        </w:rPr>
        <w:t>绩效目标</w:t>
      </w:r>
      <w:r>
        <w:rPr>
          <w:rFonts w:hint="eastAsia" w:ascii="Times New Roman" w:hAnsi="Times New Roman" w:eastAsia="仿宋_GB2312" w:cs="仿宋_GB2312"/>
          <w:sz w:val="32"/>
          <w:szCs w:val="32"/>
          <w:lang w:val="en-US" w:eastAsia="zh-CN"/>
        </w:rPr>
        <w:t>完成情况</w:t>
      </w:r>
      <w:r>
        <w:rPr>
          <w:rFonts w:hint="eastAsia" w:ascii="Times New Roman" w:hAnsi="Times New Roman" w:eastAsia="仿宋_GB2312" w:cs="仿宋_GB2312"/>
          <w:sz w:val="32"/>
          <w:szCs w:val="32"/>
        </w:rPr>
        <w:t>自评表》</w:t>
      </w:r>
      <w:r>
        <w:rPr>
          <w:rFonts w:hint="eastAsia" w:ascii="Times New Roman" w:hAnsi="Times New Roman" w:eastAsia="仿宋_GB2312" w:cs="仿宋_GB2312"/>
          <w:sz w:val="32"/>
          <w:szCs w:val="32"/>
          <w:lang w:val="en-US" w:eastAsia="zh-CN"/>
        </w:rPr>
        <w:t>中显示本年</w:t>
      </w:r>
      <w:r>
        <w:rPr>
          <w:rFonts w:hint="eastAsia" w:ascii="Times New Roman" w:hAnsi="Times New Roman" w:eastAsia="仿宋_GB2312" w:cs="仿宋_GB2312"/>
          <w:sz w:val="32"/>
          <w:szCs w:val="32"/>
        </w:rPr>
        <w:t>预算资金为12</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074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8</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w:t>
      </w:r>
      <w:r>
        <w:rPr>
          <w:rFonts w:hint="eastAsia" w:ascii="Times New Roman" w:hAnsi="Times New Roman" w:eastAsia="仿宋_GB2312" w:cs="仿宋_GB2312"/>
          <w:sz w:val="32"/>
          <w:szCs w:val="32"/>
          <w:lang w:val="en-US" w:eastAsia="zh-CN"/>
        </w:rPr>
        <w:t>根据</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关于区级预算单位2020年部门预算的批复</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及财政授权支付额度到账通知书等文件可以确认</w:t>
      </w:r>
      <w:r>
        <w:rPr>
          <w:rFonts w:hint="eastAsia" w:ascii="Times New Roman" w:hAnsi="Times New Roman" w:eastAsia="仿宋_GB2312" w:cs="仿宋_GB2312"/>
          <w:sz w:val="32"/>
          <w:szCs w:val="32"/>
        </w:rPr>
        <w:t>实际到位资金为12</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074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8</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元，资金到位率为100%。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该指标得分为2分。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（2）资金到位及时率（总分2分，得分</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东丽区财政局</w:t>
      </w:r>
      <w:r>
        <w:rPr>
          <w:rFonts w:hint="eastAsia" w:ascii="Times New Roman" w:hAnsi="Times New Roman" w:eastAsia="仿宋_GB2312" w:cs="仿宋_GB2312"/>
          <w:sz w:val="32"/>
          <w:szCs w:val="32"/>
        </w:rPr>
        <w:t>提供的《</w:t>
      </w:r>
      <w:r>
        <w:rPr>
          <w:rFonts w:hint="eastAsia" w:ascii="Times New Roman" w:hAnsi="Times New Roman" w:eastAsia="仿宋_GB2312" w:cs="仿宋_GB2312"/>
          <w:sz w:val="32"/>
          <w:szCs w:val="32"/>
          <w:lang w:val="en-US" w:eastAsia="zh-CN"/>
        </w:rPr>
        <w:t>项目</w:t>
      </w:r>
      <w:r>
        <w:rPr>
          <w:rFonts w:hint="eastAsia" w:ascii="Times New Roman" w:hAnsi="Times New Roman" w:eastAsia="仿宋_GB2312" w:cs="仿宋_GB2312"/>
          <w:sz w:val="32"/>
          <w:szCs w:val="32"/>
        </w:rPr>
        <w:t>绩效目标</w:t>
      </w:r>
      <w:r>
        <w:rPr>
          <w:rFonts w:hint="eastAsia" w:ascii="Times New Roman" w:hAnsi="Times New Roman" w:eastAsia="仿宋_GB2312" w:cs="仿宋_GB2312"/>
          <w:sz w:val="32"/>
          <w:szCs w:val="32"/>
          <w:lang w:val="en-US" w:eastAsia="zh-CN"/>
        </w:rPr>
        <w:t>完成情况</w:t>
      </w:r>
      <w:r>
        <w:rPr>
          <w:rFonts w:hint="eastAsia" w:ascii="Times New Roman" w:hAnsi="Times New Roman" w:eastAsia="仿宋_GB2312" w:cs="仿宋_GB2312"/>
          <w:sz w:val="32"/>
          <w:szCs w:val="32"/>
        </w:rPr>
        <w:t>自评表》</w:t>
      </w:r>
      <w:r>
        <w:rPr>
          <w:rFonts w:hint="eastAsia" w:ascii="Times New Roman" w:hAnsi="Times New Roman" w:eastAsia="仿宋_GB2312" w:cs="仿宋_GB2312"/>
          <w:sz w:val="32"/>
          <w:szCs w:val="32"/>
          <w:lang w:val="en-US" w:eastAsia="zh-CN"/>
        </w:rPr>
        <w:t>中显示本年</w:t>
      </w:r>
      <w:r>
        <w:rPr>
          <w:rFonts w:hint="eastAsia" w:ascii="Times New Roman" w:hAnsi="Times New Roman" w:eastAsia="仿宋_GB2312" w:cs="仿宋_GB2312"/>
          <w:sz w:val="32"/>
          <w:szCs w:val="32"/>
        </w:rPr>
        <w:t>预算资金为12</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074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8</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w:t>
      </w:r>
      <w:r>
        <w:rPr>
          <w:rFonts w:hint="eastAsia" w:ascii="Times New Roman" w:hAnsi="Times New Roman" w:eastAsia="仿宋_GB2312" w:cs="仿宋_GB2312"/>
          <w:sz w:val="32"/>
          <w:szCs w:val="32"/>
          <w:lang w:val="en-US" w:eastAsia="zh-CN"/>
        </w:rPr>
        <w:t>2020年</w:t>
      </w:r>
      <w:r>
        <w:rPr>
          <w:rFonts w:hint="eastAsia" w:ascii="Times New Roman" w:hAnsi="Times New Roman" w:eastAsia="仿宋_GB2312" w:cs="仿宋_GB2312"/>
          <w:sz w:val="32"/>
          <w:szCs w:val="32"/>
        </w:rPr>
        <w:t>实际到位资金为12</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074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8</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元，资金到位</w:t>
      </w:r>
      <w:r>
        <w:rPr>
          <w:rFonts w:hint="eastAsia" w:ascii="Times New Roman" w:hAnsi="Times New Roman" w:eastAsia="仿宋_GB2312" w:cs="仿宋_GB2312"/>
          <w:sz w:val="32"/>
          <w:szCs w:val="32"/>
          <w:lang w:val="en-US" w:eastAsia="zh-CN"/>
        </w:rPr>
        <w:t>及时</w:t>
      </w:r>
      <w:r>
        <w:rPr>
          <w:rFonts w:hint="eastAsia" w:ascii="Times New Roman" w:hAnsi="Times New Roman" w:eastAsia="仿宋_GB2312" w:cs="仿宋_GB2312"/>
          <w:sz w:val="32"/>
          <w:szCs w:val="32"/>
        </w:rPr>
        <w:t>率为100%。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（3）预算执行率（总分2分，得分</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w:t>
      </w:r>
      <w:r>
        <w:rPr>
          <w:rFonts w:hint="eastAsia" w:ascii="Times New Roman" w:hAnsi="Times New Roman" w:eastAsia="仿宋_GB2312" w:cs="仿宋_GB2312"/>
          <w:sz w:val="32"/>
          <w:szCs w:val="32"/>
          <w:lang w:val="en-US" w:eastAsia="zh-CN"/>
        </w:rPr>
        <w:t>东丽区财政局</w:t>
      </w:r>
      <w:r>
        <w:rPr>
          <w:rFonts w:hint="eastAsia" w:ascii="Times New Roman" w:hAnsi="Times New Roman" w:eastAsia="仿宋_GB2312" w:cs="仿宋_GB2312"/>
          <w:sz w:val="32"/>
          <w:szCs w:val="32"/>
        </w:rPr>
        <w:t>提供的记账凭证及相关材料，</w:t>
      </w:r>
      <w:r>
        <w:rPr>
          <w:rFonts w:hint="eastAsia" w:ascii="Times New Roman" w:hAnsi="Times New Roman" w:eastAsia="仿宋_GB2312" w:cs="仿宋_GB2312"/>
          <w:sz w:val="32"/>
          <w:szCs w:val="32"/>
          <w:lang w:val="en-US" w:eastAsia="zh-CN"/>
        </w:rPr>
        <w:t>可以确认</w:t>
      </w:r>
      <w:r>
        <w:rPr>
          <w:rFonts w:hint="eastAsia" w:ascii="Times New Roman" w:hAnsi="Times New Roman" w:eastAsia="仿宋_GB2312" w:cs="仿宋_GB2312"/>
          <w:sz w:val="32"/>
          <w:szCs w:val="32"/>
        </w:rPr>
        <w:t>实际支出资金为24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000</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6</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元，实际到位资金为12</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074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8</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元，预算执行率大于60%。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（4）资金使用合规性（总分10分，得分</w:t>
      </w:r>
      <w:r>
        <w:rPr>
          <w:rFonts w:ascii="Times New Roman" w:hAnsi="Times New Roman" w:eastAsia="仿宋_GB2312" w:cs="仿宋_GB2312"/>
          <w:sz w:val="32"/>
          <w:szCs w:val="32"/>
        </w:rPr>
        <w:t>10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根据东丽区财政局</w:t>
      </w:r>
      <w:r>
        <w:rPr>
          <w:rFonts w:hint="eastAsia" w:ascii="Times New Roman" w:hAnsi="Times New Roman" w:eastAsia="仿宋_GB2312" w:cs="仿宋_GB2312"/>
          <w:sz w:val="32"/>
          <w:szCs w:val="32"/>
        </w:rPr>
        <w:t>提供的</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关于区级预算单位2020年部门预算的批复</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申请支出的审批单、记账凭证及后附文件，</w:t>
      </w:r>
      <w:r>
        <w:rPr>
          <w:rFonts w:hint="eastAsia" w:ascii="Times New Roman" w:hAnsi="Times New Roman" w:eastAsia="仿宋_GB2312" w:cs="仿宋_GB2312"/>
          <w:sz w:val="32"/>
          <w:szCs w:val="32"/>
          <w:lang w:val="en-US" w:eastAsia="zh-CN"/>
        </w:rPr>
        <w:t>可以看出本项目资金拨付审批程序完整，</w:t>
      </w:r>
      <w:r>
        <w:rPr>
          <w:rFonts w:hint="eastAsia" w:ascii="Times New Roman" w:hAnsi="Times New Roman" w:eastAsia="仿宋_GB2312" w:cs="仿宋_GB2312"/>
          <w:sz w:val="32"/>
          <w:szCs w:val="32"/>
        </w:rPr>
        <w:t>符合国家财经法规和财务管理制度</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符合项目预算批复用途</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扶持普惠性民办幼儿园优质发展</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不存在截留、挤占、挪用、虚列支出等情况。</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该指标得分为1</w:t>
      </w:r>
      <w:r>
        <w:rPr>
          <w:rFonts w:ascii="Times New Roman" w:hAnsi="Times New Roman" w:eastAsia="仿宋_GB2312" w:cs="仿宋_GB2312"/>
          <w:sz w:val="32"/>
          <w:szCs w:val="32"/>
        </w:rPr>
        <w:t>0</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68" w:name="_Toc66801468"/>
      <w:bookmarkStart w:id="69" w:name="_Toc28898"/>
      <w:r>
        <w:rPr>
          <w:rFonts w:hint="eastAsia" w:ascii="Times New Roman" w:hAnsi="Times New Roman" w:eastAsia="仿宋_GB2312" w:cs="仿宋_GB2312"/>
          <w:sz w:val="32"/>
          <w:szCs w:val="32"/>
        </w:rPr>
        <w:t>2.组织实施</w:t>
      </w:r>
      <w:bookmarkEnd w:id="68"/>
      <w:bookmarkEnd w:id="6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（1）管理制度健全性（总分2分，得分</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该单位未提供相应的财务和业务管理制度，无法判断是否已制定或具有相应的财务和业务管理制度，与上位法要求是否相符，是否合法、合规、完整</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扣</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分</w:t>
      </w:r>
      <w:r>
        <w:rPr>
          <w:rFonts w:hint="eastAsia" w:ascii="Times New Roman" w:hAnsi="Times New Roman" w:eastAsia="仿宋_GB2312" w:cs="仿宋_GB2312"/>
          <w:sz w:val="32"/>
          <w:szCs w:val="32"/>
          <w:lang w:eastAsia="zh-CN"/>
        </w:rPr>
        <w:t>。</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rPr>
          <w:rFonts w:ascii="仿宋_GB2312" w:hAnsi="Times New Roman" w:eastAsia="仿宋_GB2312" w:cs="仿宋_GB2312"/>
          <w:color w:val="000000" w:themeColor="text1"/>
          <w:sz w:val="32"/>
          <w:szCs w:val="32"/>
          <w14:textFill>
            <w14:solidFill>
              <w14:schemeClr w14:val="tx1"/>
            </w14:solidFill>
          </w14:textFill>
        </w:rPr>
      </w:pPr>
      <w:r>
        <w:rPr>
          <w:rFonts w:hint="eastAsia" w:ascii="仿宋_GB2312" w:hAnsi="Times New Roman" w:eastAsia="仿宋_GB2312" w:cs="仿宋_GB2312"/>
          <w:color w:val="000000" w:themeColor="text1"/>
          <w:sz w:val="32"/>
          <w:szCs w:val="32"/>
          <w14:textFill>
            <w14:solidFill>
              <w14:schemeClr w14:val="tx1"/>
            </w14:solidFill>
          </w14:textFill>
        </w:rPr>
        <w:t>（2）制度执行有效性（总分</w:t>
      </w:r>
      <w:r>
        <w:rPr>
          <w:rFonts w:ascii="Times New Roman" w:hAnsi="Times New Roman" w:eastAsia="仿宋_GB2312" w:cs="Times New Roman"/>
          <w:color w:val="000000" w:themeColor="text1"/>
          <w:sz w:val="32"/>
          <w:szCs w:val="32"/>
          <w14:textFill>
            <w14:solidFill>
              <w14:schemeClr w14:val="tx1"/>
            </w14:solidFill>
          </w14:textFill>
        </w:rPr>
        <w:t>5</w:t>
      </w:r>
      <w:r>
        <w:rPr>
          <w:rFonts w:hint="eastAsia" w:ascii="仿宋_GB2312" w:hAnsi="Times New Roman" w:eastAsia="仿宋_GB2312" w:cs="仿宋_GB2312"/>
          <w:color w:val="000000" w:themeColor="text1"/>
          <w:sz w:val="32"/>
          <w:szCs w:val="32"/>
          <w14:textFill>
            <w14:solidFill>
              <w14:schemeClr w14:val="tx1"/>
            </w14:solidFill>
          </w14:textFill>
        </w:rPr>
        <w:t>分，得分</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eastAsia" w:ascii="仿宋_GB2312" w:hAnsi="Times New Roman" w:eastAsia="仿宋_GB2312" w:cs="仿宋_GB2312"/>
          <w:color w:val="000000" w:themeColor="text1"/>
          <w:sz w:val="32"/>
          <w:szCs w:val="32"/>
          <w14:textFill>
            <w14:solidFill>
              <w14:schemeClr w14:val="tx1"/>
            </w14:solidFill>
          </w14:textFill>
        </w:rPr>
        <w:t>分）</w:t>
      </w:r>
    </w:p>
    <w:p>
      <w:pPr>
        <w:spacing w:line="360" w:lineRule="auto"/>
        <w:ind w:firstLine="640" w:firstLineChars="200"/>
        <w:rPr>
          <w:rFonts w:hint="eastAsia" w:ascii="Times New Roman" w:hAnsi="Times New Roman" w:eastAsia="仿宋_GB2312" w:cs="仿宋_GB2312"/>
          <w:color w:val="000000" w:themeColor="text1"/>
          <w:sz w:val="32"/>
          <w:szCs w:val="32"/>
          <w:lang w:eastAsia="zh-CN"/>
          <w14:textFill>
            <w14:solidFill>
              <w14:schemeClr w14:val="tx1"/>
            </w14:solidFill>
          </w14:textFill>
        </w:rPr>
      </w:pP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根据</w:t>
      </w:r>
      <w:r>
        <w:rPr>
          <w:rFonts w:hint="eastAsia" w:ascii="Times New Roman" w:hAnsi="Times New Roman" w:eastAsia="仿宋_GB2312" w:cs="仿宋_GB2312"/>
          <w:color w:val="000000" w:themeColor="text1"/>
          <w:sz w:val="32"/>
          <w:szCs w:val="32"/>
          <w14:textFill>
            <w14:solidFill>
              <w14:schemeClr w14:val="tx1"/>
            </w14:solidFill>
          </w14:textFill>
        </w:rPr>
        <w:t>该单位提供的《2020年东丽区普惠性民办幼儿园评定工作方案》、《东丽区关于2020年普惠性民办幼儿园等级评定结果的通知》</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申请支出的审批单、记账凭证及后附文件，</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可以确认</w:t>
      </w:r>
      <w:r>
        <w:rPr>
          <w:rFonts w:hint="eastAsia" w:ascii="Times New Roman" w:hAnsi="Times New Roman" w:eastAsia="仿宋_GB2312" w:cs="仿宋_GB2312"/>
          <w:color w:val="000000" w:themeColor="text1"/>
          <w:sz w:val="32"/>
          <w:szCs w:val="32"/>
          <w14:textFill>
            <w14:solidFill>
              <w14:schemeClr w14:val="tx1"/>
            </w14:solidFill>
          </w14:textFill>
        </w:rPr>
        <w:t>本项目资金使用遵守相关法律法规和相关管理规定</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并对</w:t>
      </w:r>
      <w:r>
        <w:rPr>
          <w:rFonts w:hint="eastAsia" w:ascii="Times New Roman" w:hAnsi="Times New Roman" w:eastAsia="仿宋_GB2312" w:cs="仿宋_GB2312"/>
          <w:color w:val="000000" w:themeColor="text1"/>
          <w:sz w:val="32"/>
          <w:szCs w:val="32"/>
          <w14:textFill>
            <w14:solidFill>
              <w14:schemeClr w14:val="tx1"/>
            </w14:solidFill>
          </w14:textFill>
        </w:rPr>
        <w:t>相关资料</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进行了</w:t>
      </w:r>
      <w:r>
        <w:rPr>
          <w:rFonts w:hint="eastAsia" w:ascii="Times New Roman" w:hAnsi="Times New Roman" w:eastAsia="仿宋_GB2312" w:cs="仿宋_GB2312"/>
          <w:color w:val="000000" w:themeColor="text1"/>
          <w:sz w:val="32"/>
          <w:szCs w:val="32"/>
          <w14:textFill>
            <w14:solidFill>
              <w14:schemeClr w14:val="tx1"/>
            </w14:solidFill>
          </w14:textFill>
        </w:rPr>
        <w:t>及时归档</w:t>
      </w:r>
      <w:r>
        <w:rPr>
          <w:rFonts w:hint="eastAsia" w:ascii="Times New Roman" w:hAnsi="Times New Roman" w:eastAsia="仿宋_GB2312" w:cs="仿宋_GB2312"/>
          <w:color w:val="000000" w:themeColor="text1"/>
          <w:sz w:val="32"/>
          <w:szCs w:val="32"/>
          <w:lang w:eastAsia="zh-CN"/>
          <w14:textFill>
            <w14:solidFill>
              <w14:schemeClr w14:val="tx1"/>
            </w14:solidFill>
          </w14:textFill>
        </w:rPr>
        <w:t>。</w:t>
      </w:r>
    </w:p>
    <w:p>
      <w:pPr>
        <w:spacing w:line="360" w:lineRule="auto"/>
        <w:ind w:firstLine="640" w:firstLineChars="200"/>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根据《关于建议暂停发放东丽区滨海之星幼儿园生均奖补资金的说明》，因一所幼儿园暂停开园，东丽区教育局申请暂停发放奖补资金，本</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项目</w:t>
      </w:r>
      <w:r>
        <w:rPr>
          <w:rFonts w:hint="eastAsia" w:ascii="Times New Roman" w:hAnsi="Times New Roman" w:eastAsia="仿宋_GB2312" w:cs="仿宋_GB2312"/>
          <w:color w:val="000000" w:themeColor="text1"/>
          <w:sz w:val="32"/>
          <w:szCs w:val="32"/>
          <w14:textFill>
            <w14:solidFill>
              <w14:schemeClr w14:val="tx1"/>
            </w14:solidFill>
          </w14:textFill>
        </w:rPr>
        <w:t>项目支出调整手续完备。</w:t>
      </w:r>
    </w:p>
    <w:p>
      <w:pPr>
        <w:spacing w:line="360" w:lineRule="auto"/>
        <w:ind w:firstLine="640" w:firstLineChars="200"/>
        <w:rPr>
          <w:rFonts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该指标得分为</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5</w:t>
      </w:r>
      <w:r>
        <w:rPr>
          <w:rFonts w:hint="eastAsia" w:ascii="Times New Roman" w:hAnsi="Times New Roman" w:eastAsia="仿宋_GB2312" w:cs="仿宋_GB2312"/>
          <w:color w:val="000000" w:themeColor="text1"/>
          <w:sz w:val="32"/>
          <w:szCs w:val="32"/>
          <w14:textFill>
            <w14:solidFill>
              <w14:schemeClr w14:val="tx1"/>
            </w14:solidFill>
          </w14:textFill>
        </w:rPr>
        <w:t>分。</w:t>
      </w:r>
    </w:p>
    <w:p>
      <w:pPr>
        <w:spacing w:line="360" w:lineRule="auto"/>
        <w:ind w:firstLine="640" w:firstLineChars="200"/>
        <w:outlineLvl w:val="1"/>
        <w:rPr>
          <w:rFonts w:ascii="楷体_GB2312" w:hAnsi="Times New Roman" w:eastAsia="楷体_GB2312" w:cs="仿宋_GB2312"/>
          <w:sz w:val="32"/>
          <w:szCs w:val="32"/>
        </w:rPr>
      </w:pPr>
      <w:bookmarkStart w:id="70" w:name="_Toc66801469"/>
      <w:bookmarkStart w:id="71" w:name="_Toc16456"/>
      <w:r>
        <w:rPr>
          <w:rFonts w:hint="eastAsia" w:ascii="楷体_GB2312" w:hAnsi="Times New Roman" w:eastAsia="楷体_GB2312" w:cs="仿宋_GB2312"/>
          <w:sz w:val="32"/>
          <w:szCs w:val="32"/>
        </w:rPr>
        <w:t>（三）项目产出情况</w:t>
      </w:r>
      <w:bookmarkEnd w:id="70"/>
      <w:bookmarkEnd w:id="7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产出指标主要包括产出数量、产出质量、产出时效、产出成本4项二级指标，</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项三级指标，基础总分</w:t>
      </w:r>
      <w:r>
        <w:rPr>
          <w:rFonts w:hint="eastAsia" w:ascii="Times New Roman" w:hAnsi="Times New Roman" w:eastAsia="仿宋_GB2312" w:cs="仿宋_GB2312"/>
          <w:sz w:val="32"/>
          <w:szCs w:val="32"/>
          <w:lang w:val="en-US" w:eastAsia="zh-CN"/>
        </w:rPr>
        <w:t>40</w:t>
      </w:r>
      <w:r>
        <w:rPr>
          <w:rFonts w:hint="eastAsia" w:ascii="Times New Roman" w:hAnsi="Times New Roman" w:eastAsia="仿宋_GB2312" w:cs="仿宋_GB2312"/>
          <w:sz w:val="32"/>
          <w:szCs w:val="32"/>
        </w:rPr>
        <w:t>分，合计得分</w:t>
      </w:r>
      <w:r>
        <w:rPr>
          <w:rFonts w:ascii="Times New Roman" w:hAnsi="Times New Roman" w:eastAsia="仿宋_GB2312" w:cs="仿宋_GB2312"/>
          <w:sz w:val="32"/>
          <w:szCs w:val="32"/>
        </w:rPr>
        <w:t>3</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2" w:name="_Toc66801470"/>
      <w:bookmarkStart w:id="73" w:name="_Toc31804"/>
      <w:r>
        <w:rPr>
          <w:rFonts w:hint="eastAsia" w:ascii="Times New Roman" w:hAnsi="Times New Roman" w:eastAsia="仿宋_GB2312" w:cs="仿宋_GB2312"/>
          <w:sz w:val="32"/>
          <w:szCs w:val="32"/>
        </w:rPr>
        <w:t>1.产出数量</w:t>
      </w:r>
      <w:bookmarkEnd w:id="72"/>
      <w:bookmarkEnd w:id="7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（1）扶持普惠民办幼儿园数量</w:t>
      </w:r>
      <w:r>
        <w:rPr>
          <w:rFonts w:hint="eastAsia" w:ascii="Times New Roman" w:hAnsi="Times New Roman" w:eastAsia="仿宋_GB2312" w:cs="仿宋_GB2312"/>
          <w:sz w:val="32"/>
          <w:szCs w:val="32"/>
          <w:lang w:val="en-US" w:eastAsia="zh-CN"/>
        </w:rPr>
        <w:t>实现情况</w:t>
      </w:r>
      <w:r>
        <w:rPr>
          <w:rFonts w:hint="eastAsia" w:ascii="Times New Roman" w:hAnsi="Times New Roman" w:eastAsia="仿宋_GB2312" w:cs="仿宋_GB2312"/>
          <w:sz w:val="32"/>
          <w:szCs w:val="32"/>
        </w:rPr>
        <w:t>（总分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分，得分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根据该单位提供的支出凭证及后附的拨款凭证、收据等资料，东丽区教育局拨付补助资金</w:t>
      </w:r>
      <w:r>
        <w:rPr>
          <w:rFonts w:hint="eastAsia" w:ascii="Times New Roman" w:hAnsi="Times New Roman" w:eastAsia="仿宋_GB2312" w:cs="仿宋_GB2312"/>
          <w:sz w:val="32"/>
          <w:szCs w:val="32"/>
          <w:lang w:val="en-US" w:eastAsia="zh-CN"/>
        </w:rPr>
        <w:t>扶持</w:t>
      </w:r>
      <w:r>
        <w:rPr>
          <w:rFonts w:hint="eastAsia" w:ascii="Times New Roman" w:hAnsi="Times New Roman" w:eastAsia="仿宋_GB2312" w:cs="仿宋_GB2312"/>
          <w:sz w:val="32"/>
          <w:szCs w:val="32"/>
        </w:rPr>
        <w:t>幼儿园数量为41所，截至2020年</w:t>
      </w:r>
      <w:r>
        <w:rPr>
          <w:rFonts w:hint="eastAsia" w:ascii="Times New Roman" w:hAnsi="Times New Roman" w:eastAsia="仿宋_GB2312" w:cs="仿宋_GB2312"/>
          <w:sz w:val="32"/>
          <w:szCs w:val="32"/>
          <w:lang w:val="en-US" w:eastAsia="zh-CN"/>
        </w:rPr>
        <w:t>已审核认定并需扶持的</w:t>
      </w:r>
      <w:r>
        <w:rPr>
          <w:rFonts w:hint="eastAsia" w:ascii="Times New Roman" w:hAnsi="Times New Roman" w:eastAsia="仿宋_GB2312" w:cs="仿宋_GB2312"/>
          <w:sz w:val="32"/>
          <w:szCs w:val="32"/>
        </w:rPr>
        <w:t>普惠性民办幼儿园数量为41所，实际完成率为100%。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4" w:name="_Toc66801471"/>
      <w:bookmarkStart w:id="75" w:name="_Toc6361"/>
      <w:r>
        <w:rPr>
          <w:rFonts w:hint="eastAsia" w:ascii="Times New Roman" w:hAnsi="Times New Roman" w:eastAsia="仿宋_GB2312" w:cs="仿宋_GB2312"/>
          <w:sz w:val="32"/>
          <w:szCs w:val="32"/>
        </w:rPr>
        <w:t>2.产出质量</w:t>
      </w:r>
      <w:bookmarkEnd w:id="74"/>
      <w:bookmarkEnd w:id="75"/>
    </w:p>
    <w:p>
      <w:pPr>
        <w:spacing w:line="360" w:lineRule="auto"/>
        <w:ind w:left="210" w:leftChars="100" w:firstLine="320" w:firstLineChars="1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（1）向普惠性民办幼儿园发放补助资金的完成效果（总分10分，得分</w:t>
      </w:r>
      <w:r>
        <w:rPr>
          <w:rFonts w:ascii="Times New Roman" w:hAnsi="Times New Roman" w:eastAsia="仿宋_GB2312" w:cs="仿宋_GB2312"/>
          <w:sz w:val="32"/>
          <w:szCs w:val="32"/>
        </w:rPr>
        <w:t>10</w:t>
      </w:r>
      <w:r>
        <w:rPr>
          <w:rFonts w:hint="eastAsia" w:ascii="Times New Roman" w:hAnsi="Times New Roman" w:eastAsia="仿宋_GB2312" w:cs="仿宋_GB2312"/>
          <w:sz w:val="32"/>
          <w:szCs w:val="32"/>
        </w:rPr>
        <w:t>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经核对，东丽区教育局拨付补助资金</w:t>
      </w:r>
      <w:r>
        <w:rPr>
          <w:rFonts w:hint="eastAsia" w:ascii="Times New Roman" w:hAnsi="Times New Roman" w:eastAsia="仿宋_GB2312" w:cs="仿宋_GB2312"/>
          <w:sz w:val="32"/>
          <w:szCs w:val="32"/>
          <w:lang w:val="en-US" w:eastAsia="zh-CN"/>
        </w:rPr>
        <w:t>幼儿园</w:t>
      </w:r>
      <w:r>
        <w:rPr>
          <w:rFonts w:hint="eastAsia" w:ascii="Times New Roman" w:hAnsi="Times New Roman" w:eastAsia="仿宋_GB2312" w:cs="仿宋_GB2312"/>
          <w:sz w:val="32"/>
          <w:szCs w:val="32"/>
        </w:rPr>
        <w:t>为经过市财政局及市教委审核认定的普惠性民办幼儿园，相关幼儿园</w:t>
      </w:r>
      <w:r>
        <w:rPr>
          <w:rFonts w:hint="eastAsia" w:ascii="Times New Roman" w:hAnsi="Times New Roman" w:eastAsia="仿宋_GB2312" w:cs="仿宋_GB2312"/>
          <w:sz w:val="32"/>
          <w:szCs w:val="32"/>
          <w:lang w:val="en-US" w:eastAsia="zh-CN"/>
        </w:rPr>
        <w:t>也</w:t>
      </w:r>
      <w:r>
        <w:rPr>
          <w:rFonts w:hint="eastAsia" w:ascii="Times New Roman" w:hAnsi="Times New Roman" w:eastAsia="仿宋_GB2312" w:cs="仿宋_GB2312"/>
          <w:sz w:val="32"/>
          <w:szCs w:val="32"/>
        </w:rPr>
        <w:t>已</w:t>
      </w:r>
      <w:r>
        <w:rPr>
          <w:rFonts w:hint="eastAsia" w:ascii="Times New Roman" w:hAnsi="Times New Roman" w:eastAsia="仿宋_GB2312" w:cs="仿宋_GB2312"/>
          <w:sz w:val="32"/>
          <w:szCs w:val="32"/>
          <w:lang w:val="en-US" w:eastAsia="zh-CN"/>
        </w:rPr>
        <w:t>签字</w:t>
      </w:r>
      <w:r>
        <w:rPr>
          <w:rFonts w:hint="eastAsia" w:ascii="Times New Roman" w:hAnsi="Times New Roman" w:eastAsia="仿宋_GB2312" w:cs="仿宋_GB2312"/>
          <w:sz w:val="32"/>
          <w:szCs w:val="32"/>
        </w:rPr>
        <w:t>确认</w:t>
      </w:r>
      <w:r>
        <w:rPr>
          <w:rFonts w:hint="eastAsia" w:ascii="Times New Roman" w:hAnsi="Times New Roman" w:eastAsia="仿宋_GB2312" w:cs="仿宋_GB2312"/>
          <w:sz w:val="32"/>
          <w:szCs w:val="32"/>
          <w:lang w:val="en-US" w:eastAsia="zh-CN"/>
        </w:rPr>
        <w:t>收到相应款项</w:t>
      </w:r>
      <w:r>
        <w:rPr>
          <w:rFonts w:hint="eastAsia" w:ascii="Times New Roman" w:hAnsi="Times New Roman" w:eastAsia="仿宋_GB2312" w:cs="仿宋_GB2312"/>
          <w:sz w:val="32"/>
          <w:szCs w:val="32"/>
        </w:rPr>
        <w:t>，专项资金拨付工作完成质量为100%。</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6" w:name="_Toc66801472"/>
      <w:bookmarkStart w:id="77" w:name="_Toc9411"/>
      <w:r>
        <w:rPr>
          <w:rFonts w:hint="eastAsia" w:ascii="Times New Roman" w:hAnsi="Times New Roman" w:eastAsia="仿宋_GB2312" w:cs="仿宋_GB2312"/>
          <w:sz w:val="32"/>
          <w:szCs w:val="32"/>
        </w:rPr>
        <w:t>3.产出时效</w:t>
      </w:r>
      <w:bookmarkEnd w:id="76"/>
      <w:bookmarkEnd w:id="77"/>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（1）项目资金使用的预定目标完成时间（总分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分，得分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经查看</w:t>
      </w:r>
      <w:r>
        <w:rPr>
          <w:rFonts w:hint="eastAsia" w:ascii="Times New Roman" w:hAnsi="Times New Roman" w:eastAsia="仿宋_GB2312" w:cs="仿宋_GB2312"/>
          <w:sz w:val="32"/>
          <w:szCs w:val="32"/>
          <w:lang w:val="en-US" w:eastAsia="zh-CN"/>
        </w:rPr>
        <w:t>东丽区教育局</w:t>
      </w:r>
      <w:r>
        <w:rPr>
          <w:rFonts w:hint="eastAsia" w:ascii="Times New Roman" w:hAnsi="Times New Roman" w:eastAsia="仿宋_GB2312" w:cs="仿宋_GB2312"/>
          <w:sz w:val="32"/>
          <w:szCs w:val="32"/>
        </w:rPr>
        <w:t>提供的支出凭证及后附收据、拨款凭证，可以确认2020年已完成向普惠性民办幼儿园拨付补助资金，相应幼儿园已签字确认收到相应款项。</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78" w:name="_Toc66801473"/>
      <w:bookmarkStart w:id="79" w:name="_Toc8760"/>
      <w:r>
        <w:rPr>
          <w:rFonts w:hint="eastAsia" w:ascii="Times New Roman" w:hAnsi="Times New Roman" w:eastAsia="仿宋_GB2312" w:cs="仿宋_GB2312"/>
          <w:sz w:val="32"/>
          <w:szCs w:val="32"/>
        </w:rPr>
        <w:t>4.产出成本</w:t>
      </w:r>
      <w:bookmarkEnd w:id="78"/>
      <w:bookmarkEnd w:id="7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（1）资金拨付额度（总分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分，得分</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根据</w:t>
      </w:r>
      <w:r>
        <w:rPr>
          <w:rFonts w:hint="eastAsia" w:ascii="Times New Roman" w:hAnsi="Times New Roman" w:eastAsia="仿宋_GB2312" w:cs="仿宋_GB2312"/>
          <w:sz w:val="32"/>
          <w:szCs w:val="32"/>
          <w:lang w:val="en-US" w:eastAsia="zh-CN"/>
        </w:rPr>
        <w:t>东丽区教育局</w:t>
      </w:r>
      <w:r>
        <w:rPr>
          <w:rFonts w:hint="eastAsia" w:ascii="Times New Roman" w:hAnsi="Times New Roman" w:eastAsia="仿宋_GB2312" w:cs="仿宋_GB2312"/>
          <w:sz w:val="32"/>
          <w:szCs w:val="32"/>
        </w:rPr>
        <w:t>提供的支出凭证及后附收据显示，该单位实际支出金额为24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000</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6</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元，但预算金额为12</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074</w:t>
      </w:r>
      <w:r>
        <w:rPr>
          <w:rFonts w:hint="eastAsia" w:ascii="Times New Roman" w:hAnsi="Times New Roman" w:eastAsia="仿宋_GB2312" w:cs="仿宋_GB2312"/>
          <w:sz w:val="32"/>
          <w:szCs w:val="32"/>
          <w:lang w:val="en-US" w:eastAsia="zh-CN"/>
        </w:rPr>
        <w:t>,</w:t>
      </w:r>
      <w:r>
        <w:rPr>
          <w:rFonts w:hint="eastAsia" w:ascii="Times New Roman" w:hAnsi="Times New Roman" w:eastAsia="仿宋_GB2312" w:cs="仿宋_GB2312"/>
          <w:sz w:val="32"/>
          <w:szCs w:val="32"/>
        </w:rPr>
        <w:t>8</w:t>
      </w:r>
      <w:r>
        <w:rPr>
          <w:rFonts w:hint="eastAsia" w:ascii="Times New Roman" w:hAnsi="Times New Roman" w:eastAsia="仿宋_GB2312" w:cs="仿宋_GB2312"/>
          <w:sz w:val="32"/>
          <w:szCs w:val="32"/>
          <w:lang w:val="en-US" w:eastAsia="zh-CN"/>
        </w:rPr>
        <w:t>00</w:t>
      </w:r>
      <w:r>
        <w:rPr>
          <w:rFonts w:hint="eastAsia" w:ascii="Times New Roman" w:hAnsi="Times New Roman" w:eastAsia="仿宋_GB2312" w:cs="仿宋_GB2312"/>
          <w:sz w:val="32"/>
          <w:szCs w:val="32"/>
        </w:rPr>
        <w:t>元，实际支出超出预算金额，扣10分。</w:t>
      </w: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0</w:t>
      </w:r>
      <w:r>
        <w:rPr>
          <w:rFonts w:hint="eastAsia" w:ascii="Times New Roman" w:hAnsi="Times New Roman" w:eastAsia="仿宋_GB2312" w:cs="仿宋_GB2312"/>
          <w:sz w:val="32"/>
          <w:szCs w:val="32"/>
        </w:rPr>
        <w:t>分。</w:t>
      </w:r>
    </w:p>
    <w:p>
      <w:pPr>
        <w:spacing w:line="360" w:lineRule="auto"/>
        <w:ind w:firstLine="640" w:firstLineChars="200"/>
        <w:outlineLvl w:val="1"/>
        <w:rPr>
          <w:rFonts w:ascii="楷体_GB2312" w:hAnsi="Times New Roman" w:eastAsia="楷体_GB2312" w:cs="仿宋_GB2312"/>
          <w:sz w:val="32"/>
          <w:szCs w:val="32"/>
        </w:rPr>
      </w:pPr>
      <w:bookmarkStart w:id="80" w:name="_Toc66801474"/>
      <w:bookmarkStart w:id="81" w:name="_Toc13038"/>
      <w:r>
        <w:rPr>
          <w:rFonts w:hint="eastAsia" w:ascii="楷体_GB2312" w:hAnsi="Times New Roman" w:eastAsia="楷体_GB2312" w:cs="仿宋_GB2312"/>
          <w:sz w:val="32"/>
          <w:szCs w:val="32"/>
        </w:rPr>
        <w:t>（四）项目效益情况</w:t>
      </w:r>
      <w:bookmarkEnd w:id="80"/>
      <w:bookmarkEnd w:id="81"/>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效益指标为项目效益1项二级指标，</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项三级指标，基础总分20分，合计得分</w:t>
      </w:r>
      <w:r>
        <w:rPr>
          <w:rFonts w:hint="eastAsia" w:ascii="Times New Roman" w:hAnsi="Times New Roman" w:eastAsia="仿宋_GB2312" w:cs="仿宋_GB2312"/>
          <w:sz w:val="32"/>
          <w:szCs w:val="32"/>
          <w:lang w:val="en-US" w:eastAsia="zh-CN"/>
        </w:rPr>
        <w:t>15</w:t>
      </w:r>
      <w:r>
        <w:rPr>
          <w:rFonts w:hint="eastAsia" w:ascii="Times New Roman" w:hAnsi="Times New Roman" w:eastAsia="仿宋_GB2312" w:cs="仿宋_GB2312"/>
          <w:sz w:val="32"/>
          <w:szCs w:val="32"/>
        </w:rPr>
        <w:t>分。</w:t>
      </w:r>
    </w:p>
    <w:p>
      <w:pPr>
        <w:spacing w:line="360" w:lineRule="auto"/>
        <w:ind w:firstLine="640" w:firstLineChars="200"/>
        <w:outlineLvl w:val="2"/>
        <w:rPr>
          <w:rFonts w:ascii="Times New Roman" w:hAnsi="Times New Roman" w:eastAsia="仿宋_GB2312" w:cs="仿宋_GB2312"/>
          <w:sz w:val="32"/>
          <w:szCs w:val="32"/>
        </w:rPr>
      </w:pPr>
      <w:bookmarkStart w:id="82" w:name="_Toc66801475"/>
      <w:bookmarkStart w:id="83" w:name="_Toc24444"/>
      <w:r>
        <w:rPr>
          <w:rFonts w:hint="eastAsia" w:ascii="Times New Roman" w:hAnsi="Times New Roman" w:eastAsia="仿宋_GB2312" w:cs="仿宋_GB2312"/>
          <w:sz w:val="32"/>
          <w:szCs w:val="32"/>
        </w:rPr>
        <w:t>1.项目效益</w:t>
      </w:r>
      <w:bookmarkEnd w:id="82"/>
      <w:bookmarkEnd w:id="83"/>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）社会效益（总分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分，得分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根据该单位提供的《关于东丽区教育局清单第6条的情况说明》，2019年东丽区幼儿接受普惠性学前教育比例为48.7%，2020年东丽区幼儿接受普惠性学前教育比例为63.1%，幼儿接受普惠性学前教育比例较上年提升14.4%</w:t>
      </w:r>
      <w:r>
        <w:rPr>
          <w:rFonts w:hint="eastAsia" w:ascii="Times New Roman" w:hAnsi="Times New Roman" w:eastAsia="仿宋_GB2312" w:cs="仿宋_GB2312"/>
          <w:sz w:val="32"/>
          <w:szCs w:val="32"/>
          <w:lang w:eastAsia="zh-CN"/>
        </w:rPr>
        <w:t>。</w:t>
      </w:r>
    </w:p>
    <w:p>
      <w:pPr>
        <w:spacing w:line="360" w:lineRule="auto"/>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w:t>
      </w:r>
    </w:p>
    <w:p>
      <w:pPr>
        <w:spacing w:line="360" w:lineRule="auto"/>
        <w:ind w:firstLine="640" w:firstLineChars="200"/>
        <w:rPr>
          <w:rFonts w:hint="eastAsia" w:ascii="Times New Roman" w:hAnsi="Times New Roman" w:eastAsia="仿宋_GB2312" w:cs="仿宋_GB2312"/>
          <w:sz w:val="32"/>
          <w:szCs w:val="32"/>
        </w:rPr>
      </w:pPr>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）受益群体满意度（总分</w:t>
      </w:r>
      <w:r>
        <w:rPr>
          <w:rFonts w:hint="eastAsia" w:ascii="Times New Roman" w:hAnsi="Times New Roman" w:eastAsia="仿宋_GB2312" w:cs="仿宋_GB2312"/>
          <w:sz w:val="32"/>
          <w:szCs w:val="32"/>
          <w:lang w:val="en-US" w:eastAsia="zh-CN"/>
        </w:rPr>
        <w:t>10</w:t>
      </w:r>
      <w:r>
        <w:rPr>
          <w:rFonts w:hint="eastAsia" w:ascii="Times New Roman" w:hAnsi="Times New Roman" w:eastAsia="仿宋_GB2312" w:cs="仿宋_GB2312"/>
          <w:sz w:val="32"/>
          <w:szCs w:val="32"/>
        </w:rPr>
        <w:t>分，得分</w:t>
      </w: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分）</w:t>
      </w:r>
    </w:p>
    <w:p>
      <w:pPr>
        <w:spacing w:line="360" w:lineRule="auto"/>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东丽区教育局于2020年向普惠性民办幼儿园拨付专项资金，积极引导民办幼儿园提供普惠服务。但东丽区教育局未对受益群体如老师、家长、幼儿进行满意度调查，且距今时间较久，我们无法针对当时情况对受益群体进行满意度调查。</w:t>
      </w:r>
    </w:p>
    <w:p>
      <w:pPr>
        <w:spacing w:line="360" w:lineRule="auto"/>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根据相关媒体报道显示“本市对普惠性民办幼儿园生均经费按照《天津市普惠性民办幼儿园等级标准》认定的等级实行分级补助，此举对进一步提高民办幼儿园教职工待遇和社保缴存基数起到了积极推动作用，从而助力普惠性民办幼儿园进一步提高办园质量。”且</w:t>
      </w:r>
      <w:r>
        <w:rPr>
          <w:rFonts w:hint="eastAsia" w:ascii="Times New Roman" w:hAnsi="Times New Roman" w:eastAsia="仿宋_GB2312" w:cs="仿宋_GB2312"/>
          <w:sz w:val="32"/>
          <w:szCs w:val="32"/>
        </w:rPr>
        <w:t>该单位提供的《关于东丽区教育局清单第6条的情况说明》</w:t>
      </w:r>
      <w:r>
        <w:rPr>
          <w:rFonts w:hint="eastAsia" w:ascii="Times New Roman" w:hAnsi="Times New Roman" w:eastAsia="仿宋_GB2312" w:cs="仿宋_GB2312"/>
          <w:sz w:val="32"/>
          <w:szCs w:val="32"/>
          <w:lang w:val="en-US" w:eastAsia="zh-CN"/>
        </w:rPr>
        <w:t>显示，</w:t>
      </w:r>
      <w:r>
        <w:rPr>
          <w:rFonts w:hint="eastAsia" w:ascii="Times New Roman" w:hAnsi="Times New Roman" w:eastAsia="仿宋_GB2312" w:cs="仿宋_GB2312"/>
          <w:sz w:val="32"/>
          <w:szCs w:val="32"/>
        </w:rPr>
        <w:t>2019年东丽区幼儿接受普惠性学前教育比例为48.7%，2020年东丽区幼儿接受普惠性学前教育比例为63.1%</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可以看出市民对普惠性学前教育的接受度、满意度增加，但无法确定教师等幼儿园工作人员的满意度。</w:t>
      </w:r>
    </w:p>
    <w:p>
      <w:pPr>
        <w:spacing w:line="360" w:lineRule="auto"/>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rPr>
        <w:t>该指标得分为</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分。</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84" w:name="_Toc66801476"/>
      <w:bookmarkStart w:id="85" w:name="_Toc4084"/>
      <w:r>
        <w:rPr>
          <w:rFonts w:hint="eastAsia" w:ascii="Times New Roman" w:hAnsi="黑体" w:eastAsia="黑体" w:cs="黑体"/>
          <w:sz w:val="32"/>
          <w:szCs w:val="32"/>
        </w:rPr>
        <w:t>五、存在的问题</w:t>
      </w:r>
      <w:bookmarkEnd w:id="84"/>
      <w:bookmarkEnd w:id="85"/>
    </w:p>
    <w:p>
      <w:pPr>
        <w:spacing w:line="360" w:lineRule="auto"/>
        <w:ind w:firstLine="640" w:firstLineChars="200"/>
        <w:outlineLvl w:val="1"/>
        <w:rPr>
          <w:rFonts w:ascii="楷体_GB2312" w:hAnsi="Times New Roman" w:eastAsia="楷体_GB2312" w:cs="仿宋_GB2312"/>
          <w:sz w:val="32"/>
          <w:szCs w:val="32"/>
        </w:rPr>
      </w:pPr>
      <w:bookmarkStart w:id="86" w:name="_Toc66801477"/>
      <w:bookmarkStart w:id="87" w:name="_Toc9618"/>
      <w:bookmarkStart w:id="88" w:name="_Hlk91497549"/>
      <w:r>
        <w:rPr>
          <w:rFonts w:hint="eastAsia" w:ascii="楷体_GB2312" w:hAnsi="Times New Roman" w:eastAsia="楷体_GB2312" w:cs="仿宋_GB2312"/>
          <w:sz w:val="32"/>
          <w:szCs w:val="32"/>
        </w:rPr>
        <w:t>（</w:t>
      </w:r>
      <w:r>
        <w:rPr>
          <w:rFonts w:hint="eastAsia" w:ascii="楷体_GB2312" w:hAnsi="Times New Roman" w:eastAsia="楷体_GB2312" w:cs="仿宋_GB2312"/>
          <w:sz w:val="32"/>
          <w:szCs w:val="32"/>
          <w:lang w:val="en-US" w:eastAsia="zh-CN"/>
        </w:rPr>
        <w:t>一</w:t>
      </w:r>
      <w:r>
        <w:rPr>
          <w:rFonts w:hint="eastAsia" w:ascii="楷体_GB2312" w:hAnsi="Times New Roman" w:eastAsia="楷体_GB2312" w:cs="仿宋_GB2312"/>
          <w:sz w:val="32"/>
          <w:szCs w:val="32"/>
        </w:rPr>
        <w:t>）</w:t>
      </w:r>
      <w:bookmarkEnd w:id="86"/>
      <w:r>
        <w:rPr>
          <w:rFonts w:hint="eastAsia" w:ascii="楷体_GB2312" w:hAnsi="Times New Roman" w:eastAsia="楷体_GB2312" w:cs="仿宋_GB2312"/>
          <w:sz w:val="32"/>
          <w:szCs w:val="32"/>
        </w:rPr>
        <w:t>项目绩效指标设置不科学</w:t>
      </w:r>
      <w:bookmarkEnd w:id="87"/>
    </w:p>
    <w:p>
      <w:pPr>
        <w:pStyle w:val="17"/>
        <w:rPr>
          <w:rFonts w:hint="default"/>
          <w:lang w:val="en-US"/>
        </w:rPr>
      </w:pPr>
      <w:r>
        <w:rPr>
          <w:rFonts w:hint="eastAsia"/>
        </w:rPr>
        <w:t>本项目</w:t>
      </w:r>
      <w:r>
        <w:rPr>
          <w:rFonts w:hint="eastAsia"/>
          <w:lang w:val="en-US" w:eastAsia="zh-CN"/>
        </w:rPr>
        <w:t>设定的经济效益指标为市民接受普惠性学前教育比例有所提升，未对提升比例进行规定，指标值不清晰、不可衡量。且“市民接受普惠性学前教育比例”为本项目带来的社会效益，不应设定为经济效益。</w:t>
      </w:r>
    </w:p>
    <w:p>
      <w:pPr>
        <w:spacing w:line="360" w:lineRule="auto"/>
        <w:ind w:firstLine="640" w:firstLineChars="200"/>
        <w:outlineLvl w:val="1"/>
        <w:rPr>
          <w:rFonts w:hint="default" w:ascii="楷体_GB2312" w:hAnsi="Times New Roman" w:eastAsia="楷体_GB2312" w:cs="仿宋_GB2312"/>
          <w:sz w:val="32"/>
          <w:szCs w:val="32"/>
          <w:lang w:val="en-US" w:eastAsia="zh-CN"/>
        </w:rPr>
      </w:pPr>
      <w:bookmarkStart w:id="89" w:name="_Toc21337"/>
      <w:r>
        <w:rPr>
          <w:rFonts w:hint="eastAsia" w:ascii="楷体_GB2312" w:hAnsi="Times New Roman" w:eastAsia="楷体_GB2312" w:cs="仿宋_GB2312"/>
          <w:sz w:val="32"/>
          <w:szCs w:val="32"/>
        </w:rPr>
        <w:t>（二）项目未进行详细预算编制</w:t>
      </w:r>
      <w:r>
        <w:rPr>
          <w:rFonts w:hint="eastAsia" w:ascii="楷体_GB2312" w:hAnsi="Times New Roman" w:eastAsia="楷体_GB2312" w:cs="仿宋_GB2312"/>
          <w:sz w:val="32"/>
          <w:szCs w:val="32"/>
          <w:lang w:val="en-US" w:eastAsia="zh-CN"/>
        </w:rPr>
        <w:t>及资金分配</w:t>
      </w:r>
      <w:bookmarkEnd w:id="89"/>
    </w:p>
    <w:p>
      <w:pPr>
        <w:spacing w:line="360" w:lineRule="auto"/>
        <w:ind w:firstLine="640" w:firstLineChars="200"/>
        <w:rPr>
          <w:rFonts w:hint="default"/>
          <w:lang w:val="en-US"/>
        </w:rPr>
      </w:pPr>
      <w:r>
        <w:rPr>
          <w:rFonts w:hint="eastAsia" w:ascii="Times New Roman" w:hAnsi="Times New Roman" w:eastAsia="仿宋_GB2312" w:cs="仿宋_GB2312"/>
          <w:sz w:val="32"/>
          <w:szCs w:val="32"/>
          <w:lang w:val="en-US" w:eastAsia="zh-CN"/>
        </w:rPr>
        <w:t>《市教委 市财政局关于印发普惠性民办幼儿园政府扶持资金专用账户监督管理办法（试行）的通知》第四章第九条规定显示“幼儿园要于每年11月底前，编制下一年度扶持资金专户核算的资金收支预算和月用款计划，报区教育局审核。区教育局于12月底前完成审核确认，最终确定的资金收支预算和月用款计划须由区教育局、普惠性民办幼儿园和开户银行各自留存一份。”本项目未针对项目具体工作任务进行预算编制，无工作任务明细，也未见资金分配明细。</w:t>
      </w:r>
    </w:p>
    <w:p>
      <w:pPr>
        <w:numPr>
          <w:ilvl w:val="0"/>
          <w:numId w:val="2"/>
        </w:numPr>
        <w:spacing w:line="360" w:lineRule="auto"/>
        <w:ind w:firstLine="640" w:firstLineChars="200"/>
        <w:outlineLvl w:val="1"/>
        <w:rPr>
          <w:rFonts w:hint="eastAsia" w:ascii="楷体_GB2312" w:hAnsi="Times New Roman" w:eastAsia="楷体_GB2312" w:cs="仿宋_GB2312"/>
          <w:sz w:val="32"/>
          <w:szCs w:val="32"/>
          <w:lang w:val="en-US" w:eastAsia="zh-CN"/>
        </w:rPr>
      </w:pPr>
      <w:bookmarkStart w:id="90" w:name="_Toc4882"/>
      <w:r>
        <w:rPr>
          <w:rFonts w:hint="eastAsia" w:ascii="楷体_GB2312" w:hAnsi="Times New Roman" w:eastAsia="楷体_GB2312" w:cs="仿宋_GB2312"/>
          <w:sz w:val="32"/>
          <w:szCs w:val="32"/>
        </w:rPr>
        <w:t>项目</w:t>
      </w:r>
      <w:r>
        <w:rPr>
          <w:rFonts w:hint="eastAsia" w:ascii="楷体_GB2312" w:hAnsi="Times New Roman" w:eastAsia="楷体_GB2312" w:cs="仿宋_GB2312"/>
          <w:sz w:val="32"/>
          <w:szCs w:val="32"/>
          <w:lang w:val="en-US" w:eastAsia="zh-CN"/>
        </w:rPr>
        <w:t>支出金额超出预算金额</w:t>
      </w:r>
      <w:bookmarkEnd w:id="90"/>
    </w:p>
    <w:p>
      <w:pPr>
        <w:numPr>
          <w:ilvl w:val="0"/>
          <w:numId w:val="0"/>
        </w:numPr>
        <w:spacing w:line="360" w:lineRule="auto"/>
        <w:ind w:firstLine="640" w:firstLineChars="200"/>
        <w:outlineLvl w:val="9"/>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根据东丽区教育局提供的支出凭证及后附收据显示，该单位实际支出金额为24,000,600元，但本项目年度预算金额为12,074,800元，实际支出超出预算金额。</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640" w:firstLineChars="200"/>
        <w:outlineLvl w:val="1"/>
        <w:rPr>
          <w:rFonts w:hint="eastAsia" w:ascii="楷体_GB2312" w:hAnsi="Times New Roman" w:eastAsia="楷体_GB2312" w:cs="仿宋_GB2312"/>
          <w:sz w:val="32"/>
          <w:szCs w:val="32"/>
          <w:lang w:val="en-US" w:eastAsia="zh-CN"/>
        </w:rPr>
      </w:pPr>
      <w:bookmarkStart w:id="91" w:name="_Toc31210"/>
      <w:r>
        <w:rPr>
          <w:rFonts w:hint="eastAsia" w:ascii="楷体_GB2312" w:hAnsi="Times New Roman" w:eastAsia="楷体_GB2312" w:cs="仿宋_GB2312"/>
          <w:sz w:val="32"/>
          <w:szCs w:val="32"/>
          <w:lang w:val="en-US" w:eastAsia="zh-CN"/>
        </w:rPr>
        <w:t>未及时对满意度进行调查</w:t>
      </w:r>
      <w:bookmarkEnd w:id="91"/>
    </w:p>
    <w:bookmarkEnd w:id="88"/>
    <w:p>
      <w:pPr>
        <w:numPr>
          <w:ilvl w:val="0"/>
          <w:numId w:val="0"/>
        </w:numPr>
        <w:spacing w:line="360" w:lineRule="auto"/>
        <w:ind w:firstLine="640" w:firstLineChars="200"/>
        <w:outlineLvl w:val="9"/>
        <w:rPr>
          <w:rFonts w:hint="default" w:ascii="Times New Roman" w:hAnsi="Times New Roman" w:eastAsia="仿宋_GB2312" w:cs="仿宋_GB2312"/>
          <w:sz w:val="32"/>
          <w:szCs w:val="32"/>
          <w:lang w:val="en-US" w:eastAsia="zh-CN"/>
        </w:rPr>
      </w:pPr>
      <w:bookmarkStart w:id="92" w:name="_Toc66801482"/>
      <w:r>
        <w:rPr>
          <w:rFonts w:hint="eastAsia" w:ascii="Times New Roman" w:hAnsi="Times New Roman" w:eastAsia="仿宋_GB2312" w:cs="仿宋_GB2312"/>
          <w:sz w:val="32"/>
          <w:szCs w:val="32"/>
          <w:lang w:val="en-US" w:eastAsia="zh-CN"/>
        </w:rPr>
        <w:t>东丽区教育局于2020年向普惠性民办幼儿园拨付专项资金，积极引导民办幼儿园提供普惠服务。但东丽区教育局未及时对受益群体如老师、家长、幼儿进行满意度调查。</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93" w:name="_Toc4038"/>
      <w:r>
        <w:rPr>
          <w:rFonts w:hint="eastAsia" w:ascii="Times New Roman" w:hAnsi="黑体" w:eastAsia="黑体" w:cs="黑体"/>
          <w:sz w:val="32"/>
          <w:szCs w:val="32"/>
        </w:rPr>
        <w:t>六、有关建议</w:t>
      </w:r>
      <w:bookmarkEnd w:id="92"/>
      <w:bookmarkEnd w:id="93"/>
    </w:p>
    <w:p>
      <w:pPr>
        <w:spacing w:line="360" w:lineRule="auto"/>
        <w:ind w:firstLine="640" w:firstLineChars="200"/>
        <w:outlineLvl w:val="1"/>
        <w:rPr>
          <w:rFonts w:ascii="楷体_GB2312" w:hAnsi="Times New Roman" w:eastAsia="楷体_GB2312" w:cs="仿宋_GB2312"/>
          <w:sz w:val="32"/>
          <w:szCs w:val="32"/>
        </w:rPr>
      </w:pPr>
      <w:bookmarkStart w:id="94" w:name="_Toc31160"/>
      <w:bookmarkStart w:id="95" w:name="_Toc66801488"/>
      <w:r>
        <w:rPr>
          <w:rFonts w:hint="eastAsia" w:ascii="楷体_GB2312" w:hAnsi="Times New Roman" w:eastAsia="楷体_GB2312" w:cs="仿宋_GB2312"/>
          <w:sz w:val="32"/>
          <w:szCs w:val="32"/>
        </w:rPr>
        <w:t>（一）加强项目绩效</w:t>
      </w:r>
      <w:r>
        <w:rPr>
          <w:rFonts w:hint="eastAsia" w:ascii="楷体_GB2312" w:hAnsi="Times New Roman" w:eastAsia="楷体_GB2312" w:cs="仿宋_GB2312"/>
          <w:sz w:val="32"/>
          <w:szCs w:val="32"/>
          <w:lang w:val="en-US" w:eastAsia="zh-CN"/>
        </w:rPr>
        <w:t>目标</w:t>
      </w:r>
      <w:r>
        <w:rPr>
          <w:rFonts w:hint="eastAsia" w:ascii="楷体_GB2312" w:hAnsi="Times New Roman" w:eastAsia="楷体_GB2312" w:cs="仿宋_GB2312"/>
          <w:sz w:val="32"/>
          <w:szCs w:val="32"/>
        </w:rPr>
        <w:t>管理</w:t>
      </w:r>
      <w:bookmarkEnd w:id="94"/>
    </w:p>
    <w:p>
      <w:pPr>
        <w:pStyle w:val="17"/>
      </w:pPr>
      <w:r>
        <w:rPr>
          <w:rFonts w:hint="eastAsia"/>
        </w:rPr>
        <w:t>建议主管部门依据《中央部门项目支出核心绩效目标和指标设置及取值指引（试行）》（财预〔</w:t>
      </w:r>
      <w:r>
        <w:t>2021〕101号</w:t>
      </w:r>
      <w:r>
        <w:rPr>
          <w:rFonts w:hint="eastAsia"/>
        </w:rPr>
        <w:t>）要求设定科学的绩效目标与指标。</w:t>
      </w:r>
      <w:r>
        <w:t>指标值的设定要在考虑可实现性的基础上，尽量从严、从高设定，以充分发挥绩效目标对预算编制执行的引导约束和控制作用。</w:t>
      </w:r>
    </w:p>
    <w:p>
      <w:pPr>
        <w:pStyle w:val="17"/>
        <w:rPr>
          <w:rFonts w:hint="default" w:eastAsia="仿宋_GB2312"/>
          <w:lang w:val="en-US" w:eastAsia="zh-CN"/>
        </w:rPr>
      </w:pPr>
      <w:r>
        <w:rPr>
          <w:rFonts w:hint="eastAsia"/>
        </w:rPr>
        <w:t>例如，</w:t>
      </w:r>
      <w:r>
        <w:rPr>
          <w:rFonts w:hint="eastAsia"/>
          <w:lang w:val="en-US" w:eastAsia="zh-CN"/>
        </w:rPr>
        <w:t>社会效益</w:t>
      </w:r>
      <w:r>
        <w:rPr>
          <w:rFonts w:hint="eastAsia"/>
        </w:rPr>
        <w:t>指标设置为：</w:t>
      </w:r>
      <w:r>
        <w:rPr>
          <w:rFonts w:hint="eastAsia"/>
          <w:lang w:val="en-US" w:eastAsia="zh-CN"/>
        </w:rPr>
        <w:t>市民接受普惠性学前教育比例较上年提升10%；</w:t>
      </w:r>
      <w:r>
        <w:t>时效指标</w:t>
      </w:r>
      <w:r>
        <w:rPr>
          <w:rFonts w:hint="eastAsia"/>
        </w:rPr>
        <w:t>设置为：</w:t>
      </w:r>
      <w:r>
        <w:rPr>
          <w:rFonts w:hint="eastAsia"/>
          <w:lang w:val="en-US" w:eastAsia="zh-CN"/>
        </w:rPr>
        <w:t>拨付资金完成时间</w:t>
      </w:r>
      <w:r>
        <w:t>2020年</w:t>
      </w:r>
      <w:r>
        <w:rPr>
          <w:rFonts w:hint="eastAsia"/>
          <w:lang w:val="en-US" w:eastAsia="zh-CN"/>
        </w:rPr>
        <w:t>12</w:t>
      </w:r>
      <w:r>
        <w:t>月</w:t>
      </w:r>
      <w:r>
        <w:rPr>
          <w:rFonts w:hint="eastAsia"/>
          <w:lang w:val="en-US" w:eastAsia="zh-CN"/>
        </w:rPr>
        <w:t>31</w:t>
      </w:r>
      <w:r>
        <w:t>日</w:t>
      </w:r>
      <w:r>
        <w:rPr>
          <w:rFonts w:hint="eastAsia"/>
          <w:lang w:val="en-US" w:eastAsia="zh-CN"/>
        </w:rPr>
        <w:t>前；</w:t>
      </w:r>
      <w:r>
        <w:t>成本指标</w:t>
      </w:r>
      <w:r>
        <w:rPr>
          <w:rFonts w:hint="eastAsia"/>
        </w:rPr>
        <w:t>设置为：</w:t>
      </w:r>
      <w:r>
        <w:rPr>
          <w:rFonts w:hint="eastAsia"/>
          <w:lang w:val="en-US" w:eastAsia="zh-CN"/>
        </w:rPr>
        <w:t>项目支出金额小于等于预算金额。</w:t>
      </w:r>
    </w:p>
    <w:p>
      <w:pPr>
        <w:spacing w:line="360" w:lineRule="auto"/>
        <w:ind w:firstLine="640" w:firstLineChars="200"/>
        <w:outlineLvl w:val="1"/>
        <w:rPr>
          <w:rFonts w:ascii="楷体_GB2312" w:hAnsi="Times New Roman" w:eastAsia="楷体_GB2312" w:cs="仿宋_GB2312"/>
          <w:sz w:val="32"/>
          <w:szCs w:val="32"/>
        </w:rPr>
      </w:pPr>
      <w:bookmarkStart w:id="96" w:name="_Toc22844"/>
      <w:r>
        <w:rPr>
          <w:rFonts w:hint="eastAsia" w:ascii="楷体_GB2312" w:hAnsi="Times New Roman" w:eastAsia="楷体_GB2312" w:cs="仿宋_GB2312"/>
          <w:sz w:val="32"/>
          <w:szCs w:val="32"/>
        </w:rPr>
        <w:t>（二）科学编制项目预算</w:t>
      </w:r>
      <w:bookmarkEnd w:id="96"/>
    </w:p>
    <w:p>
      <w:pPr>
        <w:pStyle w:val="17"/>
      </w:pPr>
      <w:r>
        <w:rPr>
          <w:rFonts w:hint="eastAsia"/>
        </w:rPr>
        <w:t>建议主管部门规范项目支出预算编制工作。设立科学的预算管理机制，强化基础编制工作，做到预算编制精细化、科学化。</w:t>
      </w:r>
    </w:p>
    <w:p>
      <w:pPr>
        <w:pStyle w:val="17"/>
      </w:pPr>
      <w:r>
        <w:rPr>
          <w:rFonts w:hint="eastAsia"/>
        </w:rPr>
        <w:t>例如，按照标准的预算框架体系，每年年初结合实际及上年项目执行情况，科学、合理确定支出计划，按经费用途逐级细化分类，细化到</w:t>
      </w:r>
      <w:r>
        <w:rPr>
          <w:rFonts w:hint="eastAsia"/>
          <w:lang w:val="en-US" w:eastAsia="zh-CN"/>
        </w:rPr>
        <w:t>人员费用、维修费、购置费</w:t>
      </w:r>
      <w:r>
        <w:rPr>
          <w:rFonts w:hint="eastAsia"/>
        </w:rPr>
        <w:t>等科目。</w:t>
      </w:r>
    </w:p>
    <w:p>
      <w:pPr>
        <w:spacing w:line="360" w:lineRule="auto"/>
        <w:ind w:firstLine="640" w:firstLineChars="200"/>
        <w:outlineLvl w:val="1"/>
        <w:rPr>
          <w:rFonts w:hint="default" w:ascii="楷体_GB2312" w:hAnsi="Times New Roman" w:eastAsia="楷体_GB2312" w:cs="仿宋_GB2312"/>
          <w:sz w:val="32"/>
          <w:szCs w:val="32"/>
          <w:lang w:val="en-US" w:eastAsia="zh-CN"/>
        </w:rPr>
      </w:pPr>
      <w:bookmarkStart w:id="97" w:name="_Toc17106"/>
      <w:r>
        <w:rPr>
          <w:rFonts w:hint="eastAsia" w:ascii="楷体_GB2312" w:hAnsi="Times New Roman" w:eastAsia="楷体_GB2312" w:cs="仿宋_GB2312"/>
          <w:sz w:val="32"/>
          <w:szCs w:val="32"/>
        </w:rPr>
        <w:t>（三）</w:t>
      </w:r>
      <w:r>
        <w:rPr>
          <w:rFonts w:hint="eastAsia" w:ascii="楷体_GB2312" w:hAnsi="Times New Roman" w:eastAsia="楷体_GB2312" w:cs="仿宋_GB2312"/>
          <w:sz w:val="32"/>
          <w:szCs w:val="32"/>
          <w:lang w:val="en-US" w:eastAsia="zh-CN"/>
        </w:rPr>
        <w:t>合理控制项目支出</w:t>
      </w:r>
      <w:bookmarkEnd w:id="97"/>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outlineLvl w:val="9"/>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建议主管部门严格规范项目支出审批流程，按照预算数额进行支出审批，确保资金拨付的必要性和合规性。并建立健全项目支出监督机制，健全绩效评价机制和绩效考核机制，制定制度化、规范化的绩效评价规范，更好地控制成本支出。</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outlineLvl w:val="1"/>
        <w:rPr>
          <w:rFonts w:ascii="楷体_GB2312" w:hAnsi="Times New Roman" w:eastAsia="楷体_GB2312" w:cs="仿宋_GB2312"/>
          <w:sz w:val="32"/>
          <w:szCs w:val="32"/>
        </w:rPr>
      </w:pPr>
      <w:bookmarkStart w:id="98" w:name="_Toc3359"/>
      <w:r>
        <w:rPr>
          <w:rFonts w:hint="eastAsia" w:ascii="楷体_GB2312" w:hAnsi="Times New Roman" w:eastAsia="楷体_GB2312" w:cs="仿宋_GB2312"/>
          <w:sz w:val="32"/>
          <w:szCs w:val="32"/>
        </w:rPr>
        <w:t>（四）</w:t>
      </w:r>
      <w:r>
        <w:rPr>
          <w:rFonts w:hint="eastAsia" w:ascii="楷体_GB2312" w:hAnsi="Times New Roman" w:eastAsia="楷体_GB2312" w:cs="仿宋_GB2312"/>
          <w:sz w:val="32"/>
          <w:szCs w:val="32"/>
          <w:lang w:val="en-US" w:eastAsia="zh-CN"/>
        </w:rPr>
        <w:t>设置满意度调查问卷并对资料及时归档</w:t>
      </w:r>
      <w:bookmarkEnd w:id="98"/>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outlineLvl w:val="9"/>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建议主管部门及时对受益对象满意度进行调查，并根据受益对象的特点合理设置书面调查问卷进行满意度调查，并对纸质性相关资料及时归档。</w:t>
      </w:r>
    </w:p>
    <w:p>
      <w:pPr>
        <w:autoSpaceDE w:val="0"/>
        <w:autoSpaceDN w:val="0"/>
        <w:adjustRightInd w:val="0"/>
        <w:spacing w:line="360" w:lineRule="auto"/>
        <w:ind w:firstLine="640" w:firstLineChars="200"/>
        <w:jc w:val="left"/>
        <w:outlineLvl w:val="0"/>
        <w:rPr>
          <w:rFonts w:ascii="Times New Roman" w:hAnsi="黑体" w:eastAsia="黑体" w:cs="黑体"/>
          <w:sz w:val="32"/>
          <w:szCs w:val="32"/>
        </w:rPr>
      </w:pPr>
      <w:bookmarkStart w:id="99" w:name="_Toc31425"/>
      <w:r>
        <w:rPr>
          <w:rFonts w:hint="eastAsia" w:ascii="Times New Roman" w:hAnsi="黑体" w:eastAsia="黑体" w:cs="黑体"/>
          <w:sz w:val="32"/>
          <w:szCs w:val="32"/>
        </w:rPr>
        <w:t>七、其他需要说明的问题</w:t>
      </w:r>
      <w:bookmarkEnd w:id="95"/>
      <w:bookmarkEnd w:id="99"/>
    </w:p>
    <w:p>
      <w:pPr>
        <w:spacing w:line="360" w:lineRule="auto"/>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无</w:t>
      </w:r>
    </w:p>
    <w:p>
      <w:pPr>
        <w:spacing w:line="360" w:lineRule="auto"/>
        <w:rPr>
          <w:rFonts w:ascii="Times New Roman" w:hAnsi="Times New Roman" w:eastAsia="仿宋_GB2312" w:cs="仿宋_GB2312"/>
          <w:sz w:val="32"/>
          <w:szCs w:val="32"/>
        </w:rPr>
      </w:pPr>
    </w:p>
    <w:p>
      <w:pPr>
        <w:pStyle w:val="17"/>
        <w:rPr>
          <w:rFonts w:hint="eastAsia" w:ascii="Times New Roman" w:hAnsi="Times New Roman" w:eastAsia="仿宋_GB2312" w:cs="仿宋_GB2312"/>
          <w:sz w:val="32"/>
          <w:szCs w:val="32"/>
        </w:rPr>
      </w:pPr>
    </w:p>
    <w:p>
      <w:pPr>
        <w:pStyle w:val="17"/>
        <w:rPr>
          <w:rFonts w:hint="eastAsia" w:ascii="Times New Roman" w:hAnsi="Times New Roman" w:eastAsia="仿宋_GB2312" w:cs="仿宋_GB2312"/>
          <w:sz w:val="32"/>
          <w:szCs w:val="32"/>
        </w:rPr>
      </w:pPr>
    </w:p>
    <w:p>
      <w:pPr>
        <w:pStyle w:val="17"/>
      </w:pPr>
      <w:r>
        <w:rPr>
          <w:rFonts w:hint="eastAsia" w:ascii="Times New Roman" w:hAnsi="Times New Roman" w:eastAsia="仿宋_GB2312" w:cs="仿宋_GB2312"/>
          <w:sz w:val="32"/>
          <w:szCs w:val="32"/>
        </w:rPr>
        <w:t>附件1：2020年普惠性民办幼儿园生均经费补助资金项目绩效评价指标体系及评分表</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文星仿宋">
    <w:altName w:val="仿宋"/>
    <w:panose1 w:val="02010604000101010101"/>
    <w:charset w:val="86"/>
    <w:family w:val="auto"/>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Narrow">
    <w:panose1 w:val="020B0606020202030204"/>
    <w:charset w:val="00"/>
    <w:family w:val="auto"/>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9355563"/>
      <w:docPartObj>
        <w:docPartGallery w:val="autotext"/>
      </w:docPartObj>
    </w:sdtPr>
    <w:sdtEndPr>
      <w:rPr>
        <w:rFonts w:ascii="Times New Roman" w:hAnsi="Times New Roman" w:cs="Times New Roman"/>
        <w:sz w:val="22"/>
        <w:szCs w:val="22"/>
      </w:rPr>
    </w:sdtEndPr>
    <w:sdtContent>
      <w:p>
        <w:pPr>
          <w:pStyle w:val="5"/>
          <w:jc w:val="center"/>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lang w:val="zh-CN"/>
          </w:rPr>
          <w:t>2</w:t>
        </w:r>
        <w:r>
          <w:rPr>
            <w:rFonts w:ascii="Times New Roman" w:hAnsi="Times New Roman" w:cs="Times New Roman"/>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8230971"/>
      <w:docPartObj>
        <w:docPartGallery w:val="autotext"/>
      </w:docPartObj>
    </w:sdtPr>
    <w:sdtEndPr>
      <w:rPr>
        <w:sz w:val="22"/>
        <w:szCs w:val="22"/>
      </w:rPr>
    </w:sdtEndPr>
    <w:sdtContent>
      <w:p>
        <w:pPr>
          <w:pStyle w:val="5"/>
          <w:jc w:val="center"/>
          <w:rPr>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PAGE   \* MERGEFORMAT</w:instrText>
        </w:r>
        <w:r>
          <w:rPr>
            <w:rFonts w:ascii="Times New Roman" w:hAnsi="Times New Roman" w:cs="Times New Roman"/>
            <w:sz w:val="22"/>
            <w:szCs w:val="22"/>
          </w:rPr>
          <w:fldChar w:fldCharType="separate"/>
        </w:r>
        <w:r>
          <w:rPr>
            <w:rFonts w:ascii="Times New Roman" w:hAnsi="Times New Roman" w:cs="Times New Roman"/>
            <w:sz w:val="22"/>
            <w:szCs w:val="22"/>
            <w:lang w:val="zh-CN"/>
          </w:rPr>
          <w:t>2</w:t>
        </w:r>
        <w:r>
          <w:rPr>
            <w:rFonts w:ascii="Times New Roman" w:hAnsi="Times New Roman" w:cs="Times New Roman"/>
            <w:sz w:val="22"/>
            <w:szCs w:val="22"/>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1D469"/>
    <w:multiLevelType w:val="singleLevel"/>
    <w:tmpl w:val="A521D469"/>
    <w:lvl w:ilvl="0" w:tentative="0">
      <w:start w:val="3"/>
      <w:numFmt w:val="chineseCounting"/>
      <w:suff w:val="nothing"/>
      <w:lvlText w:val="（%1）"/>
      <w:lvlJc w:val="left"/>
      <w:rPr>
        <w:rFonts w:hint="eastAsia"/>
      </w:rPr>
    </w:lvl>
  </w:abstractNum>
  <w:abstractNum w:abstractNumId="1">
    <w:nsid w:val="B3F4EC95"/>
    <w:multiLevelType w:val="singleLevel"/>
    <w:tmpl w:val="B3F4EC95"/>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2A6"/>
    <w:rsid w:val="00005295"/>
    <w:rsid w:val="00005AFE"/>
    <w:rsid w:val="00014CF0"/>
    <w:rsid w:val="00017290"/>
    <w:rsid w:val="00030B23"/>
    <w:rsid w:val="00033FD9"/>
    <w:rsid w:val="000344F9"/>
    <w:rsid w:val="00037D10"/>
    <w:rsid w:val="000412C8"/>
    <w:rsid w:val="00043BDD"/>
    <w:rsid w:val="00045044"/>
    <w:rsid w:val="00045AAC"/>
    <w:rsid w:val="00045CA7"/>
    <w:rsid w:val="0006292F"/>
    <w:rsid w:val="0006376F"/>
    <w:rsid w:val="00063A37"/>
    <w:rsid w:val="00063F7E"/>
    <w:rsid w:val="00065AFF"/>
    <w:rsid w:val="000761F5"/>
    <w:rsid w:val="00085709"/>
    <w:rsid w:val="00085B4D"/>
    <w:rsid w:val="00087B69"/>
    <w:rsid w:val="000967D0"/>
    <w:rsid w:val="000A0BEE"/>
    <w:rsid w:val="000A0EA5"/>
    <w:rsid w:val="000A337A"/>
    <w:rsid w:val="000A6692"/>
    <w:rsid w:val="000B0F36"/>
    <w:rsid w:val="000B1545"/>
    <w:rsid w:val="000B3E42"/>
    <w:rsid w:val="000B4C07"/>
    <w:rsid w:val="000B5F20"/>
    <w:rsid w:val="000C0243"/>
    <w:rsid w:val="000C2244"/>
    <w:rsid w:val="000C5A5F"/>
    <w:rsid w:val="000C7BE3"/>
    <w:rsid w:val="000D25B6"/>
    <w:rsid w:val="000D39DC"/>
    <w:rsid w:val="000D52FE"/>
    <w:rsid w:val="000D547C"/>
    <w:rsid w:val="000E1B1E"/>
    <w:rsid w:val="000E5B47"/>
    <w:rsid w:val="000E6673"/>
    <w:rsid w:val="000F699A"/>
    <w:rsid w:val="000F7496"/>
    <w:rsid w:val="00106C33"/>
    <w:rsid w:val="00115CC6"/>
    <w:rsid w:val="00116445"/>
    <w:rsid w:val="001222A1"/>
    <w:rsid w:val="00123AB6"/>
    <w:rsid w:val="00123E41"/>
    <w:rsid w:val="00127A44"/>
    <w:rsid w:val="00131057"/>
    <w:rsid w:val="001320C4"/>
    <w:rsid w:val="00136AD2"/>
    <w:rsid w:val="00136BE1"/>
    <w:rsid w:val="0014067C"/>
    <w:rsid w:val="001411F5"/>
    <w:rsid w:val="00150689"/>
    <w:rsid w:val="001638FA"/>
    <w:rsid w:val="00166BBA"/>
    <w:rsid w:val="00190813"/>
    <w:rsid w:val="00196AA7"/>
    <w:rsid w:val="001B5694"/>
    <w:rsid w:val="001B758E"/>
    <w:rsid w:val="001C067F"/>
    <w:rsid w:val="001C4DE7"/>
    <w:rsid w:val="001C4DF1"/>
    <w:rsid w:val="001C7028"/>
    <w:rsid w:val="001D09FA"/>
    <w:rsid w:val="001D0AB8"/>
    <w:rsid w:val="001D0F93"/>
    <w:rsid w:val="001D2A37"/>
    <w:rsid w:val="001E3AC6"/>
    <w:rsid w:val="001E7DA2"/>
    <w:rsid w:val="001F11AF"/>
    <w:rsid w:val="001F402C"/>
    <w:rsid w:val="002000E9"/>
    <w:rsid w:val="00204ABF"/>
    <w:rsid w:val="00205BCB"/>
    <w:rsid w:val="00220317"/>
    <w:rsid w:val="00221B9A"/>
    <w:rsid w:val="00223523"/>
    <w:rsid w:val="00236259"/>
    <w:rsid w:val="00246A40"/>
    <w:rsid w:val="002475C0"/>
    <w:rsid w:val="002543DB"/>
    <w:rsid w:val="002546EB"/>
    <w:rsid w:val="00262610"/>
    <w:rsid w:val="00266833"/>
    <w:rsid w:val="00266884"/>
    <w:rsid w:val="00266F36"/>
    <w:rsid w:val="00274D10"/>
    <w:rsid w:val="00282258"/>
    <w:rsid w:val="002834C1"/>
    <w:rsid w:val="00285C0B"/>
    <w:rsid w:val="002872BA"/>
    <w:rsid w:val="00295CEB"/>
    <w:rsid w:val="002A74C4"/>
    <w:rsid w:val="002A7B77"/>
    <w:rsid w:val="002B23E9"/>
    <w:rsid w:val="002B3B6C"/>
    <w:rsid w:val="002C2B5E"/>
    <w:rsid w:val="002C6597"/>
    <w:rsid w:val="002D005A"/>
    <w:rsid w:val="002D0D8F"/>
    <w:rsid w:val="002D37F1"/>
    <w:rsid w:val="002D670C"/>
    <w:rsid w:val="002E2A3C"/>
    <w:rsid w:val="002F4407"/>
    <w:rsid w:val="00304AFB"/>
    <w:rsid w:val="003062A6"/>
    <w:rsid w:val="003110B7"/>
    <w:rsid w:val="00312D5A"/>
    <w:rsid w:val="00325304"/>
    <w:rsid w:val="00326FBB"/>
    <w:rsid w:val="003331A2"/>
    <w:rsid w:val="00343503"/>
    <w:rsid w:val="00347DE6"/>
    <w:rsid w:val="003646B6"/>
    <w:rsid w:val="0037482E"/>
    <w:rsid w:val="003851DD"/>
    <w:rsid w:val="00386D9B"/>
    <w:rsid w:val="00386EC7"/>
    <w:rsid w:val="00391AA8"/>
    <w:rsid w:val="00397B49"/>
    <w:rsid w:val="003A2EBD"/>
    <w:rsid w:val="003A3B45"/>
    <w:rsid w:val="003B4FD5"/>
    <w:rsid w:val="003C22DF"/>
    <w:rsid w:val="003C720A"/>
    <w:rsid w:val="003D176A"/>
    <w:rsid w:val="003D1A5B"/>
    <w:rsid w:val="003D6A75"/>
    <w:rsid w:val="003E417F"/>
    <w:rsid w:val="003E7E37"/>
    <w:rsid w:val="003E7FFB"/>
    <w:rsid w:val="003F6D64"/>
    <w:rsid w:val="00404750"/>
    <w:rsid w:val="00404986"/>
    <w:rsid w:val="0040529C"/>
    <w:rsid w:val="00406285"/>
    <w:rsid w:val="00410E3F"/>
    <w:rsid w:val="00414DD9"/>
    <w:rsid w:val="0042197A"/>
    <w:rsid w:val="00424672"/>
    <w:rsid w:val="00437FC4"/>
    <w:rsid w:val="00441628"/>
    <w:rsid w:val="00451C2F"/>
    <w:rsid w:val="00460217"/>
    <w:rsid w:val="00460AFB"/>
    <w:rsid w:val="0047480C"/>
    <w:rsid w:val="00476475"/>
    <w:rsid w:val="0048233C"/>
    <w:rsid w:val="00482CA1"/>
    <w:rsid w:val="00486E0D"/>
    <w:rsid w:val="0049462C"/>
    <w:rsid w:val="004A2449"/>
    <w:rsid w:val="004A253D"/>
    <w:rsid w:val="004A2B34"/>
    <w:rsid w:val="004A39E3"/>
    <w:rsid w:val="004B08D5"/>
    <w:rsid w:val="004B1976"/>
    <w:rsid w:val="004B2137"/>
    <w:rsid w:val="004B5B5C"/>
    <w:rsid w:val="004B6507"/>
    <w:rsid w:val="004C48C6"/>
    <w:rsid w:val="004C49B2"/>
    <w:rsid w:val="004D2906"/>
    <w:rsid w:val="004D35B3"/>
    <w:rsid w:val="004D7B96"/>
    <w:rsid w:val="004E18EB"/>
    <w:rsid w:val="004E7224"/>
    <w:rsid w:val="00502C19"/>
    <w:rsid w:val="00510827"/>
    <w:rsid w:val="00513B15"/>
    <w:rsid w:val="005342E0"/>
    <w:rsid w:val="005378F6"/>
    <w:rsid w:val="005433B7"/>
    <w:rsid w:val="00545B61"/>
    <w:rsid w:val="00555450"/>
    <w:rsid w:val="00570B2B"/>
    <w:rsid w:val="0057259E"/>
    <w:rsid w:val="00572D30"/>
    <w:rsid w:val="00573453"/>
    <w:rsid w:val="005A02B5"/>
    <w:rsid w:val="005A620E"/>
    <w:rsid w:val="005A6ED6"/>
    <w:rsid w:val="005B1E24"/>
    <w:rsid w:val="005B3F0C"/>
    <w:rsid w:val="005B54A8"/>
    <w:rsid w:val="005D2257"/>
    <w:rsid w:val="005D6DB8"/>
    <w:rsid w:val="005E0DB6"/>
    <w:rsid w:val="005E6A65"/>
    <w:rsid w:val="00611CFD"/>
    <w:rsid w:val="00615AEC"/>
    <w:rsid w:val="006228F3"/>
    <w:rsid w:val="00627886"/>
    <w:rsid w:val="0063217E"/>
    <w:rsid w:val="00632764"/>
    <w:rsid w:val="00642654"/>
    <w:rsid w:val="00645CF4"/>
    <w:rsid w:val="00646FFD"/>
    <w:rsid w:val="00650933"/>
    <w:rsid w:val="00653607"/>
    <w:rsid w:val="00662366"/>
    <w:rsid w:val="00664002"/>
    <w:rsid w:val="00666A7B"/>
    <w:rsid w:val="00672A84"/>
    <w:rsid w:val="00673E30"/>
    <w:rsid w:val="00680630"/>
    <w:rsid w:val="006862FC"/>
    <w:rsid w:val="00694C98"/>
    <w:rsid w:val="006950C4"/>
    <w:rsid w:val="00696391"/>
    <w:rsid w:val="00697ACE"/>
    <w:rsid w:val="006A0141"/>
    <w:rsid w:val="006B44A0"/>
    <w:rsid w:val="006C10A2"/>
    <w:rsid w:val="006C1C41"/>
    <w:rsid w:val="006C4544"/>
    <w:rsid w:val="006D2F47"/>
    <w:rsid w:val="006F0FE9"/>
    <w:rsid w:val="006F6D80"/>
    <w:rsid w:val="006F73D0"/>
    <w:rsid w:val="00700087"/>
    <w:rsid w:val="00701F6C"/>
    <w:rsid w:val="007037BF"/>
    <w:rsid w:val="007059EC"/>
    <w:rsid w:val="00710AAB"/>
    <w:rsid w:val="007124F3"/>
    <w:rsid w:val="00712E63"/>
    <w:rsid w:val="00713F33"/>
    <w:rsid w:val="007149D2"/>
    <w:rsid w:val="007159CB"/>
    <w:rsid w:val="00715A8B"/>
    <w:rsid w:val="007270D3"/>
    <w:rsid w:val="00731CE8"/>
    <w:rsid w:val="00736B8B"/>
    <w:rsid w:val="0075045B"/>
    <w:rsid w:val="00752E54"/>
    <w:rsid w:val="007576CA"/>
    <w:rsid w:val="0076710B"/>
    <w:rsid w:val="0077190E"/>
    <w:rsid w:val="00772A6B"/>
    <w:rsid w:val="00776308"/>
    <w:rsid w:val="00776908"/>
    <w:rsid w:val="00777E06"/>
    <w:rsid w:val="00786F67"/>
    <w:rsid w:val="007901BD"/>
    <w:rsid w:val="007A4FC3"/>
    <w:rsid w:val="007B302D"/>
    <w:rsid w:val="007C3BFE"/>
    <w:rsid w:val="007C4E07"/>
    <w:rsid w:val="007D2C74"/>
    <w:rsid w:val="007D53B8"/>
    <w:rsid w:val="007D5F21"/>
    <w:rsid w:val="007E0691"/>
    <w:rsid w:val="007E7B50"/>
    <w:rsid w:val="007F27F5"/>
    <w:rsid w:val="007F6B1C"/>
    <w:rsid w:val="00802C78"/>
    <w:rsid w:val="00810961"/>
    <w:rsid w:val="00814582"/>
    <w:rsid w:val="0081529F"/>
    <w:rsid w:val="008172DE"/>
    <w:rsid w:val="00822C33"/>
    <w:rsid w:val="0083067D"/>
    <w:rsid w:val="0083167F"/>
    <w:rsid w:val="00832A72"/>
    <w:rsid w:val="008362AB"/>
    <w:rsid w:val="00836356"/>
    <w:rsid w:val="00836CE2"/>
    <w:rsid w:val="00840AC9"/>
    <w:rsid w:val="00853B1B"/>
    <w:rsid w:val="00857B6F"/>
    <w:rsid w:val="008619BE"/>
    <w:rsid w:val="008832B8"/>
    <w:rsid w:val="008A0470"/>
    <w:rsid w:val="008A422B"/>
    <w:rsid w:val="008A43CC"/>
    <w:rsid w:val="008B2D03"/>
    <w:rsid w:val="008C3D50"/>
    <w:rsid w:val="008C476D"/>
    <w:rsid w:val="008C57BC"/>
    <w:rsid w:val="008C6365"/>
    <w:rsid w:val="008D71F2"/>
    <w:rsid w:val="008D74F5"/>
    <w:rsid w:val="008E75DD"/>
    <w:rsid w:val="008F68E0"/>
    <w:rsid w:val="0090158C"/>
    <w:rsid w:val="0090341B"/>
    <w:rsid w:val="00905FF2"/>
    <w:rsid w:val="00912A81"/>
    <w:rsid w:val="009130EA"/>
    <w:rsid w:val="00914C63"/>
    <w:rsid w:val="00926404"/>
    <w:rsid w:val="00937C9C"/>
    <w:rsid w:val="009410B1"/>
    <w:rsid w:val="0094345E"/>
    <w:rsid w:val="00952B32"/>
    <w:rsid w:val="00957094"/>
    <w:rsid w:val="009626B3"/>
    <w:rsid w:val="00974956"/>
    <w:rsid w:val="00975417"/>
    <w:rsid w:val="00977CDD"/>
    <w:rsid w:val="00981E1C"/>
    <w:rsid w:val="009824DE"/>
    <w:rsid w:val="00985A6F"/>
    <w:rsid w:val="00986930"/>
    <w:rsid w:val="00990F47"/>
    <w:rsid w:val="00991493"/>
    <w:rsid w:val="009A02B3"/>
    <w:rsid w:val="009A0E0F"/>
    <w:rsid w:val="009A3689"/>
    <w:rsid w:val="009A70F5"/>
    <w:rsid w:val="009B1215"/>
    <w:rsid w:val="009B1FB8"/>
    <w:rsid w:val="009B28EE"/>
    <w:rsid w:val="009C0ED6"/>
    <w:rsid w:val="009C3E10"/>
    <w:rsid w:val="009C534E"/>
    <w:rsid w:val="009D13E6"/>
    <w:rsid w:val="009D277F"/>
    <w:rsid w:val="009D3234"/>
    <w:rsid w:val="009D4D0E"/>
    <w:rsid w:val="009D4DED"/>
    <w:rsid w:val="009E0CC1"/>
    <w:rsid w:val="009E2E2B"/>
    <w:rsid w:val="009E50C5"/>
    <w:rsid w:val="009F387D"/>
    <w:rsid w:val="009F5C02"/>
    <w:rsid w:val="009F5FFF"/>
    <w:rsid w:val="009F7C84"/>
    <w:rsid w:val="00A0070B"/>
    <w:rsid w:val="00A12E4D"/>
    <w:rsid w:val="00A1427C"/>
    <w:rsid w:val="00A21CCE"/>
    <w:rsid w:val="00A23227"/>
    <w:rsid w:val="00A30CED"/>
    <w:rsid w:val="00A315E2"/>
    <w:rsid w:val="00A31EFD"/>
    <w:rsid w:val="00A428BF"/>
    <w:rsid w:val="00A45E1B"/>
    <w:rsid w:val="00A54F24"/>
    <w:rsid w:val="00A56806"/>
    <w:rsid w:val="00A64418"/>
    <w:rsid w:val="00A71BC4"/>
    <w:rsid w:val="00A72E9A"/>
    <w:rsid w:val="00A73052"/>
    <w:rsid w:val="00A73F21"/>
    <w:rsid w:val="00A7568E"/>
    <w:rsid w:val="00A75713"/>
    <w:rsid w:val="00A86923"/>
    <w:rsid w:val="00A9566F"/>
    <w:rsid w:val="00A961F3"/>
    <w:rsid w:val="00AA0D07"/>
    <w:rsid w:val="00AA5F51"/>
    <w:rsid w:val="00AA60F3"/>
    <w:rsid w:val="00AB5FC0"/>
    <w:rsid w:val="00AB743F"/>
    <w:rsid w:val="00AC23D5"/>
    <w:rsid w:val="00AC36EF"/>
    <w:rsid w:val="00AC37F5"/>
    <w:rsid w:val="00AC5357"/>
    <w:rsid w:val="00AE3807"/>
    <w:rsid w:val="00AE5D61"/>
    <w:rsid w:val="00AE63D9"/>
    <w:rsid w:val="00AF0D1A"/>
    <w:rsid w:val="00AF6EDA"/>
    <w:rsid w:val="00B1023D"/>
    <w:rsid w:val="00B149FA"/>
    <w:rsid w:val="00B23FC2"/>
    <w:rsid w:val="00B30D60"/>
    <w:rsid w:val="00B313CE"/>
    <w:rsid w:val="00B32D6F"/>
    <w:rsid w:val="00B35AE4"/>
    <w:rsid w:val="00B37706"/>
    <w:rsid w:val="00B4300F"/>
    <w:rsid w:val="00B5317F"/>
    <w:rsid w:val="00B5361F"/>
    <w:rsid w:val="00B56510"/>
    <w:rsid w:val="00B56880"/>
    <w:rsid w:val="00B57071"/>
    <w:rsid w:val="00B57AD6"/>
    <w:rsid w:val="00B65E5D"/>
    <w:rsid w:val="00B811C6"/>
    <w:rsid w:val="00B9716A"/>
    <w:rsid w:val="00BA4C96"/>
    <w:rsid w:val="00BB1A97"/>
    <w:rsid w:val="00BB54FE"/>
    <w:rsid w:val="00BB5CDA"/>
    <w:rsid w:val="00BC060B"/>
    <w:rsid w:val="00BC11BA"/>
    <w:rsid w:val="00BC269A"/>
    <w:rsid w:val="00BC386B"/>
    <w:rsid w:val="00BE2894"/>
    <w:rsid w:val="00BE33B1"/>
    <w:rsid w:val="00BE5671"/>
    <w:rsid w:val="00BE6734"/>
    <w:rsid w:val="00BE69C5"/>
    <w:rsid w:val="00BF142B"/>
    <w:rsid w:val="00BF4E1E"/>
    <w:rsid w:val="00BF66EA"/>
    <w:rsid w:val="00C00092"/>
    <w:rsid w:val="00C00FC7"/>
    <w:rsid w:val="00C131AE"/>
    <w:rsid w:val="00C14387"/>
    <w:rsid w:val="00C15444"/>
    <w:rsid w:val="00C20D83"/>
    <w:rsid w:val="00C245B9"/>
    <w:rsid w:val="00C324FC"/>
    <w:rsid w:val="00C32BDE"/>
    <w:rsid w:val="00C41076"/>
    <w:rsid w:val="00C5016F"/>
    <w:rsid w:val="00C549C8"/>
    <w:rsid w:val="00C61CAC"/>
    <w:rsid w:val="00C64821"/>
    <w:rsid w:val="00C72CBC"/>
    <w:rsid w:val="00C74452"/>
    <w:rsid w:val="00C810B0"/>
    <w:rsid w:val="00C82D58"/>
    <w:rsid w:val="00CA036A"/>
    <w:rsid w:val="00CA3E95"/>
    <w:rsid w:val="00CA5F17"/>
    <w:rsid w:val="00CB0442"/>
    <w:rsid w:val="00CB4C48"/>
    <w:rsid w:val="00CC2A26"/>
    <w:rsid w:val="00CD338E"/>
    <w:rsid w:val="00CD47D2"/>
    <w:rsid w:val="00CD517D"/>
    <w:rsid w:val="00CD6545"/>
    <w:rsid w:val="00CE4D8D"/>
    <w:rsid w:val="00CF4DEA"/>
    <w:rsid w:val="00CF7086"/>
    <w:rsid w:val="00D00782"/>
    <w:rsid w:val="00D07B47"/>
    <w:rsid w:val="00D12C35"/>
    <w:rsid w:val="00D242CF"/>
    <w:rsid w:val="00D253C8"/>
    <w:rsid w:val="00D35AF5"/>
    <w:rsid w:val="00D36EE8"/>
    <w:rsid w:val="00D450F2"/>
    <w:rsid w:val="00D45E76"/>
    <w:rsid w:val="00D50554"/>
    <w:rsid w:val="00D56513"/>
    <w:rsid w:val="00D67964"/>
    <w:rsid w:val="00D71671"/>
    <w:rsid w:val="00D72015"/>
    <w:rsid w:val="00D72588"/>
    <w:rsid w:val="00D72E1E"/>
    <w:rsid w:val="00D748D6"/>
    <w:rsid w:val="00D7634C"/>
    <w:rsid w:val="00D800E0"/>
    <w:rsid w:val="00D84BEA"/>
    <w:rsid w:val="00D90DFD"/>
    <w:rsid w:val="00D9556E"/>
    <w:rsid w:val="00DA0799"/>
    <w:rsid w:val="00DA5E61"/>
    <w:rsid w:val="00DA5E8B"/>
    <w:rsid w:val="00DA672F"/>
    <w:rsid w:val="00DB1B9D"/>
    <w:rsid w:val="00DB2245"/>
    <w:rsid w:val="00DB4275"/>
    <w:rsid w:val="00DC0C98"/>
    <w:rsid w:val="00DC7D6E"/>
    <w:rsid w:val="00DD2DDF"/>
    <w:rsid w:val="00DE1C02"/>
    <w:rsid w:val="00DF2421"/>
    <w:rsid w:val="00DF2901"/>
    <w:rsid w:val="00DF2E71"/>
    <w:rsid w:val="00DF322B"/>
    <w:rsid w:val="00DF6477"/>
    <w:rsid w:val="00DF790B"/>
    <w:rsid w:val="00E005F0"/>
    <w:rsid w:val="00E01C97"/>
    <w:rsid w:val="00E1631D"/>
    <w:rsid w:val="00E23644"/>
    <w:rsid w:val="00E260E4"/>
    <w:rsid w:val="00E40541"/>
    <w:rsid w:val="00E4229B"/>
    <w:rsid w:val="00E45A41"/>
    <w:rsid w:val="00E5196B"/>
    <w:rsid w:val="00E51B23"/>
    <w:rsid w:val="00E51CB5"/>
    <w:rsid w:val="00E5284B"/>
    <w:rsid w:val="00E56438"/>
    <w:rsid w:val="00E60601"/>
    <w:rsid w:val="00E61DDD"/>
    <w:rsid w:val="00E640C6"/>
    <w:rsid w:val="00E665FD"/>
    <w:rsid w:val="00E75BA9"/>
    <w:rsid w:val="00E77DC7"/>
    <w:rsid w:val="00E77DF7"/>
    <w:rsid w:val="00E850CB"/>
    <w:rsid w:val="00E85992"/>
    <w:rsid w:val="00E87D92"/>
    <w:rsid w:val="00EA169F"/>
    <w:rsid w:val="00EB3CA1"/>
    <w:rsid w:val="00EB656C"/>
    <w:rsid w:val="00EB6BE8"/>
    <w:rsid w:val="00EC5A3E"/>
    <w:rsid w:val="00ED13A0"/>
    <w:rsid w:val="00ED344A"/>
    <w:rsid w:val="00EE1B73"/>
    <w:rsid w:val="00EE71C0"/>
    <w:rsid w:val="00EF0580"/>
    <w:rsid w:val="00EF1516"/>
    <w:rsid w:val="00EF1B6F"/>
    <w:rsid w:val="00EF306C"/>
    <w:rsid w:val="00F00CF9"/>
    <w:rsid w:val="00F02F60"/>
    <w:rsid w:val="00F05723"/>
    <w:rsid w:val="00F10C6C"/>
    <w:rsid w:val="00F11435"/>
    <w:rsid w:val="00F20559"/>
    <w:rsid w:val="00F22B9E"/>
    <w:rsid w:val="00F2363D"/>
    <w:rsid w:val="00F27BDD"/>
    <w:rsid w:val="00F47D3E"/>
    <w:rsid w:val="00F52D0C"/>
    <w:rsid w:val="00F542A9"/>
    <w:rsid w:val="00F5584D"/>
    <w:rsid w:val="00F5604E"/>
    <w:rsid w:val="00F624B2"/>
    <w:rsid w:val="00F625E2"/>
    <w:rsid w:val="00F7302E"/>
    <w:rsid w:val="00F73133"/>
    <w:rsid w:val="00F76BEC"/>
    <w:rsid w:val="00F80737"/>
    <w:rsid w:val="00F80F02"/>
    <w:rsid w:val="00F8178E"/>
    <w:rsid w:val="00F840E0"/>
    <w:rsid w:val="00F84E6A"/>
    <w:rsid w:val="00F935BC"/>
    <w:rsid w:val="00FB3545"/>
    <w:rsid w:val="00FB4320"/>
    <w:rsid w:val="00FB6510"/>
    <w:rsid w:val="00FB7C7C"/>
    <w:rsid w:val="00FC042A"/>
    <w:rsid w:val="00FC0E90"/>
    <w:rsid w:val="00FC0F63"/>
    <w:rsid w:val="00FC3D03"/>
    <w:rsid w:val="00FD06A2"/>
    <w:rsid w:val="00FD6FA2"/>
    <w:rsid w:val="00FE10C4"/>
    <w:rsid w:val="00FF36C0"/>
    <w:rsid w:val="00FF597F"/>
    <w:rsid w:val="013971AF"/>
    <w:rsid w:val="04150382"/>
    <w:rsid w:val="044D07CD"/>
    <w:rsid w:val="0B6A6386"/>
    <w:rsid w:val="0BF313BB"/>
    <w:rsid w:val="0C5A650C"/>
    <w:rsid w:val="0DA56AB9"/>
    <w:rsid w:val="0E801A6D"/>
    <w:rsid w:val="0FC30926"/>
    <w:rsid w:val="138A1D8B"/>
    <w:rsid w:val="146D3B40"/>
    <w:rsid w:val="14956609"/>
    <w:rsid w:val="149D0671"/>
    <w:rsid w:val="151E4A64"/>
    <w:rsid w:val="17AB3C8E"/>
    <w:rsid w:val="182A1CFE"/>
    <w:rsid w:val="1AC1335B"/>
    <w:rsid w:val="1BD56DE6"/>
    <w:rsid w:val="1C895723"/>
    <w:rsid w:val="1D0251DF"/>
    <w:rsid w:val="1DD45AAC"/>
    <w:rsid w:val="1E403142"/>
    <w:rsid w:val="1E8E690E"/>
    <w:rsid w:val="20A25462"/>
    <w:rsid w:val="23A21122"/>
    <w:rsid w:val="27982240"/>
    <w:rsid w:val="28362932"/>
    <w:rsid w:val="2D99461C"/>
    <w:rsid w:val="311E69D9"/>
    <w:rsid w:val="3153336F"/>
    <w:rsid w:val="348C7B78"/>
    <w:rsid w:val="350E366C"/>
    <w:rsid w:val="36B22895"/>
    <w:rsid w:val="38CC3CB1"/>
    <w:rsid w:val="38EF572B"/>
    <w:rsid w:val="393276F4"/>
    <w:rsid w:val="39EC5258"/>
    <w:rsid w:val="3A323F93"/>
    <w:rsid w:val="3AA17E3E"/>
    <w:rsid w:val="3B2F3376"/>
    <w:rsid w:val="3C2D3A13"/>
    <w:rsid w:val="3C4445B5"/>
    <w:rsid w:val="3D2955BD"/>
    <w:rsid w:val="3D5617C0"/>
    <w:rsid w:val="40366B3A"/>
    <w:rsid w:val="4098113C"/>
    <w:rsid w:val="41B80089"/>
    <w:rsid w:val="445A429F"/>
    <w:rsid w:val="46721062"/>
    <w:rsid w:val="46B528F3"/>
    <w:rsid w:val="47BC567F"/>
    <w:rsid w:val="4895603A"/>
    <w:rsid w:val="48F347A0"/>
    <w:rsid w:val="49085ADF"/>
    <w:rsid w:val="4DD51249"/>
    <w:rsid w:val="50124292"/>
    <w:rsid w:val="520E59F9"/>
    <w:rsid w:val="53675352"/>
    <w:rsid w:val="57D81033"/>
    <w:rsid w:val="5B610A7B"/>
    <w:rsid w:val="5C4E7251"/>
    <w:rsid w:val="5E03770C"/>
    <w:rsid w:val="5EAC58D2"/>
    <w:rsid w:val="60823793"/>
    <w:rsid w:val="61CD6FCB"/>
    <w:rsid w:val="6AE23394"/>
    <w:rsid w:val="6D7952F5"/>
    <w:rsid w:val="6E355B1B"/>
    <w:rsid w:val="6E4E46A1"/>
    <w:rsid w:val="76E80447"/>
    <w:rsid w:val="77461E7B"/>
    <w:rsid w:val="78F91B68"/>
    <w:rsid w:val="7A625EB6"/>
    <w:rsid w:val="7BE42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uiPriority w:val="0"/>
    <w:rPr>
      <w:rFonts w:eastAsia="文星仿宋"/>
      <w:sz w:val="32"/>
    </w:rPr>
  </w:style>
  <w:style w:type="paragraph" w:styleId="4">
    <w:name w:val="toc 3"/>
    <w:basedOn w:val="1"/>
    <w:next w:val="1"/>
    <w:unhideWhenUsed/>
    <w:qFormat/>
    <w:uiPriority w:val="39"/>
    <w:pPr>
      <w:ind w:left="840" w:leftChars="400"/>
    </w:pPr>
  </w:style>
  <w:style w:type="paragraph" w:styleId="5">
    <w:name w:val="footer"/>
    <w:basedOn w:val="1"/>
    <w:link w:val="16"/>
    <w:unhideWhenUsed/>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uiPriority w:val="39"/>
  </w:style>
  <w:style w:type="paragraph" w:styleId="8">
    <w:name w:val="toc 2"/>
    <w:basedOn w:val="1"/>
    <w:next w:val="1"/>
    <w:unhideWhenUsed/>
    <w:uiPriority w:val="39"/>
    <w:pPr>
      <w:ind w:left="420" w:leftChars="200"/>
    </w:p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uiPriority w:val="99"/>
    <w:rPr>
      <w:color w:val="0563C1" w:themeColor="hyperlink"/>
      <w:u w:val="single"/>
      <w14:textFill>
        <w14:solidFill>
          <w14:schemeClr w14:val="hlink"/>
        </w14:solidFill>
      </w14:textFill>
    </w:rPr>
  </w:style>
  <w:style w:type="character" w:customStyle="1" w:styleId="13">
    <w:name w:val="标题 1 字符"/>
    <w:basedOn w:val="11"/>
    <w:link w:val="2"/>
    <w:uiPriority w:val="9"/>
    <w:rPr>
      <w:b/>
      <w:bCs/>
      <w:kern w:val="44"/>
      <w:sz w:val="44"/>
      <w:szCs w:val="44"/>
    </w:rPr>
  </w:style>
  <w:style w:type="paragraph" w:customStyle="1" w:styleId="14">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
    <w:name w:val="页眉 字符"/>
    <w:basedOn w:val="11"/>
    <w:link w:val="6"/>
    <w:uiPriority w:val="99"/>
    <w:rPr>
      <w:sz w:val="18"/>
      <w:szCs w:val="18"/>
    </w:rPr>
  </w:style>
  <w:style w:type="character" w:customStyle="1" w:styleId="16">
    <w:name w:val="页脚 字符"/>
    <w:basedOn w:val="11"/>
    <w:link w:val="5"/>
    <w:uiPriority w:val="99"/>
    <w:rPr>
      <w:sz w:val="18"/>
      <w:szCs w:val="18"/>
    </w:rPr>
  </w:style>
  <w:style w:type="paragraph" w:customStyle="1" w:styleId="17">
    <w:name w:val="正文鸭"/>
    <w:basedOn w:val="1"/>
    <w:link w:val="19"/>
    <w:qFormat/>
    <w:uiPriority w:val="0"/>
    <w:pPr>
      <w:spacing w:line="360" w:lineRule="auto"/>
      <w:ind w:firstLine="640" w:firstLineChars="200"/>
    </w:pPr>
    <w:rPr>
      <w:rFonts w:ascii="Times New Roman" w:hAnsi="Times New Roman" w:eastAsia="仿宋_GB2312" w:cs="仿宋_GB2312"/>
      <w:sz w:val="32"/>
      <w:szCs w:val="32"/>
    </w:rPr>
  </w:style>
  <w:style w:type="table" w:customStyle="1" w:styleId="18">
    <w:name w:val="网格型1"/>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正文鸭 字符"/>
    <w:basedOn w:val="11"/>
    <w:link w:val="17"/>
    <w:uiPriority w:val="0"/>
    <w:rPr>
      <w:rFonts w:ascii="Times New Roman" w:hAnsi="Times New Roman" w:eastAsia="仿宋_GB2312" w:cs="仿宋_GB2312"/>
      <w:sz w:val="32"/>
      <w:szCs w:val="32"/>
    </w:rPr>
  </w:style>
  <w:style w:type="paragraph" w:styleId="2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D9E71-CAAF-4C99-B789-D455792A03CB}">
  <ds:schemaRefs/>
</ds:datastoreItem>
</file>

<file path=docProps/app.xml><?xml version="1.0" encoding="utf-8"?>
<Properties xmlns="http://schemas.openxmlformats.org/officeDocument/2006/extended-properties" xmlns:vt="http://schemas.openxmlformats.org/officeDocument/2006/docPropsVTypes">
  <Template>Normal</Template>
  <Pages>33</Pages>
  <Words>2550</Words>
  <Characters>14536</Characters>
  <Lines>121</Lines>
  <Paragraphs>34</Paragraphs>
  <TotalTime>3</TotalTime>
  <ScaleCrop>false</ScaleCrop>
  <LinksUpToDate>false</LinksUpToDate>
  <CharactersWithSpaces>17052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2021-12-16T06:08:00Z</dcterms:created>
  <dc:creator>张 亚辉</dc:creator>
  <cp:lastModifiedBy>86186</cp:lastModifiedBy>
  <dcterms:modified xsi:type="dcterms:W3CDTF">2022-01-05T14:02:28Z</dcterms:modified>
  <cp:revision>849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4D2F999456C440BCAB64B8D3BDC96673</vt:lpwstr>
  </property>
</Properties>
</file>