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716" w:beforeLines="550" w:after="780" w:afterLines="250" w:line="360" w:lineRule="auto"/>
        <w:jc w:val="center"/>
        <w:rPr>
          <w:rFonts w:ascii="方正小标宋简体" w:hAnsi="Times New Roman" w:eastAsia="方正小标宋简体" w:cs="Times New Roman"/>
          <w:bCs/>
          <w:sz w:val="48"/>
          <w:szCs w:val="48"/>
          <w:highlight w:val="none"/>
        </w:rPr>
      </w:pPr>
      <w:bookmarkStart w:id="0" w:name="_Hlk90563034"/>
      <w:r>
        <w:rPr>
          <w:rFonts w:hint="eastAsia" w:ascii="方正小标宋简体" w:hAnsi="Times New Roman" w:eastAsia="方正小标宋简体" w:cs="Times New Roman"/>
          <w:bCs/>
          <w:sz w:val="48"/>
          <w:szCs w:val="48"/>
          <w:highlight w:val="none"/>
        </w:rPr>
        <w:t>计划生育奖励扶助项目</w:t>
      </w:r>
      <w:bookmarkEnd w:id="0"/>
    </w:p>
    <w:p>
      <w:pPr>
        <w:spacing w:after="2964" w:afterLines="950" w:line="360" w:lineRule="auto"/>
        <w:jc w:val="center"/>
        <w:rPr>
          <w:rFonts w:ascii="方正小标宋简体" w:hAnsi="Times New Roman" w:eastAsia="方正小标宋简体" w:cs="Times New Roman"/>
          <w:b/>
          <w:sz w:val="56"/>
          <w:szCs w:val="56"/>
          <w:highlight w:val="none"/>
        </w:rPr>
      </w:pPr>
      <w:r>
        <w:rPr>
          <w:rFonts w:hint="eastAsia" w:ascii="方正小标宋简体" w:hAnsi="Times New Roman" w:eastAsia="方正小标宋简体" w:cs="Times New Roman"/>
          <w:bCs/>
          <w:sz w:val="48"/>
          <w:szCs w:val="48"/>
          <w:highlight w:val="none"/>
        </w:rPr>
        <w:t>绩效评价报告</w:t>
      </w:r>
    </w:p>
    <w:p>
      <w:pPr>
        <w:spacing w:before="312" w:beforeLines="100" w:after="3120" w:afterLines="1000" w:line="360" w:lineRule="auto"/>
        <w:ind w:right="178" w:rightChars="85"/>
        <w:jc w:val="center"/>
        <w:rPr>
          <w:rFonts w:ascii="方正小标宋简体" w:hAnsi="Times New Roman" w:eastAsia="方正小标宋简体" w:cs="Times New Roman"/>
          <w:bCs/>
          <w:sz w:val="52"/>
          <w:szCs w:val="52"/>
          <w:highlight w:val="none"/>
        </w:rPr>
      </w:pPr>
    </w:p>
    <w:p>
      <w:pPr>
        <w:spacing w:line="360" w:lineRule="auto"/>
        <w:ind w:right="178" w:rightChars="85"/>
        <w:jc w:val="center"/>
        <w:rPr>
          <w:rFonts w:hint="eastAsia" w:ascii="方正小标宋简体" w:hAnsi="Times New Roman" w:eastAsia="方正小标宋简体" w:cs="Times New Roman"/>
          <w:bCs/>
          <w:sz w:val="36"/>
          <w:szCs w:val="36"/>
          <w:highlight w:val="none"/>
          <w:lang w:eastAsia="zh-CN"/>
        </w:rPr>
      </w:pPr>
      <w:r>
        <w:rPr>
          <w:rFonts w:hint="eastAsia" w:ascii="方正小标宋简体" w:hAnsi="Times New Roman" w:eastAsia="方正小标宋简体" w:cs="Times New Roman"/>
          <w:bCs/>
          <w:sz w:val="36"/>
          <w:szCs w:val="36"/>
          <w:highlight w:val="none"/>
        </w:rPr>
        <w:t>天津丞明会计师事务所</w:t>
      </w:r>
      <w:r>
        <w:rPr>
          <w:rFonts w:hint="eastAsia" w:ascii="方正小标宋简体" w:hAnsi="Times New Roman" w:eastAsia="方正小标宋简体" w:cs="Times New Roman"/>
          <w:bCs/>
          <w:sz w:val="36"/>
          <w:szCs w:val="36"/>
          <w:highlight w:val="none"/>
          <w:lang w:eastAsia="zh-CN"/>
        </w:rPr>
        <w:t>（</w:t>
      </w:r>
      <w:r>
        <w:rPr>
          <w:rFonts w:hint="eastAsia" w:ascii="方正小标宋简体" w:hAnsi="Times New Roman" w:eastAsia="方正小标宋简体" w:cs="Times New Roman"/>
          <w:bCs/>
          <w:sz w:val="36"/>
          <w:szCs w:val="36"/>
          <w:highlight w:val="none"/>
          <w:lang w:val="en-US" w:eastAsia="zh-CN"/>
        </w:rPr>
        <w:t>普通合伙</w:t>
      </w:r>
      <w:r>
        <w:rPr>
          <w:rFonts w:hint="eastAsia" w:ascii="方正小标宋简体" w:hAnsi="Times New Roman" w:eastAsia="方正小标宋简体" w:cs="Times New Roman"/>
          <w:bCs/>
          <w:sz w:val="36"/>
          <w:szCs w:val="36"/>
          <w:highlight w:val="none"/>
          <w:lang w:eastAsia="zh-CN"/>
        </w:rPr>
        <w:t>）</w:t>
      </w:r>
    </w:p>
    <w:p>
      <w:pPr>
        <w:jc w:val="center"/>
        <w:rPr>
          <w:rFonts w:ascii="方正小标宋简体" w:hAnsi="Times New Roman" w:eastAsia="方正小标宋简体" w:cs="Times New Roman"/>
          <w:bCs/>
          <w:sz w:val="36"/>
          <w:szCs w:val="36"/>
          <w:highlight w:val="none"/>
        </w:rPr>
      </w:pPr>
      <w:r>
        <w:rPr>
          <w:rFonts w:hint="eastAsia" w:ascii="方正小标宋简体" w:hAnsi="Times New Roman" w:eastAsia="方正小标宋简体" w:cs="Times New Roman"/>
          <w:bCs/>
          <w:sz w:val="36"/>
          <w:szCs w:val="36"/>
          <w:highlight w:val="none"/>
        </w:rPr>
        <w:t>2021年12月</w:t>
      </w:r>
    </w:p>
    <w:p>
      <w:pPr>
        <w:rPr>
          <w:rFonts w:ascii="方正小标宋简体" w:hAnsi="Times New Roman" w:eastAsia="方正小标宋简体" w:cs="Times New Roman"/>
          <w:bCs/>
          <w:sz w:val="36"/>
          <w:szCs w:val="36"/>
          <w:highlight w:val="none"/>
        </w:rPr>
      </w:pPr>
    </w:p>
    <w:p>
      <w:pPr>
        <w:jc w:val="center"/>
        <w:rPr>
          <w:rFonts w:ascii="方正小标宋简体" w:hAnsi="Times New Roman" w:eastAsia="方正小标宋简体" w:cs="Times New Roman"/>
          <w:bCs/>
          <w:sz w:val="36"/>
          <w:szCs w:val="36"/>
          <w:highlight w:val="none"/>
        </w:rPr>
        <w:sectPr>
          <w:pgSz w:w="11906" w:h="16838"/>
          <w:pgMar w:top="1440" w:right="1800" w:bottom="1440" w:left="1800" w:header="851" w:footer="992" w:gutter="0"/>
          <w:pgBorders w:offsetFrom="page">
            <w:top w:val="none" w:sz="0" w:space="0"/>
            <w:left w:val="none" w:sz="0" w:space="0"/>
            <w:bottom w:val="none" w:sz="0" w:space="0"/>
            <w:right w:val="none" w:sz="0" w:space="0"/>
          </w:pgBorders>
          <w:pgNumType w:fmt="decimal" w:start="1"/>
          <w:cols w:space="425" w:num="1"/>
          <w:docGrid w:type="lines" w:linePitch="312" w:charSpace="0"/>
        </w:sectPr>
      </w:pPr>
    </w:p>
    <w:p>
      <w:pPr>
        <w:jc w:val="center"/>
        <w:rPr>
          <w:rFonts w:ascii="Times New Roman" w:hAnsi="Times New Roman" w:eastAsia="仿宋_GB2312" w:cs="Times New Roman"/>
          <w:b/>
          <w:bCs/>
          <w:kern w:val="0"/>
          <w:sz w:val="36"/>
          <w:szCs w:val="36"/>
          <w:highlight w:val="none"/>
          <w:lang w:val="zh-CN"/>
        </w:rPr>
      </w:pPr>
      <w:r>
        <w:rPr>
          <w:rFonts w:hint="eastAsia" w:ascii="Times New Roman" w:hAnsi="Times New Roman" w:eastAsia="仿宋_GB2312" w:cs="Times New Roman"/>
          <w:b/>
          <w:bCs/>
          <w:kern w:val="0"/>
          <w:sz w:val="36"/>
          <w:szCs w:val="36"/>
          <w:highlight w:val="none"/>
          <w:lang w:val="zh-CN"/>
        </w:rPr>
        <w:t xml:space="preserve">目 </w:t>
      </w:r>
      <w:r>
        <w:rPr>
          <w:rFonts w:ascii="Times New Roman" w:hAnsi="Times New Roman" w:eastAsia="仿宋_GB2312" w:cs="Times New Roman"/>
          <w:b/>
          <w:bCs/>
          <w:kern w:val="0"/>
          <w:sz w:val="36"/>
          <w:szCs w:val="36"/>
          <w:highlight w:val="none"/>
          <w:lang w:val="zh-CN"/>
        </w:rPr>
        <w:t xml:space="preserve"> </w:t>
      </w:r>
      <w:r>
        <w:rPr>
          <w:rFonts w:hint="eastAsia" w:ascii="Times New Roman" w:hAnsi="Times New Roman" w:eastAsia="仿宋_GB2312" w:cs="Times New Roman"/>
          <w:b/>
          <w:bCs/>
          <w:kern w:val="0"/>
          <w:sz w:val="36"/>
          <w:szCs w:val="36"/>
          <w:highlight w:val="none"/>
          <w:lang w:val="zh-CN"/>
        </w:rPr>
        <w:t>录</w:t>
      </w:r>
    </w:p>
    <w:sdt>
      <w:sdtPr>
        <w:rPr>
          <w:highlight w:val="none"/>
          <w:lang w:val="zh-CN"/>
        </w:rPr>
        <w:id w:val="1240213343"/>
      </w:sdtPr>
      <w:sdtEndPr>
        <w:rPr>
          <w:highlight w:val="none"/>
          <w:lang w:val="zh-CN"/>
        </w:rPr>
      </w:sdtEndPr>
      <w:sdtContent>
        <w:p>
          <w:pPr>
            <w:pStyle w:val="7"/>
            <w:tabs>
              <w:tab w:val="right" w:leader="dot" w:pos="8296"/>
            </w:tabs>
            <w:rPr>
              <w:rFonts w:asciiTheme="minorHAnsi" w:hAnsiTheme="minorHAnsi" w:eastAsiaTheme="minorEastAsia" w:cstheme="minorBidi"/>
              <w:b/>
              <w:bCs/>
              <w:kern w:val="2"/>
              <w:sz w:val="32"/>
              <w:szCs w:val="32"/>
              <w:highlight w:val="none"/>
              <w:lang w:val="zh-CN" w:eastAsia="zh-CN" w:bidi="ar-SA"/>
            </w:rPr>
          </w:pPr>
          <w:r>
            <w:rPr>
              <w:sz w:val="32"/>
              <w:szCs w:val="32"/>
              <w:highlight w:val="none"/>
            </w:rPr>
            <w:fldChar w:fldCharType="begin"/>
          </w:r>
          <w:r>
            <w:rPr>
              <w:sz w:val="32"/>
              <w:szCs w:val="32"/>
              <w:highlight w:val="none"/>
            </w:rPr>
            <w:instrText xml:space="preserve"> TOC \o "1-3" \h \z \u </w:instrText>
          </w:r>
          <w:r>
            <w:rPr>
              <w:sz w:val="32"/>
              <w:szCs w:val="32"/>
              <w:highlight w:val="none"/>
            </w:rPr>
            <w:fldChar w:fldCharType="separate"/>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_Toc1694298723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一、基本情况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_Toc1694298723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_Toc445478241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（一）项目概况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_Toc445478241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_Toc1024803045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1.项目背景</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_Toc1024803045 </w:instrText>
          </w:r>
          <w:r>
            <w:rPr>
              <w:rFonts w:hint="eastAsia" w:ascii="仿宋" w:hAnsi="仿宋" w:eastAsia="仿宋" w:cs="仿宋"/>
              <w:sz w:val="28"/>
              <w:szCs w:val="28"/>
            </w:rPr>
            <w:fldChar w:fldCharType="separate"/>
          </w:r>
          <w:r>
            <w:rPr>
              <w:rFonts w:hint="eastAsia" w:ascii="仿宋" w:hAnsi="仿宋" w:eastAsia="仿宋" w:cs="仿宋"/>
              <w:sz w:val="28"/>
              <w:szCs w:val="28"/>
            </w:rPr>
            <w:t>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_Toc1045928375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2.主要内容及实施情况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_Toc1045928375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_Toc1764547930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3.资金投入和使用情况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_Toc1764547930 </w:instrText>
          </w:r>
          <w:r>
            <w:rPr>
              <w:rFonts w:hint="eastAsia" w:ascii="仿宋" w:hAnsi="仿宋" w:eastAsia="仿宋" w:cs="仿宋"/>
              <w:sz w:val="28"/>
              <w:szCs w:val="28"/>
            </w:rPr>
            <w:fldChar w:fldCharType="separate"/>
          </w:r>
          <w:r>
            <w:rPr>
              <w:rFonts w:hint="eastAsia" w:ascii="仿宋" w:hAnsi="仿宋" w:eastAsia="仿宋" w:cs="仿宋"/>
              <w:sz w:val="28"/>
              <w:szCs w:val="28"/>
            </w:rPr>
            <w:t>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left="0" w:leftChars="0" w:right="0" w:rightChars="0" w:firstLine="560" w:firstLineChars="20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_Toc7894440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（二）项目绩效目标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_Toc7894440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_Toc1685350613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二、绩效评价工作开展情况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_Toc1685350613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_Toc378448761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（一）绩效评价目的、对象和范围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_Toc378448761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_Toc1889247360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1.绩效评价目的</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_Toc1889247360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_Toc2034658625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2.绩效评价对象</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_Toc2034658625 </w:instrText>
          </w:r>
          <w:r>
            <w:rPr>
              <w:rFonts w:hint="eastAsia" w:ascii="仿宋" w:hAnsi="仿宋" w:eastAsia="仿宋" w:cs="仿宋"/>
              <w:sz w:val="28"/>
              <w:szCs w:val="28"/>
            </w:rPr>
            <w:fldChar w:fldCharType="separate"/>
          </w:r>
          <w:r>
            <w:rPr>
              <w:rFonts w:hint="eastAsia" w:ascii="仿宋" w:hAnsi="仿宋" w:eastAsia="仿宋" w:cs="仿宋"/>
              <w:sz w:val="28"/>
              <w:szCs w:val="28"/>
            </w:rPr>
            <w:t>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_Toc2125399194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3.绩效评价范围</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_Toc2125399194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_Toc341269360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（二）绩效评价原则、评价指标体系、评价方法与标准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_Toc341269360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_Toc1932796030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1.绩效评价原则</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_Toc1932796030 </w:instrText>
          </w:r>
          <w:r>
            <w:rPr>
              <w:rFonts w:hint="eastAsia" w:ascii="仿宋" w:hAnsi="仿宋" w:eastAsia="仿宋" w:cs="仿宋"/>
              <w:sz w:val="28"/>
              <w:szCs w:val="28"/>
            </w:rPr>
            <w:fldChar w:fldCharType="separate"/>
          </w:r>
          <w:r>
            <w:rPr>
              <w:rFonts w:hint="eastAsia" w:ascii="仿宋" w:hAnsi="仿宋" w:eastAsia="仿宋" w:cs="仿宋"/>
              <w:sz w:val="28"/>
              <w:szCs w:val="28"/>
            </w:rPr>
            <w:t>4</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_Toc1665231688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2.绩效评价指标体系</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_Toc1665231688 </w:instrText>
          </w:r>
          <w:r>
            <w:rPr>
              <w:rFonts w:hint="eastAsia" w:ascii="仿宋" w:hAnsi="仿宋" w:eastAsia="仿宋" w:cs="仿宋"/>
              <w:sz w:val="28"/>
              <w:szCs w:val="28"/>
            </w:rPr>
            <w:fldChar w:fldCharType="separate"/>
          </w:r>
          <w:r>
            <w:rPr>
              <w:rFonts w:hint="eastAsia" w:ascii="仿宋" w:hAnsi="仿宋" w:eastAsia="仿宋" w:cs="仿宋"/>
              <w:sz w:val="28"/>
              <w:szCs w:val="28"/>
            </w:rPr>
            <w:t>5</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_Toc1542092512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3.绩效评价方法与标准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_Toc1542092512 </w:instrText>
          </w:r>
          <w:r>
            <w:rPr>
              <w:rFonts w:hint="eastAsia" w:ascii="仿宋" w:hAnsi="仿宋" w:eastAsia="仿宋" w:cs="仿宋"/>
              <w:sz w:val="28"/>
              <w:szCs w:val="28"/>
            </w:rPr>
            <w:fldChar w:fldCharType="separate"/>
          </w:r>
          <w:r>
            <w:rPr>
              <w:rFonts w:hint="eastAsia" w:ascii="仿宋" w:hAnsi="仿宋" w:eastAsia="仿宋" w:cs="仿宋"/>
              <w:sz w:val="28"/>
              <w:szCs w:val="28"/>
            </w:rPr>
            <w:t>9</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_Toc2116197188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（三）绩效评价工作过程</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_Toc2116197188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_Toc301977102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1.评价工作准备阶段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_Toc301977102 </w:instrText>
          </w:r>
          <w:r>
            <w:rPr>
              <w:rFonts w:hint="eastAsia" w:ascii="仿宋" w:hAnsi="仿宋" w:eastAsia="仿宋" w:cs="仿宋"/>
              <w:sz w:val="28"/>
              <w:szCs w:val="28"/>
            </w:rPr>
            <w:fldChar w:fldCharType="separate"/>
          </w:r>
          <w:r>
            <w:rPr>
              <w:rFonts w:hint="eastAsia" w:ascii="仿宋" w:hAnsi="仿宋" w:eastAsia="仿宋" w:cs="仿宋"/>
              <w:sz w:val="28"/>
              <w:szCs w:val="28"/>
            </w:rPr>
            <w:t>10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_Toc825295453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2.评价工作实施阶段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_Toc825295453 </w:instrText>
          </w:r>
          <w:r>
            <w:rPr>
              <w:rFonts w:hint="eastAsia" w:ascii="仿宋" w:hAnsi="仿宋" w:eastAsia="仿宋" w:cs="仿宋"/>
              <w:sz w:val="28"/>
              <w:szCs w:val="28"/>
            </w:rPr>
            <w:fldChar w:fldCharType="separate"/>
          </w:r>
          <w:r>
            <w:rPr>
              <w:rFonts w:hint="eastAsia" w:ascii="仿宋" w:hAnsi="仿宋" w:eastAsia="仿宋" w:cs="仿宋"/>
              <w:sz w:val="28"/>
              <w:szCs w:val="28"/>
            </w:rPr>
            <w:t>11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_Toc143802598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三、综合评价情况及评价结论</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_Toc143802598 </w:instrText>
          </w:r>
          <w:r>
            <w:rPr>
              <w:rFonts w:hint="eastAsia" w:ascii="仿宋" w:hAnsi="仿宋" w:eastAsia="仿宋" w:cs="仿宋"/>
              <w:sz w:val="28"/>
              <w:szCs w:val="28"/>
            </w:rPr>
            <w:fldChar w:fldCharType="separate"/>
          </w:r>
          <w:r>
            <w:rPr>
              <w:rFonts w:hint="eastAsia" w:ascii="仿宋" w:hAnsi="仿宋" w:eastAsia="仿宋" w:cs="仿宋"/>
              <w:sz w:val="28"/>
              <w:szCs w:val="28"/>
            </w:rPr>
            <w:t>12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_Toc971161711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四、绩效评价指标分析</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_Toc971161711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bCs/>
              <w:sz w:val="28"/>
              <w:szCs w:val="28"/>
              <w:highlight w:val="none"/>
              <w:lang w:val="zh-CN"/>
            </w:rPr>
            <w:sectPr>
              <w:footerReference r:id="rId3"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_Toc1439159577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（一）项目决策情况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_Toc1439159577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_Toc846694478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1.项目立项</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_Toc846694478 </w:instrText>
          </w:r>
          <w:r>
            <w:rPr>
              <w:rFonts w:hint="eastAsia" w:ascii="仿宋" w:hAnsi="仿宋" w:eastAsia="仿宋" w:cs="仿宋"/>
              <w:sz w:val="28"/>
              <w:szCs w:val="28"/>
            </w:rPr>
            <w:fldChar w:fldCharType="separate"/>
          </w:r>
          <w:r>
            <w:rPr>
              <w:rFonts w:hint="eastAsia" w:ascii="仿宋" w:hAnsi="仿宋" w:eastAsia="仿宋" w:cs="仿宋"/>
              <w:sz w:val="28"/>
              <w:szCs w:val="28"/>
            </w:rPr>
            <w:t>13</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_Toc1167446724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2.绩效目标</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_Toc1167446724 </w:instrText>
          </w:r>
          <w:r>
            <w:rPr>
              <w:rFonts w:hint="eastAsia" w:ascii="仿宋" w:hAnsi="仿宋" w:eastAsia="仿宋" w:cs="仿宋"/>
              <w:sz w:val="28"/>
              <w:szCs w:val="28"/>
            </w:rPr>
            <w:fldChar w:fldCharType="separate"/>
          </w:r>
          <w:r>
            <w:rPr>
              <w:rFonts w:hint="eastAsia" w:ascii="仿宋" w:hAnsi="仿宋" w:eastAsia="仿宋" w:cs="仿宋"/>
              <w:sz w:val="28"/>
              <w:szCs w:val="28"/>
            </w:rPr>
            <w:t>14</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_Toc1866491276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3.资金投入</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_Toc1866491276 </w:instrText>
          </w:r>
          <w:r>
            <w:rPr>
              <w:rFonts w:hint="eastAsia" w:ascii="仿宋" w:hAnsi="仿宋" w:eastAsia="仿宋" w:cs="仿宋"/>
              <w:sz w:val="28"/>
              <w:szCs w:val="28"/>
            </w:rPr>
            <w:fldChar w:fldCharType="separate"/>
          </w:r>
          <w:r>
            <w:rPr>
              <w:rFonts w:hint="eastAsia" w:ascii="仿宋" w:hAnsi="仿宋" w:eastAsia="仿宋" w:cs="仿宋"/>
              <w:sz w:val="28"/>
              <w:szCs w:val="28"/>
            </w:rPr>
            <w:t>15</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_Toc1825244003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（二）项目过程情况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_Toc1825244003 </w:instrText>
          </w:r>
          <w:r>
            <w:rPr>
              <w:rFonts w:hint="eastAsia" w:ascii="仿宋" w:hAnsi="仿宋" w:eastAsia="仿宋" w:cs="仿宋"/>
              <w:sz w:val="28"/>
              <w:szCs w:val="28"/>
            </w:rPr>
            <w:fldChar w:fldCharType="separate"/>
          </w:r>
          <w:r>
            <w:rPr>
              <w:rFonts w:hint="eastAsia" w:ascii="仿宋" w:hAnsi="仿宋" w:eastAsia="仿宋" w:cs="仿宋"/>
              <w:sz w:val="28"/>
              <w:szCs w:val="28"/>
            </w:rPr>
            <w:t>16</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_Toc72061026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1.资金管理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_Toc72061026 </w:instrText>
          </w:r>
          <w:r>
            <w:rPr>
              <w:rFonts w:hint="eastAsia" w:ascii="仿宋" w:hAnsi="仿宋" w:eastAsia="仿宋" w:cs="仿宋"/>
              <w:sz w:val="28"/>
              <w:szCs w:val="28"/>
            </w:rPr>
            <w:fldChar w:fldCharType="separate"/>
          </w:r>
          <w:r>
            <w:rPr>
              <w:rFonts w:hint="eastAsia" w:ascii="仿宋" w:hAnsi="仿宋" w:eastAsia="仿宋" w:cs="仿宋"/>
              <w:sz w:val="28"/>
              <w:szCs w:val="28"/>
            </w:rPr>
            <w:t>16</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_Toc2096370721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2.组织实施</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_Toc2096370721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_Toc2085995165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（三）项目产出情况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_Toc2085995165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_Toc1650200880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1.产出数量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_Toc1650200880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_Toc174889155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2.产出质量</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_Toc174889155 </w:instrText>
          </w:r>
          <w:r>
            <w:rPr>
              <w:rFonts w:hint="eastAsia" w:ascii="仿宋" w:hAnsi="仿宋" w:eastAsia="仿宋" w:cs="仿宋"/>
              <w:sz w:val="28"/>
              <w:szCs w:val="28"/>
            </w:rPr>
            <w:fldChar w:fldCharType="separate"/>
          </w:r>
          <w:r>
            <w:rPr>
              <w:rFonts w:hint="eastAsia" w:ascii="仿宋" w:hAnsi="仿宋" w:eastAsia="仿宋" w:cs="仿宋"/>
              <w:sz w:val="28"/>
              <w:szCs w:val="28"/>
            </w:rPr>
            <w:t>18</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_Toc1604398989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3.产出时效</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_Toc1604398989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_Toc1329136391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4.产出成本</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_Toc1329136391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_Toc670427443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（四）项目效益情况</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_Toc670427443 </w:instrText>
          </w:r>
          <w:r>
            <w:rPr>
              <w:rFonts w:hint="eastAsia" w:ascii="仿宋" w:hAnsi="仿宋" w:eastAsia="仿宋" w:cs="仿宋"/>
              <w:sz w:val="28"/>
              <w:szCs w:val="28"/>
            </w:rPr>
            <w:fldChar w:fldCharType="separate"/>
          </w:r>
          <w:r>
            <w:rPr>
              <w:rFonts w:hint="eastAsia" w:ascii="仿宋" w:hAnsi="仿宋" w:eastAsia="仿宋" w:cs="仿宋"/>
              <w:sz w:val="28"/>
              <w:szCs w:val="28"/>
            </w:rPr>
            <w:t>19</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_Toc27338692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1</w:t>
          </w:r>
          <w:r>
            <w:rPr>
              <w:rFonts w:hint="eastAsia" w:ascii="仿宋" w:hAnsi="仿宋" w:eastAsia="仿宋" w:cs="仿宋"/>
              <w:sz w:val="28"/>
              <w:szCs w:val="28"/>
              <w:highlight w:val="none"/>
              <w:lang w:val="en-US" w:eastAsia="zh-Hans"/>
            </w:rPr>
            <w:t>.</w:t>
          </w:r>
          <w:r>
            <w:rPr>
              <w:rFonts w:hint="eastAsia" w:ascii="仿宋" w:hAnsi="仿宋" w:eastAsia="仿宋" w:cs="仿宋"/>
              <w:sz w:val="28"/>
              <w:szCs w:val="28"/>
              <w:highlight w:val="none"/>
            </w:rPr>
            <w:t>社会效益</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_Toc27338692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4"/>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_Toc2067379633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2</w:t>
          </w:r>
          <w:r>
            <w:rPr>
              <w:rFonts w:hint="eastAsia" w:ascii="仿宋" w:hAnsi="仿宋" w:eastAsia="仿宋" w:cs="仿宋"/>
              <w:sz w:val="28"/>
              <w:szCs w:val="28"/>
              <w:highlight w:val="none"/>
              <w:lang w:val="en-US" w:eastAsia="zh-Hans"/>
            </w:rPr>
            <w:t>.</w:t>
          </w:r>
          <w:r>
            <w:rPr>
              <w:rFonts w:hint="eastAsia" w:ascii="仿宋" w:hAnsi="仿宋" w:eastAsia="仿宋" w:cs="仿宋"/>
              <w:sz w:val="28"/>
              <w:szCs w:val="28"/>
              <w:highlight w:val="none"/>
            </w:rPr>
            <w:t>受益群体满意度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_Toc2067379633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_Toc164083371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五、存在的问题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_Toc164083371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_Toc380213649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（一）项目绩效指标设置不科学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_Toc380213649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_Toc1486948918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（二）项目未进行详细预算编制</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_Toc1486948918 </w:instrText>
          </w:r>
          <w:r>
            <w:rPr>
              <w:rFonts w:hint="eastAsia" w:ascii="仿宋" w:hAnsi="仿宋" w:eastAsia="仿宋" w:cs="仿宋"/>
              <w:sz w:val="28"/>
              <w:szCs w:val="28"/>
            </w:rPr>
            <w:fldChar w:fldCharType="separate"/>
          </w:r>
          <w:r>
            <w:rPr>
              <w:rFonts w:hint="eastAsia" w:ascii="仿宋" w:hAnsi="仿宋" w:eastAsia="仿宋" w:cs="仿宋"/>
              <w:sz w:val="28"/>
              <w:szCs w:val="28"/>
            </w:rPr>
            <w:t>20</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_Toc883264687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（三）未设置详细的管理制度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_Toc883264687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_Toc1622626345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（四）项目管理执行不到位</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_Toc1622626345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_Toc586147162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六、有关建议</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_Toc586147162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_Toc867862945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（一）加强项目绩效管理</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_Toc867862945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bCs/>
              <w:sz w:val="28"/>
              <w:szCs w:val="28"/>
              <w:highlight w:val="none"/>
              <w:lang w:val="zh-CN"/>
            </w:rPr>
            <w:sectPr>
              <w:footerReference r:id="rId4"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_Toc463586191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（二）科学编制项目预算</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_Toc463586191 </w:instrText>
          </w:r>
          <w:r>
            <w:rPr>
              <w:rFonts w:hint="eastAsia" w:ascii="仿宋" w:hAnsi="仿宋" w:eastAsia="仿宋" w:cs="仿宋"/>
              <w:sz w:val="28"/>
              <w:szCs w:val="28"/>
            </w:rPr>
            <w:fldChar w:fldCharType="separate"/>
          </w:r>
          <w:r>
            <w:rPr>
              <w:rFonts w:hint="eastAsia" w:ascii="仿宋" w:hAnsi="仿宋" w:eastAsia="仿宋" w:cs="仿宋"/>
              <w:sz w:val="28"/>
              <w:szCs w:val="28"/>
            </w:rPr>
            <w:t>21</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_Toc422440821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（三）设置具体的财务管理制度</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_Toc422440821 </w:instrText>
          </w:r>
          <w:r>
            <w:rPr>
              <w:rFonts w:hint="eastAsia" w:ascii="仿宋" w:hAnsi="仿宋" w:eastAsia="仿宋" w:cs="仿宋"/>
              <w:sz w:val="28"/>
              <w:szCs w:val="28"/>
            </w:rPr>
            <w:fldChar w:fldCharType="separate"/>
          </w:r>
          <w:r>
            <w:rPr>
              <w:rFonts w:hint="eastAsia" w:ascii="仿宋" w:hAnsi="仿宋" w:eastAsia="仿宋" w:cs="仿宋"/>
              <w:sz w:val="28"/>
              <w:szCs w:val="28"/>
            </w:rPr>
            <w:t>22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8"/>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_Toc381941565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（四）严格把控制度执行</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_Toc381941565 </w:instrText>
          </w:r>
          <w:r>
            <w:rPr>
              <w:rFonts w:hint="eastAsia" w:ascii="仿宋" w:hAnsi="仿宋" w:eastAsia="仿宋" w:cs="仿宋"/>
              <w:sz w:val="28"/>
              <w:szCs w:val="28"/>
            </w:rPr>
            <w:fldChar w:fldCharType="separate"/>
          </w:r>
          <w:r>
            <w:rPr>
              <w:rFonts w:hint="eastAsia" w:ascii="仿宋" w:hAnsi="仿宋" w:eastAsia="仿宋" w:cs="仿宋"/>
              <w:sz w:val="28"/>
              <w:szCs w:val="28"/>
            </w:rPr>
            <w:t>22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rFonts w:hint="eastAsia" w:ascii="仿宋" w:hAnsi="仿宋" w:eastAsia="仿宋" w:cs="仿宋"/>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_Toc463262072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七、其他需要说明的问题</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_Toc463262072 </w:instrText>
          </w:r>
          <w:r>
            <w:rPr>
              <w:rFonts w:hint="eastAsia" w:ascii="仿宋" w:hAnsi="仿宋" w:eastAsia="仿宋" w:cs="仿宋"/>
              <w:sz w:val="28"/>
              <w:szCs w:val="28"/>
            </w:rPr>
            <w:fldChar w:fldCharType="separate"/>
          </w:r>
          <w:r>
            <w:rPr>
              <w:rFonts w:hint="eastAsia" w:ascii="仿宋" w:hAnsi="仿宋" w:eastAsia="仿宋" w:cs="仿宋"/>
              <w:sz w:val="28"/>
              <w:szCs w:val="28"/>
            </w:rPr>
            <w:t>22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80" w:lineRule="auto"/>
            <w:ind w:right="0" w:rightChars="0"/>
            <w:jc w:val="both"/>
            <w:textAlignment w:val="auto"/>
            <w:outlineLvl w:val="9"/>
            <w:rPr>
              <w:sz w:val="28"/>
              <w:szCs w:val="28"/>
            </w:rPr>
          </w:pPr>
          <w:r>
            <w:rPr>
              <w:rFonts w:hint="eastAsia" w:ascii="仿宋" w:hAnsi="仿宋" w:eastAsia="仿宋" w:cs="仿宋"/>
              <w:bCs/>
              <w:sz w:val="28"/>
              <w:szCs w:val="28"/>
              <w:highlight w:val="none"/>
              <w:lang w:val="zh-CN"/>
            </w:rPr>
            <w:fldChar w:fldCharType="begin"/>
          </w:r>
          <w:r>
            <w:rPr>
              <w:rFonts w:hint="eastAsia" w:ascii="仿宋" w:hAnsi="仿宋" w:eastAsia="仿宋" w:cs="仿宋"/>
              <w:bCs/>
              <w:sz w:val="28"/>
              <w:szCs w:val="28"/>
              <w:highlight w:val="none"/>
              <w:lang w:val="zh-CN"/>
            </w:rPr>
            <w:instrText xml:space="preserve"> HYPERLINK \l _Toc1417423729 </w:instrText>
          </w:r>
          <w:r>
            <w:rPr>
              <w:rFonts w:hint="eastAsia" w:ascii="仿宋" w:hAnsi="仿宋" w:eastAsia="仿宋" w:cs="仿宋"/>
              <w:bCs/>
              <w:sz w:val="28"/>
              <w:szCs w:val="28"/>
              <w:highlight w:val="none"/>
              <w:lang w:val="zh-CN"/>
            </w:rPr>
            <w:fldChar w:fldCharType="separate"/>
          </w:r>
          <w:r>
            <w:rPr>
              <w:rFonts w:hint="eastAsia" w:ascii="仿宋" w:hAnsi="仿宋" w:eastAsia="仿宋" w:cs="仿宋"/>
              <w:sz w:val="28"/>
              <w:szCs w:val="28"/>
              <w:highlight w:val="none"/>
            </w:rPr>
            <w:t>附件1：计划生育奖励扶助项目绩效评价指标体系及评分表</w:t>
          </w:r>
          <w:r>
            <w:rPr>
              <w:rFonts w:hint="eastAsia" w:ascii="仿宋" w:hAnsi="仿宋" w:eastAsia="仿宋" w:cs="仿宋"/>
              <w:sz w:val="28"/>
              <w:szCs w:val="28"/>
            </w:rPr>
            <w:tab/>
          </w:r>
          <w:r>
            <w:rPr>
              <w:rFonts w:hint="eastAsia" w:ascii="仿宋" w:hAnsi="仿宋" w:eastAsia="仿宋" w:cs="仿宋"/>
              <w:sz w:val="28"/>
              <w:szCs w:val="28"/>
            </w:rPr>
            <w:fldChar w:fldCharType="begin"/>
          </w:r>
          <w:r>
            <w:rPr>
              <w:rFonts w:hint="eastAsia" w:ascii="仿宋" w:hAnsi="仿宋" w:eastAsia="仿宋" w:cs="仿宋"/>
              <w:sz w:val="28"/>
              <w:szCs w:val="28"/>
            </w:rPr>
            <w:instrText xml:space="preserve"> PAGEREF _Toc1417423729 </w:instrText>
          </w:r>
          <w:r>
            <w:rPr>
              <w:rFonts w:hint="eastAsia" w:ascii="仿宋" w:hAnsi="仿宋" w:eastAsia="仿宋" w:cs="仿宋"/>
              <w:sz w:val="28"/>
              <w:szCs w:val="28"/>
            </w:rPr>
            <w:fldChar w:fldCharType="separate"/>
          </w:r>
          <w:r>
            <w:rPr>
              <w:rFonts w:hint="eastAsia" w:ascii="仿宋" w:hAnsi="仿宋" w:eastAsia="仿宋" w:cs="仿宋"/>
              <w:sz w:val="28"/>
              <w:szCs w:val="28"/>
            </w:rPr>
            <w:t>22</w:t>
          </w:r>
          <w:r>
            <w:rPr>
              <w:rFonts w:hint="eastAsia" w:ascii="仿宋" w:hAnsi="仿宋" w:eastAsia="仿宋" w:cs="仿宋"/>
              <w:sz w:val="28"/>
              <w:szCs w:val="28"/>
            </w:rPr>
            <w:fldChar w:fldCharType="end"/>
          </w:r>
          <w:r>
            <w:rPr>
              <w:rFonts w:hint="eastAsia" w:ascii="仿宋" w:hAnsi="仿宋" w:eastAsia="仿宋" w:cs="仿宋"/>
              <w:bCs/>
              <w:sz w:val="28"/>
              <w:szCs w:val="28"/>
              <w:highlight w:val="none"/>
              <w:lang w:val="zh-CN"/>
            </w:rPr>
            <w:fldChar w:fldCharType="end"/>
          </w:r>
        </w:p>
        <w:p>
          <w:pPr>
            <w:pStyle w:val="7"/>
            <w:tabs>
              <w:tab w:val="right" w:leader="dot" w:pos="8296"/>
            </w:tabs>
            <w:rPr>
              <w:sz w:val="32"/>
              <w:szCs w:val="32"/>
              <w:highlight w:val="none"/>
            </w:rPr>
          </w:pPr>
          <w:r>
            <w:rPr>
              <w:b/>
              <w:bCs/>
              <w:sz w:val="32"/>
              <w:szCs w:val="32"/>
              <w:highlight w:val="none"/>
              <w:lang w:val="zh-CN"/>
            </w:rPr>
            <w:fldChar w:fldCharType="end"/>
          </w:r>
        </w:p>
      </w:sdtContent>
    </w:sdt>
    <w:p>
      <w:pPr>
        <w:rPr>
          <w:rFonts w:ascii="Times New Roman" w:hAnsi="Times New Roman" w:eastAsia="仿宋_GB2312" w:cs="Times New Roman"/>
          <w:b/>
          <w:bCs/>
          <w:kern w:val="0"/>
          <w:sz w:val="32"/>
          <w:szCs w:val="32"/>
          <w:highlight w:val="none"/>
          <w:lang w:val="zh-CN"/>
        </w:rPr>
      </w:pPr>
    </w:p>
    <w:p>
      <w:pPr>
        <w:rPr>
          <w:rFonts w:ascii="Times New Roman" w:hAnsi="Times New Roman" w:eastAsia="仿宋_GB2312" w:cs="Times New Roman"/>
          <w:b/>
          <w:bCs/>
          <w:kern w:val="0"/>
          <w:sz w:val="32"/>
          <w:szCs w:val="32"/>
          <w:highlight w:val="none"/>
          <w:lang w:val="zh-CN"/>
        </w:rPr>
        <w:sectPr>
          <w:footerReference r:id="rId5"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pPr>
    </w:p>
    <w:p>
      <w:pPr>
        <w:spacing w:after="312" w:afterLines="100" w:line="600" w:lineRule="exact"/>
        <w:jc w:val="center"/>
        <w:rPr>
          <w:rFonts w:ascii="方正小标宋简体" w:hAnsi="Times New Roman" w:eastAsia="方正小标宋简体" w:cs="方正小标宋简体"/>
          <w:sz w:val="44"/>
          <w:szCs w:val="44"/>
          <w:highlight w:val="none"/>
        </w:rPr>
      </w:pPr>
      <w:r>
        <w:rPr>
          <w:rFonts w:hint="eastAsia" w:ascii="方正小标宋简体" w:hAnsi="Times New Roman" w:eastAsia="方正小标宋简体" w:cs="方正小标宋简体"/>
          <w:sz w:val="44"/>
          <w:szCs w:val="44"/>
          <w:highlight w:val="none"/>
        </w:rPr>
        <w:t>计划生育奖励扶助项目</w:t>
      </w:r>
    </w:p>
    <w:p>
      <w:pPr>
        <w:spacing w:after="312" w:afterLines="100" w:line="600" w:lineRule="exact"/>
        <w:jc w:val="center"/>
        <w:rPr>
          <w:rFonts w:ascii="方正小标宋简体" w:hAnsi="Times New Roman" w:eastAsia="方正小标宋简体" w:cs="方正小标宋简体"/>
          <w:sz w:val="44"/>
          <w:szCs w:val="44"/>
          <w:highlight w:val="none"/>
        </w:rPr>
      </w:pPr>
      <w:r>
        <w:rPr>
          <w:rFonts w:hint="eastAsia" w:ascii="方正小标宋简体" w:hAnsi="Times New Roman" w:eastAsia="方正小标宋简体" w:cs="方正小标宋简体"/>
          <w:sz w:val="44"/>
          <w:szCs w:val="44"/>
          <w:highlight w:val="none"/>
        </w:rPr>
        <w:t>绩效评价报告</w:t>
      </w:r>
    </w:p>
    <w:p>
      <w:pPr>
        <w:spacing w:line="360" w:lineRule="auto"/>
        <w:ind w:firstLine="640" w:firstLineChars="200"/>
        <w:rPr>
          <w:rFonts w:ascii="Times New Roman" w:hAnsi="Times New Roman" w:eastAsia="仿宋_GB2312" w:cs="Times New Roman"/>
          <w:b/>
          <w:bCs/>
          <w:kern w:val="0"/>
          <w:sz w:val="32"/>
          <w:szCs w:val="32"/>
          <w:highlight w:val="none"/>
        </w:rPr>
      </w:pPr>
      <w:r>
        <w:rPr>
          <w:rFonts w:hint="eastAsia" w:ascii="Times New Roman" w:hAnsi="Times New Roman" w:eastAsia="仿宋_GB2312" w:cs="仿宋_GB2312"/>
          <w:sz w:val="32"/>
          <w:szCs w:val="32"/>
          <w:highlight w:val="none"/>
        </w:rPr>
        <w:t>为提高财政资金使用效益，合理配置公共财政资源，根据市委、市政府《关于全面推进预算绩效管理的实施方案》《天津市市级财政项目支出绩效评价管理办法》（津财绩效〔2020〕12号）等文件要求，天津市东丽区财政局引入第三方专业机构成立了绩效评价组，于2021年</w:t>
      </w:r>
      <w:r>
        <w:rPr>
          <w:rFonts w:ascii="Times New Roman" w:hAnsi="Times New Roman" w:eastAsia="仿宋_GB2312" w:cs="仿宋_GB2312"/>
          <w:sz w:val="32"/>
          <w:szCs w:val="32"/>
          <w:highlight w:val="none"/>
        </w:rPr>
        <w:t>12</w:t>
      </w:r>
      <w:r>
        <w:rPr>
          <w:rFonts w:hint="eastAsia" w:ascii="Times New Roman" w:hAnsi="Times New Roman" w:eastAsia="仿宋_GB2312" w:cs="仿宋_GB2312"/>
          <w:sz w:val="32"/>
          <w:szCs w:val="32"/>
          <w:highlight w:val="none"/>
        </w:rPr>
        <w:t>月，对计划生育奖励扶助项目开展了绩效评价。该项目评价结果为</w:t>
      </w:r>
      <w:r>
        <w:rPr>
          <w:rFonts w:hint="eastAsia" w:ascii="Times New Roman" w:hAnsi="Times New Roman" w:eastAsia="仿宋_GB2312" w:cs="仿宋_GB2312"/>
          <w:sz w:val="32"/>
          <w:szCs w:val="32"/>
          <w:highlight w:val="none"/>
          <w:lang w:val="en-US" w:eastAsia="zh-CN"/>
        </w:rPr>
        <w:t>83.58</w:t>
      </w:r>
      <w:r>
        <w:rPr>
          <w:rFonts w:hint="eastAsia" w:ascii="Times New Roman" w:hAnsi="Times New Roman" w:eastAsia="仿宋_GB2312" w:cs="仿宋_GB2312"/>
          <w:sz w:val="32"/>
          <w:szCs w:val="32"/>
          <w:highlight w:val="none"/>
        </w:rPr>
        <w:t>分，评价等级为“良”，有关情况如下。</w:t>
      </w:r>
    </w:p>
    <w:p>
      <w:pPr>
        <w:autoSpaceDE w:val="0"/>
        <w:autoSpaceDN w:val="0"/>
        <w:adjustRightInd w:val="0"/>
        <w:spacing w:beforeLines="0" w:afterLines="0" w:line="360" w:lineRule="auto"/>
        <w:ind w:firstLine="640" w:firstLineChars="200"/>
        <w:jc w:val="left"/>
        <w:outlineLvl w:val="0"/>
        <w:rPr>
          <w:rFonts w:ascii="Times New Roman" w:hAnsi="黑体" w:eastAsia="黑体" w:cs="黑体"/>
          <w:sz w:val="32"/>
          <w:szCs w:val="32"/>
          <w:highlight w:val="none"/>
        </w:rPr>
      </w:pPr>
      <w:bookmarkStart w:id="1" w:name="_Toc66801440"/>
      <w:bookmarkStart w:id="2" w:name="_Toc1694298723"/>
      <w:bookmarkStart w:id="3" w:name="_Toc90889106"/>
      <w:bookmarkStart w:id="4" w:name="_Toc160136487"/>
      <w:r>
        <w:rPr>
          <w:rFonts w:hint="eastAsia" w:ascii="Times New Roman" w:hAnsi="黑体" w:eastAsia="黑体" w:cs="黑体"/>
          <w:sz w:val="32"/>
          <w:szCs w:val="32"/>
          <w:highlight w:val="none"/>
        </w:rPr>
        <w:t>一、基本情况</w:t>
      </w:r>
      <w:bookmarkEnd w:id="1"/>
      <w:bookmarkEnd w:id="2"/>
      <w:bookmarkEnd w:id="3"/>
      <w:bookmarkEnd w:id="4"/>
    </w:p>
    <w:p>
      <w:pPr>
        <w:spacing w:beforeLines="0" w:afterLines="0" w:line="360" w:lineRule="auto"/>
        <w:ind w:firstLine="960" w:firstLineChars="300"/>
        <w:outlineLvl w:val="1"/>
        <w:rPr>
          <w:rFonts w:ascii="楷体_GB2312" w:hAnsi="Times New Roman" w:eastAsia="楷体_GB2312" w:cs="仿宋_GB2312"/>
          <w:sz w:val="32"/>
          <w:szCs w:val="32"/>
          <w:highlight w:val="none"/>
        </w:rPr>
      </w:pPr>
      <w:bookmarkStart w:id="5" w:name="_Toc616927318"/>
      <w:bookmarkStart w:id="6" w:name="_Toc445478241"/>
      <w:bookmarkStart w:id="7" w:name="_Toc90889107"/>
      <w:bookmarkStart w:id="8" w:name="_Toc66801441"/>
      <w:r>
        <w:rPr>
          <w:rFonts w:hint="eastAsia" w:ascii="楷体_GB2312" w:hAnsi="Times New Roman" w:eastAsia="楷体_GB2312" w:cs="仿宋_GB2312"/>
          <w:sz w:val="32"/>
          <w:szCs w:val="32"/>
          <w:highlight w:val="none"/>
        </w:rPr>
        <w:t>（一）项目概况</w:t>
      </w:r>
      <w:bookmarkEnd w:id="5"/>
      <w:bookmarkEnd w:id="6"/>
      <w:bookmarkEnd w:id="7"/>
      <w:bookmarkEnd w:id="8"/>
    </w:p>
    <w:p>
      <w:pPr>
        <w:spacing w:line="360" w:lineRule="auto"/>
        <w:ind w:firstLine="640" w:firstLineChars="200"/>
        <w:outlineLvl w:val="2"/>
        <w:rPr>
          <w:rFonts w:ascii="Times New Roman" w:hAnsi="Times New Roman" w:eastAsia="仿宋_GB2312" w:cs="仿宋_GB2312"/>
          <w:sz w:val="32"/>
          <w:szCs w:val="32"/>
          <w:highlight w:val="none"/>
        </w:rPr>
      </w:pPr>
      <w:bookmarkStart w:id="9" w:name="_Toc646385910"/>
      <w:bookmarkStart w:id="10" w:name="_Toc90889108"/>
      <w:bookmarkStart w:id="11" w:name="_Toc1024803045"/>
      <w:bookmarkStart w:id="12" w:name="_Toc66801442"/>
      <w:r>
        <w:rPr>
          <w:rFonts w:hint="eastAsia" w:ascii="Times New Roman" w:hAnsi="Times New Roman" w:eastAsia="仿宋_GB2312" w:cs="仿宋_GB2312"/>
          <w:sz w:val="32"/>
          <w:szCs w:val="32"/>
          <w:highlight w:val="none"/>
        </w:rPr>
        <w:t>1.项目背景</w:t>
      </w:r>
      <w:bookmarkEnd w:id="9"/>
      <w:bookmarkEnd w:id="10"/>
      <w:bookmarkEnd w:id="11"/>
      <w:bookmarkEnd w:id="12"/>
    </w:p>
    <w:p>
      <w:pPr>
        <w:pStyle w:val="18"/>
        <w:rPr>
          <w:highlight w:val="none"/>
        </w:rPr>
      </w:pPr>
      <w:r>
        <w:rPr>
          <w:rFonts w:hint="eastAsia"/>
          <w:highlight w:val="none"/>
        </w:rPr>
        <w:t>《天津市委、市政府关于贯彻落实〈中共中央国务院关于全面加强人口和计划生育工作统筹解决人口问题的决定〉的实施意见》（津党发[2008]2号），进一步加强新时期人口和计划生育工作，千方百计稳定低生育水平：建立完善人口和计划生育社会保障体系和利益导向机制，全面落实国家、天津市和本区有关计划生育奖励和扶助的各项法律、法规和政策规定，切实维护人民群众在计划生育方面的合法权益。</w:t>
      </w:r>
    </w:p>
    <w:p>
      <w:pPr>
        <w:pStyle w:val="18"/>
        <w:rPr>
          <w:highlight w:val="none"/>
        </w:rPr>
      </w:pPr>
      <w:r>
        <w:rPr>
          <w:rFonts w:hint="eastAsia"/>
          <w:highlight w:val="none"/>
        </w:rPr>
        <w:t>因此，依据国家政策文件要求，为向符合计划生育计划条件的人员发放计划生育奖励扶助款，东丽区卫生健康委员会（简称“东丽卫健委”）积极落实天津市委、市政府的决策要求，开展计划生育奖励扶助项目。</w:t>
      </w:r>
    </w:p>
    <w:p>
      <w:pPr>
        <w:spacing w:line="360" w:lineRule="auto"/>
        <w:ind w:firstLine="640" w:firstLineChars="200"/>
        <w:outlineLvl w:val="2"/>
        <w:rPr>
          <w:rFonts w:ascii="Times New Roman" w:hAnsi="Times New Roman" w:eastAsia="仿宋_GB2312" w:cs="仿宋_GB2312"/>
          <w:sz w:val="32"/>
          <w:szCs w:val="32"/>
          <w:highlight w:val="none"/>
        </w:rPr>
      </w:pPr>
      <w:bookmarkStart w:id="13" w:name="_Toc66801443"/>
      <w:bookmarkStart w:id="14" w:name="_Toc90889109"/>
      <w:bookmarkStart w:id="15" w:name="_Toc1045928375"/>
      <w:bookmarkStart w:id="16" w:name="_Toc1835702844"/>
      <w:r>
        <w:rPr>
          <w:rFonts w:hint="eastAsia" w:ascii="Times New Roman" w:hAnsi="Times New Roman" w:eastAsia="仿宋_GB2312" w:cs="仿宋_GB2312"/>
          <w:sz w:val="32"/>
          <w:szCs w:val="32"/>
          <w:highlight w:val="none"/>
        </w:rPr>
        <w:t>2.主要内容及实施情况</w:t>
      </w:r>
      <w:bookmarkEnd w:id="13"/>
      <w:bookmarkEnd w:id="14"/>
      <w:bookmarkEnd w:id="15"/>
      <w:bookmarkEnd w:id="16"/>
    </w:p>
    <w:p>
      <w:pPr>
        <w:pStyle w:val="18"/>
        <w:rPr>
          <w:highlight w:val="none"/>
        </w:rPr>
      </w:pPr>
      <w:bookmarkStart w:id="17" w:name="_Toc66801444"/>
      <w:r>
        <w:rPr>
          <w:rFonts w:hint="eastAsia"/>
          <w:highlight w:val="none"/>
        </w:rPr>
        <w:t>2</w:t>
      </w:r>
      <w:r>
        <w:rPr>
          <w:highlight w:val="none"/>
        </w:rPr>
        <w:t>0</w:t>
      </w:r>
      <w:r>
        <w:rPr>
          <w:rFonts w:hint="eastAsia"/>
          <w:highlight w:val="none"/>
        </w:rPr>
        <w:t>20年1月23日，《东丽区人民政府关于印发东丽区社会保障和救助体系的通知》东丽政发〔2020〕3号，明确了计划生育奖励扶助的对象及发放奖励的标准。</w:t>
      </w:r>
    </w:p>
    <w:p>
      <w:pPr>
        <w:pStyle w:val="18"/>
        <w:rPr>
          <w:highlight w:val="none"/>
        </w:rPr>
      </w:pPr>
      <w:r>
        <w:rPr>
          <w:rFonts w:hint="eastAsia"/>
          <w:highlight w:val="none"/>
        </w:rPr>
        <w:t>《中共东丽区委东丽区人民政府关于全面加强人口和计划生育工作统筹解决人口问题的实施意见》（津丽党发（2008）30号），内容为：</w:t>
      </w:r>
      <w:r>
        <w:rPr>
          <w:rFonts w:hint="eastAsia"/>
          <w:highlight w:val="none"/>
          <w:lang w:eastAsia="zh-CN"/>
        </w:rPr>
        <w:t>“</w:t>
      </w:r>
      <w:r>
        <w:rPr>
          <w:rFonts w:hint="eastAsia"/>
          <w:highlight w:val="none"/>
          <w:lang w:val="en-US" w:eastAsia="zh-CN"/>
        </w:rPr>
        <w:t>三是</w:t>
      </w:r>
      <w:r>
        <w:rPr>
          <w:rFonts w:hint="eastAsia"/>
          <w:highlight w:val="none"/>
        </w:rPr>
        <w:t>全面落实天津市制定的关于农村部分计划生育家庭奖励扶助政策和东丽区制定的奖扶规定。对于年满60周岁，符合“双农”，或具备农村集体经济组织成员资格转非未转工，或一方为农业户籍条件的独生子女家庭的夫妻，享受每人每年1200元的奖励扶助金。并依据城镇居民人均收入水平，适时调整奖扶标准。</w:t>
      </w:r>
      <w:r>
        <w:rPr>
          <w:rFonts w:hint="eastAsia"/>
          <w:highlight w:val="none"/>
          <w:lang w:eastAsia="zh-CN"/>
        </w:rPr>
        <w:t>”</w:t>
      </w:r>
    </w:p>
    <w:p>
      <w:pPr>
        <w:pStyle w:val="18"/>
        <w:rPr>
          <w:highlight w:val="none"/>
        </w:rPr>
      </w:pPr>
      <w:r>
        <w:rPr>
          <w:rFonts w:hint="eastAsia"/>
          <w:highlight w:val="none"/>
        </w:rPr>
        <w:t>经项目组专业人员的核查，本项目奖励发放基本符合天津市制定的关于农村部分计划生育家庭奖励扶助政策和东丽区制定的奖扶规定以及发放流程基本符合相关规定。</w:t>
      </w:r>
    </w:p>
    <w:p>
      <w:pPr>
        <w:spacing w:line="360" w:lineRule="auto"/>
        <w:ind w:firstLine="640" w:firstLineChars="200"/>
        <w:outlineLvl w:val="2"/>
        <w:rPr>
          <w:rFonts w:ascii="Times New Roman" w:hAnsi="Times New Roman" w:eastAsia="仿宋_GB2312" w:cs="仿宋_GB2312"/>
          <w:sz w:val="32"/>
          <w:szCs w:val="32"/>
          <w:highlight w:val="none"/>
        </w:rPr>
      </w:pPr>
      <w:bookmarkStart w:id="18" w:name="_Toc1907626306"/>
      <w:bookmarkStart w:id="19" w:name="_Toc1764547930"/>
      <w:bookmarkStart w:id="20" w:name="_Toc90889110"/>
      <w:r>
        <w:rPr>
          <w:rFonts w:hint="eastAsia" w:ascii="Times New Roman" w:hAnsi="Times New Roman" w:eastAsia="仿宋_GB2312" w:cs="仿宋_GB2312"/>
          <w:sz w:val="32"/>
          <w:szCs w:val="32"/>
          <w:highlight w:val="none"/>
        </w:rPr>
        <w:t>3.资金投入和使用情况</w:t>
      </w:r>
      <w:bookmarkEnd w:id="17"/>
      <w:bookmarkEnd w:id="18"/>
      <w:bookmarkEnd w:id="19"/>
      <w:bookmarkEnd w:id="20"/>
    </w:p>
    <w:p>
      <w:pPr>
        <w:pStyle w:val="18"/>
        <w:rPr>
          <w:highlight w:val="none"/>
        </w:rPr>
      </w:pPr>
      <w:bookmarkStart w:id="21" w:name="_Toc65847355"/>
      <w:bookmarkStart w:id="22" w:name="_Toc66801445"/>
      <w:r>
        <w:rPr>
          <w:rFonts w:hint="eastAsia"/>
          <w:highlight w:val="none"/>
        </w:rPr>
        <w:t>计划生育奖励扶助项目资金来源为天津市东丽区财政局下达的行政事业单位支出预算。截至2</w:t>
      </w:r>
      <w:r>
        <w:rPr>
          <w:highlight w:val="none"/>
        </w:rPr>
        <w:t>02</w:t>
      </w:r>
      <w:r>
        <w:rPr>
          <w:rFonts w:hint="eastAsia"/>
          <w:highlight w:val="none"/>
        </w:rPr>
        <w:t>0年1</w:t>
      </w:r>
      <w:r>
        <w:rPr>
          <w:highlight w:val="none"/>
        </w:rPr>
        <w:t>2</w:t>
      </w:r>
      <w:r>
        <w:rPr>
          <w:rFonts w:hint="eastAsia"/>
          <w:highlight w:val="none"/>
        </w:rPr>
        <w:t>月31日，本项目预算金额为1234.584</w:t>
      </w:r>
      <w:r>
        <w:rPr>
          <w:highlight w:val="none"/>
        </w:rPr>
        <w:t>元，实际支出资金为</w:t>
      </w:r>
      <w:r>
        <w:rPr>
          <w:rFonts w:hint="eastAsia"/>
          <w:highlight w:val="none"/>
        </w:rPr>
        <w:t>1234.584</w:t>
      </w:r>
      <w:r>
        <w:rPr>
          <w:highlight w:val="none"/>
        </w:rPr>
        <w:t>元</w:t>
      </w:r>
      <w:r>
        <w:rPr>
          <w:rFonts w:hint="eastAsia"/>
          <w:highlight w:val="none"/>
        </w:rPr>
        <w:t>。</w:t>
      </w:r>
    </w:p>
    <w:p>
      <w:pPr>
        <w:pStyle w:val="21"/>
        <w:rPr>
          <w:highlight w:val="none"/>
        </w:rPr>
      </w:pPr>
    </w:p>
    <w:p>
      <w:pPr>
        <w:spacing w:line="360" w:lineRule="auto"/>
        <w:ind w:firstLine="640" w:firstLineChars="200"/>
        <w:outlineLvl w:val="2"/>
        <w:rPr>
          <w:rFonts w:ascii="楷体_GB2312" w:hAnsi="Times New Roman" w:eastAsia="楷体_GB2312" w:cs="仿宋_GB2312"/>
          <w:sz w:val="32"/>
          <w:szCs w:val="32"/>
          <w:highlight w:val="none"/>
        </w:rPr>
      </w:pPr>
      <w:bookmarkStart w:id="23" w:name="_Toc7894440"/>
      <w:bookmarkStart w:id="24" w:name="_Toc1691958879"/>
      <w:bookmarkStart w:id="25" w:name="_Toc90889111"/>
      <w:r>
        <w:rPr>
          <w:rFonts w:hint="eastAsia" w:ascii="楷体_GB2312" w:hAnsi="Times New Roman" w:eastAsia="楷体_GB2312" w:cs="仿宋_GB2312"/>
          <w:sz w:val="32"/>
          <w:szCs w:val="32"/>
          <w:highlight w:val="none"/>
        </w:rPr>
        <w:t>（二）项目绩效目标</w:t>
      </w:r>
      <w:bookmarkEnd w:id="21"/>
      <w:bookmarkEnd w:id="22"/>
      <w:bookmarkEnd w:id="23"/>
      <w:bookmarkEnd w:id="24"/>
      <w:bookmarkEnd w:id="25"/>
    </w:p>
    <w:p>
      <w:pPr>
        <w:pStyle w:val="18"/>
        <w:rPr>
          <w:highlight w:val="none"/>
        </w:rPr>
      </w:pPr>
      <w:r>
        <w:rPr>
          <w:rFonts w:hint="eastAsia"/>
          <w:highlight w:val="none"/>
        </w:rPr>
        <w:t>本项目绩效目标为：</w:t>
      </w:r>
      <w:r>
        <w:rPr>
          <w:rFonts w:hint="eastAsia"/>
          <w:highlight w:val="none"/>
          <w:lang w:val="en-US" w:eastAsia="zh-CN"/>
        </w:rPr>
        <w:t>按照每人1200元/年的标准向符合标准的</w:t>
      </w:r>
      <w:r>
        <w:rPr>
          <w:rFonts w:hint="eastAsia"/>
          <w:highlight w:val="none"/>
        </w:rPr>
        <w:t>农村部分计划生育家庭</w:t>
      </w:r>
      <w:r>
        <w:rPr>
          <w:rFonts w:hint="eastAsia"/>
          <w:highlight w:val="none"/>
          <w:lang w:val="en-US" w:eastAsia="zh-CN"/>
        </w:rPr>
        <w:t>和</w:t>
      </w:r>
      <w:r>
        <w:rPr>
          <w:rFonts w:hint="eastAsia"/>
          <w:highlight w:val="none"/>
        </w:rPr>
        <w:t>农转非未转工计划生育家庭</w:t>
      </w:r>
      <w:r>
        <w:rPr>
          <w:rFonts w:hint="eastAsia"/>
          <w:highlight w:val="none"/>
          <w:lang w:val="en-US" w:eastAsia="zh-CN"/>
        </w:rPr>
        <w:t>发放</w:t>
      </w:r>
      <w:r>
        <w:rPr>
          <w:rFonts w:hint="eastAsia"/>
          <w:highlight w:val="none"/>
        </w:rPr>
        <w:t>奖励扶助金。</w:t>
      </w:r>
    </w:p>
    <w:p>
      <w:pPr>
        <w:autoSpaceDE w:val="0"/>
        <w:autoSpaceDN w:val="0"/>
        <w:adjustRightInd w:val="0"/>
        <w:spacing w:line="360" w:lineRule="auto"/>
        <w:ind w:firstLine="640" w:firstLineChars="200"/>
        <w:jc w:val="left"/>
        <w:outlineLvl w:val="0"/>
        <w:rPr>
          <w:rFonts w:ascii="Times New Roman" w:hAnsi="黑体" w:eastAsia="黑体" w:cs="黑体"/>
          <w:sz w:val="32"/>
          <w:szCs w:val="32"/>
          <w:highlight w:val="none"/>
        </w:rPr>
      </w:pPr>
      <w:bookmarkStart w:id="26" w:name="_Toc66801448"/>
      <w:bookmarkStart w:id="27" w:name="_Toc65847358"/>
      <w:bookmarkStart w:id="28" w:name="_Toc90889112"/>
      <w:bookmarkStart w:id="29" w:name="_Toc1685350613"/>
      <w:bookmarkStart w:id="30" w:name="_Toc1921909426"/>
      <w:r>
        <w:rPr>
          <w:rFonts w:hint="eastAsia" w:ascii="Times New Roman" w:hAnsi="黑体" w:eastAsia="黑体" w:cs="黑体"/>
          <w:sz w:val="32"/>
          <w:szCs w:val="32"/>
          <w:highlight w:val="none"/>
        </w:rPr>
        <w:t>二、绩效评价工作开展情况</w:t>
      </w:r>
      <w:bookmarkEnd w:id="26"/>
      <w:bookmarkEnd w:id="27"/>
      <w:bookmarkEnd w:id="28"/>
      <w:bookmarkEnd w:id="29"/>
      <w:bookmarkEnd w:id="30"/>
    </w:p>
    <w:p>
      <w:pPr>
        <w:spacing w:line="360" w:lineRule="auto"/>
        <w:ind w:firstLine="640" w:firstLineChars="200"/>
        <w:outlineLvl w:val="1"/>
        <w:rPr>
          <w:rFonts w:ascii="楷体_GB2312" w:hAnsi="Times New Roman" w:eastAsia="楷体_GB2312" w:cs="仿宋_GB2312"/>
          <w:sz w:val="32"/>
          <w:szCs w:val="32"/>
          <w:highlight w:val="none"/>
        </w:rPr>
      </w:pPr>
      <w:bookmarkStart w:id="31" w:name="_Toc66801449"/>
      <w:bookmarkStart w:id="32" w:name="_Toc90889113"/>
      <w:bookmarkStart w:id="33" w:name="_Toc65847359"/>
      <w:bookmarkStart w:id="34" w:name="_Toc1230188255"/>
      <w:bookmarkStart w:id="35" w:name="_Toc378448761"/>
      <w:r>
        <w:rPr>
          <w:rFonts w:hint="eastAsia" w:ascii="楷体_GB2312" w:hAnsi="Times New Roman" w:eastAsia="楷体_GB2312" w:cs="仿宋_GB2312"/>
          <w:sz w:val="32"/>
          <w:szCs w:val="32"/>
          <w:highlight w:val="none"/>
        </w:rPr>
        <w:t>（一）绩效评价目的、对象和范围</w:t>
      </w:r>
      <w:bookmarkEnd w:id="31"/>
      <w:bookmarkEnd w:id="32"/>
      <w:bookmarkEnd w:id="33"/>
      <w:bookmarkEnd w:id="34"/>
      <w:bookmarkEnd w:id="35"/>
    </w:p>
    <w:p>
      <w:pPr>
        <w:spacing w:line="360" w:lineRule="auto"/>
        <w:ind w:firstLine="640" w:firstLineChars="200"/>
        <w:outlineLvl w:val="2"/>
        <w:rPr>
          <w:rFonts w:ascii="Times New Roman" w:hAnsi="Times New Roman" w:eastAsia="仿宋_GB2312" w:cs="仿宋_GB2312"/>
          <w:sz w:val="32"/>
          <w:szCs w:val="32"/>
          <w:highlight w:val="none"/>
        </w:rPr>
      </w:pPr>
      <w:bookmarkStart w:id="36" w:name="_Toc65847360"/>
      <w:bookmarkStart w:id="37" w:name="_Toc90889114"/>
      <w:bookmarkStart w:id="38" w:name="_Toc66801450"/>
      <w:bookmarkStart w:id="39" w:name="_Toc1948932116"/>
      <w:bookmarkStart w:id="40" w:name="_Toc1889247360"/>
      <w:r>
        <w:rPr>
          <w:rFonts w:hint="eastAsia" w:ascii="Times New Roman" w:hAnsi="Times New Roman" w:eastAsia="仿宋_GB2312" w:cs="仿宋_GB2312"/>
          <w:sz w:val="32"/>
          <w:szCs w:val="32"/>
          <w:highlight w:val="none"/>
        </w:rPr>
        <w:t>1.绩效评价目的</w:t>
      </w:r>
      <w:bookmarkEnd w:id="36"/>
      <w:bookmarkEnd w:id="37"/>
      <w:bookmarkEnd w:id="38"/>
      <w:bookmarkEnd w:id="39"/>
      <w:bookmarkEnd w:id="40"/>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（1）为推进全面实施预算绩效管理，建立科学、合理的预算绩效评价管理体系，提高财政资金使用效益。</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通过对计划生育奖励扶助项目的绩效评价，了解和掌握项目实施的具体情况，评价其项目资金安排的科学性、合理性、规范性和资金使用成效，及时总结项目管理经验，完善项目管理办法，提高项目管理水平和资金的使用效益，切实提高整体及核心业务实施效果。</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促使项目承担部门根据绩效评价中发现的问题，将绩效结果与完善政策和改进管理挂钩，及时调整和完善部门的工作计划和绩效目标，加强绩效管理，提高管理水平，为项目后续资金投入、分配和管理提供决策依据。</w:t>
      </w:r>
    </w:p>
    <w:p>
      <w:pPr>
        <w:spacing w:line="360" w:lineRule="auto"/>
        <w:ind w:firstLine="640" w:firstLineChars="200"/>
        <w:outlineLvl w:val="2"/>
        <w:rPr>
          <w:rFonts w:ascii="Times New Roman" w:hAnsi="Times New Roman" w:eastAsia="仿宋_GB2312" w:cs="仿宋_GB2312"/>
          <w:sz w:val="32"/>
          <w:szCs w:val="32"/>
          <w:highlight w:val="none"/>
        </w:rPr>
      </w:pPr>
      <w:bookmarkStart w:id="41" w:name="_Toc90889115"/>
      <w:bookmarkStart w:id="42" w:name="_Toc65847361"/>
      <w:bookmarkStart w:id="43" w:name="_Toc2034658625"/>
      <w:bookmarkStart w:id="44" w:name="_Toc134005921"/>
      <w:bookmarkStart w:id="45" w:name="_Toc66801451"/>
      <w:r>
        <w:rPr>
          <w:rFonts w:hint="eastAsia" w:ascii="Times New Roman" w:hAnsi="Times New Roman" w:eastAsia="仿宋_GB2312" w:cs="仿宋_GB2312"/>
          <w:sz w:val="32"/>
          <w:szCs w:val="32"/>
          <w:highlight w:val="none"/>
        </w:rPr>
        <w:t>2.绩效评价对象</w:t>
      </w:r>
      <w:bookmarkEnd w:id="41"/>
      <w:bookmarkEnd w:id="42"/>
      <w:bookmarkEnd w:id="43"/>
      <w:bookmarkEnd w:id="44"/>
      <w:bookmarkEnd w:id="45"/>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计划生育奖励扶助项目实施单位为东丽区卫生健康委员会。</w:t>
      </w:r>
    </w:p>
    <w:p>
      <w:pPr>
        <w:spacing w:line="360" w:lineRule="auto"/>
        <w:ind w:firstLine="640" w:firstLineChars="200"/>
        <w:outlineLvl w:val="2"/>
        <w:rPr>
          <w:rFonts w:ascii="Times New Roman" w:hAnsi="Times New Roman" w:eastAsia="仿宋_GB2312" w:cs="仿宋_GB2312"/>
          <w:sz w:val="32"/>
          <w:szCs w:val="32"/>
          <w:highlight w:val="none"/>
        </w:rPr>
      </w:pPr>
      <w:bookmarkStart w:id="46" w:name="_Toc1674652191"/>
      <w:bookmarkStart w:id="47" w:name="_Toc2125399194"/>
      <w:bookmarkStart w:id="48" w:name="_Toc90889116"/>
      <w:bookmarkStart w:id="49" w:name="_Toc65847362"/>
      <w:bookmarkStart w:id="50" w:name="_Toc66801452"/>
      <w:r>
        <w:rPr>
          <w:rFonts w:hint="eastAsia" w:ascii="Times New Roman" w:hAnsi="Times New Roman" w:eastAsia="仿宋_GB2312" w:cs="仿宋_GB2312"/>
          <w:sz w:val="32"/>
          <w:szCs w:val="32"/>
          <w:highlight w:val="none"/>
        </w:rPr>
        <w:t>3.绩效评价范围</w:t>
      </w:r>
      <w:bookmarkEnd w:id="46"/>
      <w:bookmarkEnd w:id="47"/>
      <w:bookmarkEnd w:id="48"/>
      <w:bookmarkEnd w:id="49"/>
      <w:bookmarkEnd w:id="50"/>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本次绩效评价针对计划生育奖励扶助项目展开，主要评价内容及范围如下：</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（1）立项依据和立项程序情况；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（2）绩效目标和指标设定情况；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（3）预算编制和资金分配情况；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（4）资金管理和使用情况；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（5）相关制度办法的健全性及执行情况；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（6）实现的产出情况；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（7）取得的效益情况；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（8）其他相关内容。</w:t>
      </w:r>
    </w:p>
    <w:p>
      <w:pPr>
        <w:spacing w:line="360" w:lineRule="auto"/>
        <w:ind w:firstLine="0" w:firstLineChars="0"/>
        <w:outlineLvl w:val="1"/>
        <w:rPr>
          <w:rFonts w:ascii="楷体_GB2312" w:hAnsi="Times New Roman" w:eastAsia="楷体_GB2312" w:cs="仿宋_GB2312"/>
          <w:sz w:val="32"/>
          <w:szCs w:val="32"/>
          <w:highlight w:val="none"/>
        </w:rPr>
      </w:pPr>
      <w:bookmarkStart w:id="51" w:name="_Toc66801453"/>
      <w:bookmarkStart w:id="52" w:name="_Toc90889117"/>
      <w:bookmarkStart w:id="53" w:name="_Toc65847363"/>
      <w:bookmarkStart w:id="54" w:name="_Toc341269360"/>
      <w:bookmarkStart w:id="55" w:name="_Toc958696555"/>
      <w:r>
        <w:rPr>
          <w:rFonts w:hint="eastAsia" w:ascii="楷体_GB2312" w:hAnsi="Times New Roman" w:eastAsia="楷体_GB2312" w:cs="仿宋_GB2312"/>
          <w:sz w:val="32"/>
          <w:szCs w:val="32"/>
          <w:highlight w:val="none"/>
        </w:rPr>
        <w:t>（二）绩效评价原则、评价指标体系、评价方法与标准</w:t>
      </w:r>
      <w:bookmarkEnd w:id="51"/>
      <w:bookmarkEnd w:id="52"/>
      <w:bookmarkEnd w:id="53"/>
      <w:bookmarkEnd w:id="54"/>
      <w:bookmarkEnd w:id="55"/>
    </w:p>
    <w:p>
      <w:pPr>
        <w:spacing w:line="360" w:lineRule="auto"/>
        <w:ind w:firstLine="640" w:firstLineChars="200"/>
        <w:outlineLvl w:val="2"/>
        <w:rPr>
          <w:rFonts w:ascii="Times New Roman" w:hAnsi="Times New Roman" w:eastAsia="仿宋_GB2312" w:cs="仿宋_GB2312"/>
          <w:sz w:val="32"/>
          <w:szCs w:val="32"/>
          <w:highlight w:val="none"/>
        </w:rPr>
      </w:pPr>
      <w:bookmarkStart w:id="56" w:name="_Toc66801454"/>
      <w:bookmarkStart w:id="57" w:name="_Toc90889118"/>
      <w:bookmarkStart w:id="58" w:name="_Toc1932796030"/>
      <w:bookmarkStart w:id="59" w:name="_Toc65847364"/>
      <w:bookmarkStart w:id="60" w:name="_Toc243196444"/>
      <w:r>
        <w:rPr>
          <w:rFonts w:hint="eastAsia" w:ascii="Times New Roman" w:hAnsi="Times New Roman" w:eastAsia="仿宋_GB2312" w:cs="仿宋_GB2312"/>
          <w:sz w:val="32"/>
          <w:szCs w:val="32"/>
          <w:highlight w:val="none"/>
        </w:rPr>
        <w:t>1.绩效评价原则</w:t>
      </w:r>
      <w:bookmarkEnd w:id="56"/>
      <w:bookmarkEnd w:id="57"/>
      <w:bookmarkEnd w:id="58"/>
      <w:bookmarkEnd w:id="59"/>
      <w:bookmarkEnd w:id="60"/>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（1）坚持科学规范的原则。此次绩效评价运用科学合理的评价指标体系和方法，按照规范的程序，对支出绩效进行客观、公正的反映。</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坚持统筹兼顾的原则。单位自评、部门评价和财政评价各方职责明确，各有侧重，互相衔接。按照“谁支出、谁自评”的原则，绩效自评由项目单位自主实施，市级部门对部门本级和所属单位的绩效自评结果负责。此次评价我方作为第三方受委托机构开展绩效评价工作。</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（3）坚持激励约束的原则。本次绩效评价结果可以作为预算安排、政策调整、改进管理的参考，绩效评价工作将体现奖优罚劣和激励相容导向，有效要安排、低效要压减、无效要问责。</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（4）坚持公开透明的原则。承诺绩效评价结果依法依规公开，自觉接受有关机构和社会监督。</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（5）坚持综合绩效评价，定量分析与定性分析相结合的原则。</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（6）坚持绩效相关的原则。此次绩效评价将针对具体支出及其产出绩效进行，评价结果将清晰反映支出和产出绩效之间的紧密对应关系。</w:t>
      </w:r>
    </w:p>
    <w:p>
      <w:pPr>
        <w:spacing w:line="360" w:lineRule="auto"/>
        <w:ind w:firstLine="640" w:firstLineChars="200"/>
        <w:outlineLvl w:val="2"/>
        <w:rPr>
          <w:rFonts w:ascii="Times New Roman" w:hAnsi="Times New Roman" w:eastAsia="仿宋_GB2312" w:cs="仿宋_GB2312"/>
          <w:sz w:val="32"/>
          <w:szCs w:val="32"/>
          <w:highlight w:val="none"/>
        </w:rPr>
      </w:pPr>
      <w:bookmarkStart w:id="61" w:name="_Toc90889119"/>
      <w:bookmarkStart w:id="62" w:name="_Toc66801455"/>
      <w:bookmarkStart w:id="63" w:name="_Toc741254067"/>
      <w:bookmarkStart w:id="64" w:name="_Toc65847365"/>
      <w:bookmarkStart w:id="65" w:name="_Toc1665231688"/>
      <w:r>
        <w:rPr>
          <w:rFonts w:hint="eastAsia" w:ascii="Times New Roman" w:hAnsi="Times New Roman" w:eastAsia="仿宋_GB2312" w:cs="仿宋_GB2312"/>
          <w:sz w:val="32"/>
          <w:szCs w:val="32"/>
          <w:highlight w:val="none"/>
        </w:rPr>
        <w:t>2.绩效评价指标体系</w:t>
      </w:r>
      <w:bookmarkEnd w:id="61"/>
      <w:bookmarkEnd w:id="62"/>
      <w:bookmarkEnd w:id="63"/>
      <w:bookmarkEnd w:id="64"/>
      <w:bookmarkEnd w:id="65"/>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本项目绩效评价指标体系由决策、过程、产出及效益四部分指标构成，此体系满分100分（绩效评价指标体系详细见附件），其中：</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（1）决策指标（17分）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决策指标包括项目立项、绩效目标和资金投入3项二级指标、6项三级指标，总分合计17分。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①项目立项（4分）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立项依据充分性”、“立项程序规范性”2项三级指标。“立项依据充分性”指标评价项目立项是否符合国家法律法规、国民经济发展规划和相关政策，是否与部门职责范围相符，属于部门履职所需；是否属于公共财政支持范围；“立项程序规范性”指标评价项目是否按照规定的程序申请设立，审批文件、材料是否符合相关要求。</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②绩效目标（7分）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绩效目标合理性”、“绩效指标明确性”2项三级指标。“绩效目标合理性”指标评价项目是否有绩效目标（如未设定预算绩效目标，也可考核其他工作任务目标），项目绩效目标与实际工作内容是否具有相关性，项目预期产出效益和效果是否符合正常的业绩水平，是否与预算确定的项目投资额或资金量相匹配；“绩效指标明确性”指标评价项目是否将项目绩效目标细化分解为具体的绩效指标，是否通过清晰、可衡量的指标值予以体现，是否与项目目标任务数或计划数相对应。</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③资金投入（6分）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预算编制科学性”、“资金分配合理性”2项三级指标。“预算编制科学性”指标评价项目预算编制是否经过科学论证，预算内容与项目内容是否匹配，预算额度测算依据是否充分，是否按照标准编制，预算确定的项目投资额或资金量是否与工作任务相匹配；“资金分配合理性”指标评价项目预算资金分配依据是否充分，资金分配额度是否合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（2）过程指标（23分）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过程指标主要包括资金管理、组织管理2项二级指标，6项三级指标。</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①资金管理（16分）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资金到位率”、“资金到位及时率”、“预算执行率”、“资金使用合规性”4项三级指标。“资金到位率”指标通过实际到位资金与预算资金的比率考核资金落实情况；“资金到位及时率”指标通过及时到位资金与应到位资金的比率考核项目资金落实的及时性程度；“预算执行率”指标考核项目预算资金是否按照计划执行；“资金使用合规性”指标考核项目资金使用是否符合国家财经法规和财务管理制度以及有关专项资金管理办法的规定，资金的拨付是否有完整的审批程序和手续，是否符合项目预算批复或合同规定的用途，是否存在截留、挤占、挪用、虚列支出等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②组织实施（7分）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管理制度健全性”、“制度执行有效性”2项三级指标。“管理制度健全性”指标评价项目实施单位是否已制定或具有相应的财务和业务管理制度，与上位法要求是否相符，财务和业务管理制度是否合法、合规、完整；“制度执行有效性”指标评价项目实施是否遵守相关法律法规和相关管理规定，项目合同书、验收报告、技术鉴定等资料是否齐全并及时归档，是否符合政府采购相关政策。</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（3）产出指标（40分）</w:t>
      </w:r>
    </w:p>
    <w:p>
      <w:pPr>
        <w:spacing w:line="360" w:lineRule="auto"/>
        <w:ind w:firstLine="640" w:firstLineChars="200"/>
        <w:rPr>
          <w:rFonts w:ascii="Times New Roman" w:hAnsi="Times New Roman" w:eastAsia="仿宋_GB2312" w:cs="仿宋_GB2312"/>
          <w:sz w:val="32"/>
          <w:szCs w:val="32"/>
          <w:highlight w:val="none"/>
        </w:rPr>
      </w:pPr>
      <w:bookmarkStart w:id="66" w:name="_Hlk64725945"/>
      <w:r>
        <w:rPr>
          <w:rFonts w:hint="eastAsia" w:ascii="Times New Roman" w:hAnsi="Times New Roman" w:eastAsia="仿宋_GB2312" w:cs="仿宋_GB2312"/>
          <w:sz w:val="32"/>
          <w:szCs w:val="32"/>
          <w:highlight w:val="none"/>
        </w:rPr>
        <w:t>产出指标主要包括产出数量、产出质量、产出时效、产出成本4项二级指标，</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项三级指标。</w:t>
      </w:r>
      <w:bookmarkEnd w:id="66"/>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①产出数量（1</w:t>
      </w:r>
      <w:r>
        <w:rPr>
          <w:rFonts w:hint="eastAsia" w:ascii="Times New Roman" w:hAnsi="Times New Roman" w:eastAsia="仿宋_GB2312" w:cs="仿宋_GB2312"/>
          <w:sz w:val="32"/>
          <w:szCs w:val="32"/>
          <w:highlight w:val="none"/>
          <w:lang w:val="en-US" w:eastAsia="zh-CN"/>
        </w:rPr>
        <w:t>0</w:t>
      </w:r>
      <w:r>
        <w:rPr>
          <w:rFonts w:hint="eastAsia" w:ascii="Times New Roman" w:hAnsi="Times New Roman" w:eastAsia="仿宋_GB2312" w:cs="仿宋_GB2312"/>
          <w:sz w:val="32"/>
          <w:szCs w:val="32"/>
          <w:highlight w:val="none"/>
        </w:rPr>
        <w:t>分）</w:t>
      </w:r>
    </w:p>
    <w:p>
      <w:pPr>
        <w:spacing w:line="360" w:lineRule="auto"/>
        <w:ind w:firstLine="640" w:firstLineChars="200"/>
        <w:rPr>
          <w:rFonts w:hint="default"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rPr>
        <w:t>该指标包含“奖扶发放标准率”</w:t>
      </w:r>
      <w:r>
        <w:rPr>
          <w:rFonts w:hint="eastAsia" w:ascii="Times New Roman" w:hAnsi="Times New Roman" w:eastAsia="仿宋_GB2312" w:cs="仿宋_GB2312"/>
          <w:sz w:val="32"/>
          <w:szCs w:val="32"/>
          <w:highlight w:val="none"/>
          <w:lang w:eastAsia="zh-CN"/>
        </w:rPr>
        <w:t>1</w:t>
      </w:r>
      <w:r>
        <w:rPr>
          <w:rFonts w:hint="eastAsia" w:ascii="Times New Roman" w:hAnsi="Times New Roman" w:eastAsia="仿宋_GB2312" w:cs="仿宋_GB2312"/>
          <w:sz w:val="32"/>
          <w:szCs w:val="32"/>
          <w:highlight w:val="none"/>
        </w:rPr>
        <w:t>项三级指标。“奖扶发放标准率”指</w:t>
      </w:r>
      <w:r>
        <w:rPr>
          <w:rFonts w:hint="eastAsia" w:ascii="Times New Roman" w:hAnsi="Times New Roman" w:eastAsia="仿宋_GB2312" w:cs="仿宋_GB2312"/>
          <w:sz w:val="32"/>
          <w:szCs w:val="32"/>
          <w:highlight w:val="none"/>
          <w:lang w:val="en-US" w:eastAsia="zh-CN"/>
        </w:rPr>
        <w:t>奖扶工作的计划发放标准与实际发放标准的比率</w:t>
      </w:r>
      <w:r>
        <w:rPr>
          <w:rFonts w:hint="eastAsia" w:ascii="Times New Roman" w:hAnsi="Times New Roman" w:eastAsia="仿宋_GB2312" w:cs="仿宋_GB2312"/>
          <w:sz w:val="32"/>
          <w:szCs w:val="32"/>
          <w:highlight w:val="none"/>
        </w:rPr>
        <w:t>，用以</w:t>
      </w:r>
      <w:r>
        <w:rPr>
          <w:rFonts w:hint="eastAsia" w:ascii="Times New Roman" w:hAnsi="Times New Roman" w:eastAsia="仿宋_GB2312" w:cs="仿宋_GB2312"/>
          <w:sz w:val="32"/>
          <w:szCs w:val="32"/>
          <w:highlight w:val="none"/>
          <w:lang w:val="en-US" w:eastAsia="zh-CN"/>
        </w:rPr>
        <w:t>反应实际发放的标准偏离计划发放标准的偏差。</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②产出质量（1</w:t>
      </w:r>
      <w:r>
        <w:rPr>
          <w:rFonts w:hint="eastAsia" w:ascii="Times New Roman" w:hAnsi="Times New Roman" w:eastAsia="仿宋_GB2312" w:cs="仿宋_GB2312"/>
          <w:sz w:val="32"/>
          <w:szCs w:val="32"/>
          <w:highlight w:val="none"/>
          <w:lang w:val="en-US" w:eastAsia="zh-CN"/>
        </w:rPr>
        <w:t>4</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该指标包含“奖扶人数达成率”、</w:t>
      </w:r>
      <w:r>
        <w:rPr>
          <w:rFonts w:hint="eastAsia" w:ascii="Times New Roman" w:hAnsi="Times New Roman" w:eastAsia="仿宋_GB2312" w:cs="仿宋_GB2312"/>
          <w:sz w:val="32"/>
          <w:szCs w:val="32"/>
          <w:highlight w:val="none"/>
          <w:lang w:eastAsia="zh-CN"/>
        </w:rPr>
        <w:t>1</w:t>
      </w:r>
      <w:r>
        <w:rPr>
          <w:rFonts w:hint="eastAsia" w:ascii="Times New Roman" w:hAnsi="Times New Roman" w:eastAsia="仿宋_GB2312" w:cs="仿宋_GB2312"/>
          <w:sz w:val="32"/>
          <w:szCs w:val="32"/>
          <w:highlight w:val="none"/>
        </w:rPr>
        <w:t>项三级指标。</w:t>
      </w:r>
      <w:bookmarkStart w:id="67" w:name="_Hlk64725451"/>
      <w:r>
        <w:rPr>
          <w:rFonts w:hint="eastAsia" w:ascii="Times New Roman" w:hAnsi="Times New Roman" w:eastAsia="仿宋_GB2312" w:cs="仿宋_GB2312"/>
          <w:sz w:val="32"/>
          <w:szCs w:val="32"/>
          <w:highlight w:val="none"/>
        </w:rPr>
        <w:t>“奖扶人数达成率</w:t>
      </w:r>
      <w:bookmarkEnd w:id="67"/>
      <w:r>
        <w:rPr>
          <w:rFonts w:hint="eastAsia" w:ascii="Times New Roman" w:hAnsi="Times New Roman" w:eastAsia="仿宋_GB2312" w:cs="仿宋_GB2312"/>
          <w:sz w:val="32"/>
          <w:szCs w:val="32"/>
          <w:highlight w:val="none"/>
        </w:rPr>
        <w:t>”指奖扶工作的成功入账人数与抽查总人数的比率，用以反映和考核服务工作产出数量目标的实现程度。。③产出时效（</w:t>
      </w:r>
      <w:r>
        <w:rPr>
          <w:rFonts w:hint="eastAsia" w:ascii="Times New Roman" w:hAnsi="Times New Roman" w:eastAsia="仿宋_GB2312" w:cs="仿宋_GB2312"/>
          <w:sz w:val="32"/>
          <w:szCs w:val="32"/>
          <w:highlight w:val="none"/>
          <w:lang w:val="en-US" w:eastAsia="zh-CN"/>
        </w:rPr>
        <w:t>8</w:t>
      </w:r>
      <w:r>
        <w:rPr>
          <w:rFonts w:hint="eastAsia" w:ascii="Times New Roman" w:hAnsi="Times New Roman" w:eastAsia="仿宋_GB2312" w:cs="仿宋_GB2312"/>
          <w:sz w:val="32"/>
          <w:szCs w:val="32"/>
          <w:highlight w:val="none"/>
        </w:rPr>
        <w:t>分）</w:t>
      </w:r>
    </w:p>
    <w:p>
      <w:pPr>
        <w:spacing w:line="360" w:lineRule="auto"/>
        <w:ind w:firstLine="640" w:firstLineChars="200"/>
        <w:rPr>
          <w:rFonts w:hint="eastAsia" w:ascii="Times New Roman" w:hAnsi="Times New Roman" w:eastAsia="仿宋_GB2312" w:cs="仿宋_GB2312"/>
          <w:sz w:val="32"/>
          <w:szCs w:val="32"/>
          <w:highlight w:val="none"/>
        </w:rPr>
      </w:pPr>
      <w:bookmarkStart w:id="68" w:name="_Hlk64726037"/>
      <w:r>
        <w:rPr>
          <w:rFonts w:hint="eastAsia" w:ascii="Times New Roman" w:hAnsi="Times New Roman" w:eastAsia="仿宋_GB2312" w:cs="仿宋_GB2312"/>
          <w:sz w:val="32"/>
          <w:szCs w:val="32"/>
          <w:highlight w:val="none"/>
        </w:rPr>
        <w:t>该指标包含“奖扶补助金发放及时率”、</w:t>
      </w:r>
      <w:r>
        <w:rPr>
          <w:rFonts w:hint="eastAsia" w:ascii="Times New Roman" w:hAnsi="Times New Roman" w:eastAsia="仿宋_GB2312" w:cs="仿宋_GB2312"/>
          <w:sz w:val="32"/>
          <w:szCs w:val="32"/>
          <w:highlight w:val="none"/>
          <w:lang w:eastAsia="zh-CN"/>
        </w:rPr>
        <w:t>1</w:t>
      </w:r>
      <w:r>
        <w:rPr>
          <w:rFonts w:hint="eastAsia" w:ascii="Times New Roman" w:hAnsi="Times New Roman" w:eastAsia="仿宋_GB2312" w:cs="仿宋_GB2312"/>
          <w:sz w:val="32"/>
          <w:szCs w:val="32"/>
          <w:highlight w:val="none"/>
        </w:rPr>
        <w:t>项三级指标。</w:t>
      </w:r>
      <w:bookmarkEnd w:id="68"/>
      <w:r>
        <w:rPr>
          <w:rFonts w:hint="eastAsia" w:ascii="Times New Roman" w:hAnsi="Times New Roman" w:eastAsia="仿宋_GB2312" w:cs="仿宋_GB2312"/>
          <w:sz w:val="32"/>
          <w:szCs w:val="32"/>
          <w:highlight w:val="none"/>
        </w:rPr>
        <w:t>“奖扶补助金发放及时率”</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奖扶补助金实际完成时间与计划完成时间的比较，用以反映和考核该项目产出时效目标的实现程度。</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④产出成本（</w:t>
      </w:r>
      <w:r>
        <w:rPr>
          <w:rFonts w:hint="eastAsia" w:ascii="Times New Roman" w:hAnsi="Times New Roman" w:eastAsia="仿宋_GB2312" w:cs="仿宋_GB2312"/>
          <w:sz w:val="32"/>
          <w:szCs w:val="32"/>
          <w:highlight w:val="none"/>
          <w:lang w:val="en-US" w:eastAsia="zh-CN"/>
        </w:rPr>
        <w:t>8</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该指标包含“成本节约率”1项三级指标，反映项目成本节约程度。“成本节约率”指完成项目计划工作目标的实际节约成本与计划成本的比率，用以反映和考核项目的成本节约程度。</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（4）效益指标（20分）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该指标包含项目效益1项二级指标，2项二级指标。</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①项目效益（20分）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包含、“社会效益”、“受益群体满意度”2项三级指标。“社会效益”指项目实施后所产生的社会影响，用以反映和考核项目实施是否对居民生活起到改善作用。“受益群体满意度”指受益群体对项目实施效果的满意程度。一般采取问卷调查的方式。</w:t>
      </w:r>
    </w:p>
    <w:p>
      <w:pPr>
        <w:spacing w:line="360" w:lineRule="auto"/>
        <w:ind w:firstLine="640" w:firstLineChars="200"/>
        <w:outlineLvl w:val="2"/>
        <w:rPr>
          <w:rFonts w:ascii="Times New Roman" w:hAnsi="Times New Roman" w:eastAsia="仿宋_GB2312" w:cs="仿宋_GB2312"/>
          <w:sz w:val="32"/>
          <w:szCs w:val="32"/>
          <w:highlight w:val="none"/>
        </w:rPr>
      </w:pPr>
      <w:bookmarkStart w:id="69" w:name="_Toc66801456"/>
      <w:bookmarkStart w:id="70" w:name="_Toc1542092512"/>
      <w:bookmarkStart w:id="71" w:name="_Toc65847366"/>
      <w:bookmarkStart w:id="72" w:name="_Toc704467822"/>
      <w:bookmarkStart w:id="73" w:name="_Toc90889120"/>
      <w:r>
        <w:rPr>
          <w:rFonts w:hint="eastAsia" w:ascii="Times New Roman" w:hAnsi="Times New Roman" w:eastAsia="仿宋_GB2312" w:cs="仿宋_GB2312"/>
          <w:sz w:val="32"/>
          <w:szCs w:val="32"/>
          <w:highlight w:val="none"/>
        </w:rPr>
        <w:t>3.绩效评价方法与标准</w:t>
      </w:r>
      <w:bookmarkEnd w:id="69"/>
      <w:bookmarkEnd w:id="70"/>
      <w:bookmarkEnd w:id="71"/>
      <w:bookmarkEnd w:id="72"/>
      <w:bookmarkEnd w:id="73"/>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（1）绩效评价方法</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方法主要包括成本效益分析法、比较法、因素分析法、最低成本法、公众评判法、标杆管理法等。根据评价对象的具体情况，可采用一种或多种方法进行绩效评价。本项目绩效评价方法主要采用成本效益分析法，将评价期内的投入与产出、效益进行关联性分析。主要工作方法包括资料收集与数据填报、实地调研、问卷调查等相结合的方法开展评价工作，具体如下。</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资料收集与数据填报：对项目资料进行收集整理，以现场或非现场方式，通过询问、实地踏勘等形式，核查项目资料是否真实、合理，从而对项目做出初步的判断和评价。</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实地调研：本项目为确保评价结果客观真实，评价机构将深入被评价单位，对评价对象的建设情况、施工质量、财务管理制度的建立和健全情况、项目管理责任制的建立和落实情况、资金的使用情况进行实地检查和核实。</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问卷调查法：发放问卷调查是确保有关定性指标真实、准确的基础，主要由评价人员亲自发放和收回，不得经由评价客体内部人员间接发放或收回。问卷调查表的发放范围和数量由评价机构根据评价工作的实际情况确定。</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（2）绩效评价标准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绩效评价标准通常包括计划标准、行业标准、历史标准、国际标准等，用于对绩效指标完成情况进行比较。</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计划标准。指以预先制定的目标、计划、预算、定额等作为评价标准。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行业标准。指参照国家公布的行业指标数据制定的评价标准。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历史标准。指参照历史数据制定的评价标准，为体现绩效改进的原则，在可实现的条件下应当确定相对较高的评价标准。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国际标准。指参照其他国家同期发展水平或国际先进标准确定的评价标准。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财政部门和预算部门确认或认可的其他标准。</w:t>
      </w:r>
    </w:p>
    <w:p>
      <w:pPr>
        <w:spacing w:line="360" w:lineRule="auto"/>
        <w:ind w:firstLine="640" w:firstLineChars="200"/>
        <w:outlineLvl w:val="1"/>
        <w:rPr>
          <w:rFonts w:ascii="楷体_GB2312" w:hAnsi="Times New Roman" w:eastAsia="楷体_GB2312" w:cs="仿宋_GB2312"/>
          <w:sz w:val="32"/>
          <w:szCs w:val="32"/>
          <w:highlight w:val="none"/>
        </w:rPr>
      </w:pPr>
      <w:bookmarkStart w:id="74" w:name="_Toc913338443"/>
      <w:bookmarkStart w:id="75" w:name="_Toc65847367"/>
      <w:bookmarkStart w:id="76" w:name="_Toc90889121"/>
      <w:bookmarkStart w:id="77" w:name="_Toc66801457"/>
      <w:bookmarkStart w:id="78" w:name="_Toc2116197188"/>
      <w:r>
        <w:rPr>
          <w:rFonts w:hint="eastAsia" w:ascii="楷体_GB2312" w:hAnsi="Times New Roman" w:eastAsia="楷体_GB2312" w:cs="仿宋_GB2312"/>
          <w:sz w:val="32"/>
          <w:szCs w:val="32"/>
          <w:highlight w:val="none"/>
        </w:rPr>
        <w:t>（三）绩效评价工作过程</w:t>
      </w:r>
      <w:bookmarkEnd w:id="74"/>
      <w:bookmarkEnd w:id="75"/>
      <w:bookmarkEnd w:id="76"/>
      <w:bookmarkEnd w:id="77"/>
      <w:bookmarkEnd w:id="78"/>
    </w:p>
    <w:p>
      <w:pPr>
        <w:spacing w:line="360" w:lineRule="auto"/>
        <w:ind w:firstLine="640" w:firstLineChars="200"/>
        <w:outlineLvl w:val="2"/>
        <w:rPr>
          <w:rFonts w:ascii="Times New Roman" w:hAnsi="Times New Roman" w:eastAsia="仿宋_GB2312" w:cs="仿宋_GB2312"/>
          <w:sz w:val="32"/>
          <w:szCs w:val="32"/>
          <w:highlight w:val="none"/>
        </w:rPr>
      </w:pPr>
      <w:bookmarkStart w:id="79" w:name="_Toc90889122"/>
      <w:bookmarkStart w:id="80" w:name="_Toc266102745"/>
      <w:bookmarkStart w:id="81" w:name="_Toc65847368"/>
      <w:bookmarkStart w:id="82" w:name="_Toc301977102"/>
      <w:bookmarkStart w:id="83" w:name="_Toc66801458"/>
      <w:r>
        <w:rPr>
          <w:rFonts w:hint="eastAsia" w:ascii="Times New Roman" w:hAnsi="Times New Roman" w:eastAsia="仿宋_GB2312" w:cs="仿宋_GB2312"/>
          <w:sz w:val="32"/>
          <w:szCs w:val="32"/>
          <w:highlight w:val="none"/>
        </w:rPr>
        <w:t>1.评价工作准备阶段</w:t>
      </w:r>
      <w:bookmarkEnd w:id="79"/>
      <w:bookmarkEnd w:id="80"/>
      <w:bookmarkEnd w:id="81"/>
      <w:bookmarkEnd w:id="82"/>
      <w:bookmarkEnd w:id="83"/>
    </w:p>
    <w:p>
      <w:pPr>
        <w:spacing w:line="360" w:lineRule="auto"/>
        <w:ind w:firstLine="640" w:firstLineChars="200"/>
        <w:rPr>
          <w:rFonts w:ascii="Times New Roman" w:hAnsi="Times New Roman" w:eastAsia="仿宋_GB2312" w:cs="仿宋_GB2312"/>
          <w:sz w:val="32"/>
          <w:szCs w:val="32"/>
          <w:highlight w:val="none"/>
        </w:rPr>
      </w:pPr>
      <w:bookmarkStart w:id="84" w:name="_Hlk90830472"/>
      <w:r>
        <w:rPr>
          <w:rFonts w:hint="eastAsia" w:ascii="Times New Roman" w:hAnsi="Times New Roman" w:eastAsia="仿宋_GB2312" w:cs="仿宋_GB2312"/>
          <w:sz w:val="32"/>
          <w:szCs w:val="32"/>
          <w:highlight w:val="none"/>
        </w:rPr>
        <w:t>2021年</w:t>
      </w:r>
      <w:r>
        <w:rPr>
          <w:rFonts w:ascii="Times New Roman" w:hAnsi="Times New Roman" w:eastAsia="仿宋_GB2312" w:cs="仿宋_GB2312"/>
          <w:sz w:val="32"/>
          <w:szCs w:val="32"/>
          <w:highlight w:val="none"/>
        </w:rPr>
        <w:t>12</w:t>
      </w:r>
      <w:r>
        <w:rPr>
          <w:rFonts w:hint="eastAsia" w:ascii="Times New Roman" w:hAnsi="Times New Roman" w:eastAsia="仿宋_GB2312" w:cs="仿宋_GB2312"/>
          <w:sz w:val="32"/>
          <w:szCs w:val="32"/>
          <w:highlight w:val="none"/>
        </w:rPr>
        <w:t>月，绩效评价组赴东丽区卫生健康委员会，了解本项目的资金落实、业务管理、财务管理、项目产出、项目效益等方面的情况介绍，介绍了计划生育奖励扶助项目绩效评价工作的基本原则，对需配合单位及所需各类资料文件提出了要求。</w:t>
      </w:r>
      <w:bookmarkEnd w:id="84"/>
    </w:p>
    <w:p>
      <w:pPr>
        <w:spacing w:line="360" w:lineRule="auto"/>
        <w:ind w:firstLine="640" w:firstLineChars="200"/>
        <w:outlineLvl w:val="2"/>
        <w:rPr>
          <w:rFonts w:ascii="Times New Roman" w:hAnsi="Times New Roman" w:eastAsia="仿宋_GB2312" w:cs="仿宋_GB2312"/>
          <w:sz w:val="32"/>
          <w:szCs w:val="32"/>
          <w:highlight w:val="none"/>
        </w:rPr>
      </w:pPr>
      <w:bookmarkStart w:id="85" w:name="_Toc1327882161"/>
      <w:bookmarkStart w:id="86" w:name="_Toc90889123"/>
      <w:bookmarkStart w:id="87" w:name="_Toc825295453"/>
      <w:bookmarkStart w:id="88" w:name="_Toc65847369"/>
      <w:bookmarkStart w:id="89" w:name="_Toc66801459"/>
      <w:r>
        <w:rPr>
          <w:rFonts w:hint="eastAsia" w:ascii="Times New Roman" w:hAnsi="Times New Roman" w:eastAsia="仿宋_GB2312" w:cs="仿宋_GB2312"/>
          <w:sz w:val="32"/>
          <w:szCs w:val="32"/>
          <w:highlight w:val="none"/>
        </w:rPr>
        <w:t>2.评价工作实施阶段</w:t>
      </w:r>
      <w:bookmarkEnd w:id="85"/>
      <w:bookmarkEnd w:id="86"/>
      <w:bookmarkEnd w:id="87"/>
      <w:bookmarkEnd w:id="88"/>
      <w:bookmarkEnd w:id="89"/>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组进驻东丽卫健委进行沟通，收集项目基础资料，进行现场调研，开展绩效评价工作。绩效评价组编制评价工作实施方案，拟定需提交材料提纲，并向被评价单位发送资料清单。评价过程中，绩效评价组对计划生育奖励扶助项目的立项、资金投入、资金管理、组织实施、产出数量、产出质量、产出时效、产出成本情况进行了全面梳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绩效评价组根据</w:t>
      </w:r>
      <w:r>
        <w:rPr>
          <w:rFonts w:hint="eastAsia" w:ascii="Times New Roman" w:hAnsi="Times New Roman" w:eastAsia="仿宋_GB2312" w:cs="仿宋_GB2312"/>
          <w:sz w:val="32"/>
          <w:szCs w:val="32"/>
          <w:highlight w:val="none"/>
          <w:lang w:val="en-US" w:eastAsia="zh-CN"/>
        </w:rPr>
        <w:t>2020年8月10日</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东丽区卫健委党委会议纪要</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《计划生育奖励扶助项目支出绩效自评表》的内容，确定了计划生育奖励扶助项目政策方向及效果目标。</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绩效评价组进驻后现场实际查阅的计划生育奖励扶助项目专项经费使用情况，对项目立项情况、专项经费到位情况、专项经费支出范围和规范性、发放情况及完成情况进行了核查。</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绩效评价组实地核查了计划生育奖励扶助项目的开展情况及取得效益的实际情况，并通过对发放对象的实际调查，形成相关意见。</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绩效评价组依据绩效评价指标体系针对计划生育奖励扶助项目编制了工作底稿，对绩效考核分项表及绩效考核汇总表进行评分，拟定绩效评价报告，全面梳理项目取得的成效，并针对存在问题提出工作整改建议。</w:t>
      </w:r>
    </w:p>
    <w:p>
      <w:pPr>
        <w:autoSpaceDE w:val="0"/>
        <w:autoSpaceDN w:val="0"/>
        <w:adjustRightInd w:val="0"/>
        <w:spacing w:line="360" w:lineRule="auto"/>
        <w:ind w:firstLine="640" w:firstLineChars="200"/>
        <w:jc w:val="left"/>
        <w:outlineLvl w:val="0"/>
        <w:rPr>
          <w:rFonts w:ascii="Times New Roman" w:hAnsi="黑体" w:eastAsia="黑体" w:cs="黑体"/>
          <w:sz w:val="32"/>
          <w:szCs w:val="32"/>
          <w:highlight w:val="none"/>
        </w:rPr>
      </w:pPr>
      <w:bookmarkStart w:id="90" w:name="_Toc90889124"/>
      <w:bookmarkStart w:id="91" w:name="_Toc143802598"/>
      <w:bookmarkStart w:id="92" w:name="_Toc66801460"/>
      <w:bookmarkStart w:id="93" w:name="_Toc1065420303"/>
      <w:r>
        <w:rPr>
          <w:rFonts w:hint="eastAsia" w:ascii="Times New Roman" w:hAnsi="黑体" w:eastAsia="黑体" w:cs="黑体"/>
          <w:sz w:val="32"/>
          <w:szCs w:val="32"/>
          <w:highlight w:val="none"/>
        </w:rPr>
        <w:t>三、综合评价情况及评价结论</w:t>
      </w:r>
      <w:bookmarkEnd w:id="90"/>
      <w:bookmarkEnd w:id="91"/>
      <w:bookmarkEnd w:id="92"/>
      <w:bookmarkEnd w:id="93"/>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经综合评价，计划生育奖励扶助项目得分</w:t>
      </w:r>
      <w:r>
        <w:rPr>
          <w:rFonts w:hint="eastAsia" w:ascii="Times New Roman" w:hAnsi="Times New Roman" w:eastAsia="仿宋_GB2312" w:cs="仿宋_GB2312"/>
          <w:sz w:val="32"/>
          <w:szCs w:val="32"/>
          <w:highlight w:val="none"/>
          <w:lang w:val="en-US" w:eastAsia="zh-CN"/>
        </w:rPr>
        <w:t>83.58</w:t>
      </w:r>
      <w:r>
        <w:rPr>
          <w:rFonts w:hint="eastAsia" w:ascii="Times New Roman" w:hAnsi="Times New Roman" w:eastAsia="仿宋_GB2312" w:cs="仿宋_GB2312"/>
          <w:sz w:val="32"/>
          <w:szCs w:val="32"/>
          <w:highlight w:val="none"/>
        </w:rPr>
        <w:t xml:space="preserve">分，绩效级别为“良”。项目决策得分为  </w:t>
      </w:r>
      <w:r>
        <w:rPr>
          <w:rFonts w:hint="eastAsia" w:ascii="Times New Roman" w:hAnsi="Times New Roman" w:eastAsia="仿宋_GB2312" w:cs="仿宋_GB2312"/>
          <w:sz w:val="32"/>
          <w:szCs w:val="32"/>
          <w:highlight w:val="none"/>
          <w:lang w:val="en-US" w:eastAsia="zh-CN"/>
        </w:rPr>
        <w:t>10</w:t>
      </w:r>
      <w:r>
        <w:rPr>
          <w:rFonts w:hint="eastAsia" w:ascii="Times New Roman" w:hAnsi="Times New Roman" w:eastAsia="仿宋_GB2312" w:cs="仿宋_GB2312"/>
          <w:sz w:val="32"/>
          <w:szCs w:val="32"/>
          <w:highlight w:val="none"/>
        </w:rPr>
        <w:t xml:space="preserve">分、过程得分为 </w:t>
      </w:r>
      <w:r>
        <w:rPr>
          <w:rFonts w:hint="eastAsia" w:ascii="Times New Roman" w:hAnsi="Times New Roman" w:eastAsia="仿宋_GB2312" w:cs="仿宋_GB2312"/>
          <w:sz w:val="32"/>
          <w:szCs w:val="32"/>
          <w:highlight w:val="none"/>
          <w:lang w:val="en-US" w:eastAsia="zh-CN"/>
        </w:rPr>
        <w:t>14</w:t>
      </w:r>
      <w:r>
        <w:rPr>
          <w:rFonts w:hint="eastAsia" w:ascii="Times New Roman" w:hAnsi="Times New Roman" w:eastAsia="仿宋_GB2312" w:cs="仿宋_GB2312"/>
          <w:sz w:val="32"/>
          <w:szCs w:val="32"/>
          <w:highlight w:val="none"/>
        </w:rPr>
        <w:t xml:space="preserve"> 分、产出得分为</w:t>
      </w:r>
      <w:r>
        <w:rPr>
          <w:rFonts w:hint="eastAsia" w:ascii="Times New Roman" w:hAnsi="Times New Roman" w:eastAsia="仿宋_GB2312" w:cs="仿宋_GB2312"/>
          <w:sz w:val="32"/>
          <w:szCs w:val="32"/>
          <w:highlight w:val="none"/>
          <w:lang w:val="en-US" w:eastAsia="zh-CN"/>
        </w:rPr>
        <w:t>39.58</w:t>
      </w:r>
      <w:r>
        <w:rPr>
          <w:rFonts w:hint="eastAsia" w:ascii="Times New Roman" w:hAnsi="Times New Roman" w:eastAsia="仿宋_GB2312" w:cs="仿宋_GB2312"/>
          <w:sz w:val="32"/>
          <w:szCs w:val="32"/>
          <w:highlight w:val="none"/>
        </w:rPr>
        <w:t>分、效益得分为</w:t>
      </w:r>
      <w:r>
        <w:rPr>
          <w:rFonts w:hint="eastAsia" w:ascii="Times New Roman" w:hAnsi="Times New Roman" w:eastAsia="仿宋_GB2312" w:cs="仿宋_GB2312"/>
          <w:sz w:val="32"/>
          <w:szCs w:val="32"/>
          <w:highlight w:val="none"/>
          <w:lang w:val="en-US" w:eastAsia="zh-CN"/>
        </w:rPr>
        <w:t>20</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具体情况见表1：</w:t>
      </w:r>
    </w:p>
    <w:p>
      <w:pPr>
        <w:spacing w:line="360" w:lineRule="auto"/>
        <w:jc w:val="center"/>
        <w:rPr>
          <w:rFonts w:ascii="Times New Roman" w:hAnsi="Times New Roman" w:eastAsia="仿宋_GB2312" w:cs="Times New Roman"/>
          <w:b/>
          <w:bCs/>
          <w:sz w:val="24"/>
          <w:szCs w:val="24"/>
          <w:highlight w:val="none"/>
        </w:rPr>
      </w:pPr>
      <w:r>
        <w:rPr>
          <w:rFonts w:ascii="Times New Roman" w:hAnsi="Times New Roman" w:eastAsia="仿宋_GB2312" w:cs="Times New Roman"/>
          <w:b/>
          <w:bCs/>
          <w:sz w:val="24"/>
          <w:szCs w:val="24"/>
          <w:highlight w:val="none"/>
        </w:rPr>
        <w:t>表</w:t>
      </w:r>
      <w:r>
        <w:rPr>
          <w:rFonts w:hint="eastAsia" w:ascii="Times New Roman" w:hAnsi="Times New Roman" w:eastAsia="仿宋_GB2312" w:cs="Times New Roman"/>
          <w:b/>
          <w:bCs/>
          <w:sz w:val="24"/>
          <w:szCs w:val="24"/>
          <w:highlight w:val="none"/>
        </w:rPr>
        <w:t>1</w:t>
      </w:r>
      <w:r>
        <w:rPr>
          <w:rFonts w:ascii="Times New Roman" w:hAnsi="Times New Roman" w:eastAsia="仿宋_GB2312" w:cs="Times New Roman"/>
          <w:b/>
          <w:bCs/>
          <w:sz w:val="24"/>
          <w:szCs w:val="24"/>
          <w:highlight w:val="none"/>
        </w:rPr>
        <w:t xml:space="preserve">  </w:t>
      </w:r>
      <w:r>
        <w:rPr>
          <w:rFonts w:hint="eastAsia" w:ascii="Times New Roman" w:hAnsi="Times New Roman" w:eastAsia="仿宋_GB2312" w:cs="Times New Roman"/>
          <w:b/>
          <w:bCs/>
          <w:sz w:val="24"/>
          <w:szCs w:val="24"/>
          <w:highlight w:val="none"/>
        </w:rPr>
        <w:t>计划生育奖励扶助项目</w:t>
      </w:r>
      <w:r>
        <w:rPr>
          <w:rFonts w:ascii="Times New Roman" w:hAnsi="Times New Roman" w:eastAsia="仿宋_GB2312" w:cs="Times New Roman"/>
          <w:b/>
          <w:bCs/>
          <w:sz w:val="24"/>
          <w:szCs w:val="24"/>
          <w:highlight w:val="none"/>
        </w:rPr>
        <w:t>绩效得分情况表</w:t>
      </w:r>
    </w:p>
    <w:p>
      <w:pPr>
        <w:spacing w:line="360" w:lineRule="auto"/>
        <w:jc w:val="right"/>
        <w:rPr>
          <w:rFonts w:ascii="Times New Roman" w:hAnsi="Times New Roman" w:eastAsia="仿宋_GB2312" w:cs="Times New Roman"/>
          <w:b/>
          <w:bCs/>
          <w:sz w:val="24"/>
          <w:szCs w:val="24"/>
          <w:highlight w:val="none"/>
        </w:rPr>
      </w:pPr>
      <w:r>
        <w:rPr>
          <w:rFonts w:ascii="Times New Roman" w:hAnsi="Times New Roman" w:eastAsia="仿宋_GB2312" w:cs="Times New Roman"/>
          <w:b/>
          <w:bCs/>
          <w:sz w:val="24"/>
          <w:szCs w:val="24"/>
          <w:highlight w:val="none"/>
        </w:rPr>
        <w:t>单位：分值</w:t>
      </w:r>
    </w:p>
    <w:tbl>
      <w:tblPr>
        <w:tblStyle w:val="19"/>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24"/>
        <w:gridCol w:w="1519"/>
        <w:gridCol w:w="1519"/>
        <w:gridCol w:w="1519"/>
        <w:gridCol w:w="1519"/>
        <w:gridCol w:w="122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
                <w:kern w:val="0"/>
                <w:sz w:val="20"/>
                <w:szCs w:val="21"/>
                <w:highlight w:val="none"/>
              </w:rPr>
            </w:pPr>
            <w:r>
              <w:rPr>
                <w:rFonts w:hint="eastAsia" w:ascii="仿宋_GB2312" w:hAnsi="Times New Roman" w:eastAsia="仿宋_GB2312" w:cs="Times New Roman"/>
                <w:b/>
                <w:kern w:val="0"/>
                <w:sz w:val="20"/>
                <w:szCs w:val="21"/>
                <w:highlight w:val="none"/>
              </w:rPr>
              <w:t>指标</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highlight w:val="none"/>
              </w:rPr>
            </w:pPr>
            <w:r>
              <w:rPr>
                <w:rFonts w:hint="eastAsia" w:ascii="仿宋_GB2312" w:hAnsi="Times New Roman" w:eastAsia="仿宋_GB2312" w:cs="Times New Roman"/>
                <w:b/>
                <w:kern w:val="0"/>
                <w:sz w:val="20"/>
                <w:szCs w:val="21"/>
                <w:highlight w:val="none"/>
              </w:rPr>
              <w:t>项目决策</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highlight w:val="none"/>
              </w:rPr>
            </w:pPr>
            <w:r>
              <w:rPr>
                <w:rFonts w:hint="eastAsia" w:ascii="仿宋_GB2312" w:hAnsi="Times New Roman" w:eastAsia="仿宋_GB2312" w:cs="Times New Roman"/>
                <w:b/>
                <w:kern w:val="0"/>
                <w:sz w:val="20"/>
                <w:szCs w:val="21"/>
                <w:highlight w:val="none"/>
              </w:rPr>
              <w:t>项目过程</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highlight w:val="none"/>
              </w:rPr>
            </w:pPr>
            <w:r>
              <w:rPr>
                <w:rFonts w:hint="eastAsia" w:ascii="仿宋_GB2312" w:hAnsi="Times New Roman" w:eastAsia="仿宋_GB2312" w:cs="Times New Roman"/>
                <w:b/>
                <w:kern w:val="0"/>
                <w:sz w:val="20"/>
                <w:szCs w:val="21"/>
                <w:highlight w:val="none"/>
              </w:rPr>
              <w:t>项目产出</w:t>
            </w:r>
          </w:p>
        </w:tc>
        <w:tc>
          <w:tcPr>
            <w:tcW w:w="891" w:type="pct"/>
            <w:shd w:val="clear" w:color="auto" w:fill="auto"/>
            <w:vAlign w:val="center"/>
          </w:tcPr>
          <w:p>
            <w:pPr>
              <w:adjustRightInd w:val="0"/>
              <w:snapToGrid w:val="0"/>
              <w:jc w:val="center"/>
              <w:rPr>
                <w:rFonts w:ascii="仿宋_GB2312" w:hAnsi="Times New Roman" w:eastAsia="仿宋_GB2312" w:cs="Times New Roman"/>
                <w:b/>
                <w:kern w:val="0"/>
                <w:sz w:val="20"/>
                <w:szCs w:val="21"/>
                <w:highlight w:val="none"/>
              </w:rPr>
            </w:pPr>
            <w:r>
              <w:rPr>
                <w:rFonts w:hint="eastAsia" w:ascii="仿宋_GB2312" w:hAnsi="Times New Roman" w:eastAsia="仿宋_GB2312" w:cs="Times New Roman"/>
                <w:b/>
                <w:kern w:val="0"/>
                <w:sz w:val="20"/>
                <w:szCs w:val="21"/>
                <w:highlight w:val="none"/>
              </w:rPr>
              <w:t>项目效益</w:t>
            </w:r>
          </w:p>
        </w:tc>
        <w:tc>
          <w:tcPr>
            <w:tcW w:w="717" w:type="pct"/>
            <w:shd w:val="clear" w:color="auto" w:fill="auto"/>
            <w:vAlign w:val="center"/>
          </w:tcPr>
          <w:p>
            <w:pPr>
              <w:adjustRightInd w:val="0"/>
              <w:snapToGrid w:val="0"/>
              <w:jc w:val="center"/>
              <w:rPr>
                <w:rFonts w:ascii="仿宋_GB2312" w:hAnsi="Times New Roman" w:eastAsia="仿宋_GB2312" w:cs="Times New Roman"/>
                <w:b/>
                <w:kern w:val="0"/>
                <w:sz w:val="20"/>
                <w:szCs w:val="21"/>
                <w:highlight w:val="none"/>
              </w:rPr>
            </w:pPr>
            <w:r>
              <w:rPr>
                <w:rFonts w:hint="eastAsia" w:ascii="仿宋_GB2312" w:hAnsi="Times New Roman" w:eastAsia="仿宋_GB2312" w:cs="Times New Roman"/>
                <w:b/>
                <w:kern w:val="0"/>
                <w:sz w:val="20"/>
                <w:szCs w:val="21"/>
                <w:highlight w:val="none"/>
              </w:rPr>
              <w:t>合计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Cs/>
                <w:kern w:val="0"/>
                <w:sz w:val="20"/>
                <w:szCs w:val="21"/>
                <w:highlight w:val="none"/>
              </w:rPr>
            </w:pPr>
            <w:r>
              <w:rPr>
                <w:rFonts w:hint="eastAsia" w:ascii="仿宋_GB2312" w:hAnsi="Times New Roman" w:eastAsia="仿宋_GB2312" w:cs="Times New Roman"/>
                <w:bCs/>
                <w:kern w:val="0"/>
                <w:sz w:val="20"/>
                <w:szCs w:val="21"/>
                <w:highlight w:val="none"/>
              </w:rPr>
              <w:t>分值</w:t>
            </w:r>
          </w:p>
        </w:tc>
        <w:tc>
          <w:tcPr>
            <w:tcW w:w="891" w:type="pct"/>
            <w:shd w:val="clear" w:color="auto" w:fill="auto"/>
            <w:vAlign w:val="center"/>
          </w:tcPr>
          <w:p>
            <w:pPr>
              <w:adjustRightInd w:val="0"/>
              <w:snapToGrid w:val="0"/>
              <w:jc w:val="center"/>
              <w:rPr>
                <w:rFonts w:hint="default" w:ascii="Times New Roman" w:hAnsi="Times New Roman" w:eastAsia="仿宋_GB2312" w:cs="Times New Roman"/>
                <w:bCs/>
                <w:kern w:val="0"/>
                <w:sz w:val="20"/>
                <w:szCs w:val="21"/>
                <w:highlight w:val="none"/>
                <w:lang w:val="en-US" w:eastAsia="zh-CN"/>
              </w:rPr>
            </w:pPr>
            <w:r>
              <w:rPr>
                <w:rFonts w:hint="eastAsia" w:ascii="Times New Roman" w:hAnsi="Times New Roman" w:eastAsia="仿宋_GB2312" w:cs="Times New Roman"/>
                <w:bCs/>
                <w:kern w:val="0"/>
                <w:sz w:val="20"/>
                <w:szCs w:val="21"/>
                <w:highlight w:val="none"/>
                <w:lang w:val="en-US" w:eastAsia="zh-CN"/>
              </w:rPr>
              <w:t>17</w:t>
            </w:r>
          </w:p>
        </w:tc>
        <w:tc>
          <w:tcPr>
            <w:tcW w:w="891" w:type="pct"/>
            <w:shd w:val="clear" w:color="auto" w:fill="auto"/>
            <w:vAlign w:val="center"/>
          </w:tcPr>
          <w:p>
            <w:pPr>
              <w:adjustRightInd w:val="0"/>
              <w:snapToGrid w:val="0"/>
              <w:jc w:val="center"/>
              <w:rPr>
                <w:rFonts w:hint="default" w:ascii="Times New Roman" w:hAnsi="Times New Roman" w:eastAsia="仿宋_GB2312" w:cs="Times New Roman"/>
                <w:bCs/>
                <w:kern w:val="0"/>
                <w:sz w:val="20"/>
                <w:szCs w:val="21"/>
                <w:highlight w:val="none"/>
                <w:lang w:val="en-US" w:eastAsia="zh-CN"/>
              </w:rPr>
            </w:pPr>
            <w:r>
              <w:rPr>
                <w:rFonts w:hint="eastAsia" w:ascii="Times New Roman" w:hAnsi="Times New Roman" w:eastAsia="仿宋_GB2312" w:cs="Times New Roman"/>
                <w:bCs/>
                <w:kern w:val="0"/>
                <w:sz w:val="20"/>
                <w:szCs w:val="21"/>
                <w:highlight w:val="none"/>
                <w:lang w:val="en-US" w:eastAsia="zh-CN"/>
              </w:rPr>
              <w:t>23</w:t>
            </w:r>
          </w:p>
        </w:tc>
        <w:tc>
          <w:tcPr>
            <w:tcW w:w="891" w:type="pct"/>
            <w:shd w:val="clear" w:color="auto" w:fill="auto"/>
            <w:vAlign w:val="center"/>
          </w:tcPr>
          <w:p>
            <w:pPr>
              <w:adjustRightInd w:val="0"/>
              <w:snapToGrid w:val="0"/>
              <w:jc w:val="center"/>
              <w:rPr>
                <w:rFonts w:hint="default" w:ascii="Times New Roman" w:hAnsi="Times New Roman" w:eastAsia="仿宋_GB2312" w:cs="Times New Roman"/>
                <w:bCs/>
                <w:kern w:val="0"/>
                <w:sz w:val="20"/>
                <w:szCs w:val="21"/>
                <w:highlight w:val="none"/>
                <w:lang w:val="en-US" w:eastAsia="zh-CN"/>
              </w:rPr>
            </w:pPr>
            <w:r>
              <w:rPr>
                <w:rFonts w:hint="eastAsia" w:ascii="Times New Roman" w:hAnsi="Times New Roman" w:eastAsia="仿宋_GB2312" w:cs="Times New Roman"/>
                <w:bCs/>
                <w:kern w:val="0"/>
                <w:sz w:val="20"/>
                <w:szCs w:val="21"/>
                <w:highlight w:val="none"/>
                <w:lang w:val="en-US" w:eastAsia="zh-CN"/>
              </w:rPr>
              <w:t>40</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ascii="Times New Roman" w:hAnsi="Times New Roman" w:eastAsia="仿宋_GB2312" w:cs="Times New Roman"/>
                <w:bCs/>
                <w:kern w:val="0"/>
                <w:sz w:val="20"/>
                <w:szCs w:val="21"/>
                <w:highlight w:val="none"/>
              </w:rPr>
              <w:t>20</w:t>
            </w:r>
          </w:p>
        </w:tc>
        <w:tc>
          <w:tcPr>
            <w:tcW w:w="717"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ascii="Times New Roman" w:hAnsi="Times New Roman" w:eastAsia="仿宋_GB2312" w:cs="Times New Roman"/>
                <w:bCs/>
                <w:kern w:val="0"/>
                <w:sz w:val="20"/>
                <w:szCs w:val="21"/>
                <w:highlight w:val="none"/>
              </w:rPr>
              <w:t>100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Cs/>
                <w:kern w:val="0"/>
                <w:sz w:val="20"/>
                <w:szCs w:val="21"/>
                <w:highlight w:val="none"/>
              </w:rPr>
            </w:pPr>
            <w:r>
              <w:rPr>
                <w:rFonts w:hint="eastAsia" w:ascii="仿宋_GB2312" w:hAnsi="Times New Roman" w:eastAsia="仿宋_GB2312" w:cs="Times New Roman"/>
                <w:bCs/>
                <w:kern w:val="0"/>
                <w:sz w:val="20"/>
                <w:szCs w:val="21"/>
                <w:highlight w:val="none"/>
              </w:rPr>
              <w:t>得分</w:t>
            </w:r>
          </w:p>
        </w:tc>
        <w:tc>
          <w:tcPr>
            <w:tcW w:w="1519" w:type="dxa"/>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eastAsia="仿宋_GB2312" w:cs="Times New Roman"/>
                <w:bCs/>
                <w:kern w:val="0"/>
                <w:sz w:val="20"/>
                <w:szCs w:val="21"/>
                <w:highlight w:val="none"/>
                <w:lang w:val="en-US" w:eastAsia="zh-CN"/>
              </w:rPr>
              <w:t>10</w:t>
            </w:r>
          </w:p>
        </w:tc>
        <w:tc>
          <w:tcPr>
            <w:tcW w:w="1519" w:type="dxa"/>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eastAsia="仿宋_GB2312" w:cs="Times New Roman"/>
                <w:bCs/>
                <w:kern w:val="0"/>
                <w:sz w:val="20"/>
                <w:szCs w:val="21"/>
                <w:highlight w:val="none"/>
                <w:lang w:val="en-US" w:eastAsia="zh-CN"/>
              </w:rPr>
              <w:t>14</w:t>
            </w:r>
          </w:p>
        </w:tc>
        <w:tc>
          <w:tcPr>
            <w:tcW w:w="1519" w:type="dxa"/>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eastAsia="仿宋_GB2312" w:cs="Times New Roman"/>
                <w:bCs/>
                <w:kern w:val="0"/>
                <w:sz w:val="20"/>
                <w:szCs w:val="21"/>
                <w:highlight w:val="none"/>
                <w:lang w:val="en-US" w:eastAsia="zh-CN"/>
              </w:rPr>
              <w:t>39.58</w:t>
            </w:r>
          </w:p>
        </w:tc>
        <w:tc>
          <w:tcPr>
            <w:tcW w:w="1519" w:type="dxa"/>
            <w:shd w:val="clear" w:color="auto" w:fill="auto"/>
            <w:vAlign w:val="center"/>
          </w:tcPr>
          <w:p>
            <w:pPr>
              <w:adjustRightInd w:val="0"/>
              <w:snapToGrid w:val="0"/>
              <w:jc w:val="center"/>
              <w:rPr>
                <w:rFonts w:ascii="Times New Roman" w:hAnsi="Times New Roman" w:cs="Times New Roman"/>
                <w:color w:val="000000"/>
                <w:kern w:val="0"/>
                <w:sz w:val="20"/>
                <w:szCs w:val="20"/>
                <w:highlight w:val="none"/>
              </w:rPr>
            </w:pPr>
            <w:r>
              <w:rPr>
                <w:rFonts w:ascii="Times New Roman" w:hAnsi="Times New Roman" w:eastAsia="仿宋_GB2312" w:cs="Times New Roman"/>
                <w:bCs/>
                <w:kern w:val="0"/>
                <w:sz w:val="20"/>
                <w:szCs w:val="21"/>
                <w:highlight w:val="none"/>
              </w:rPr>
              <w:t>20</w:t>
            </w:r>
          </w:p>
        </w:tc>
        <w:tc>
          <w:tcPr>
            <w:tcW w:w="717" w:type="pct"/>
            <w:shd w:val="clear" w:color="auto" w:fill="auto"/>
            <w:vAlign w:val="center"/>
          </w:tcPr>
          <w:p>
            <w:pPr>
              <w:adjustRightInd w:val="0"/>
              <w:snapToGrid w:val="0"/>
              <w:jc w:val="center"/>
              <w:rPr>
                <w:rFonts w:hint="default" w:ascii="Times New Roman" w:hAnsi="Times New Roman" w:cs="Times New Roman" w:eastAsiaTheme="minorEastAsia"/>
                <w:bCs/>
                <w:kern w:val="0"/>
                <w:sz w:val="20"/>
                <w:szCs w:val="21"/>
                <w:highlight w:val="none"/>
                <w:lang w:val="en-US" w:eastAsia="zh-CN"/>
              </w:rPr>
            </w:pPr>
            <w:r>
              <w:rPr>
                <w:rFonts w:hint="eastAsia" w:ascii="Times New Roman" w:hAnsi="Times New Roman" w:cs="Times New Roman"/>
                <w:color w:val="000000"/>
                <w:kern w:val="0"/>
                <w:sz w:val="20"/>
                <w:szCs w:val="20"/>
                <w:highlight w:val="none"/>
                <w:lang w:val="en-US" w:eastAsia="zh-CN"/>
              </w:rPr>
              <w:t>83.58</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19" w:type="pct"/>
            <w:shd w:val="clear" w:color="auto" w:fill="auto"/>
            <w:vAlign w:val="center"/>
          </w:tcPr>
          <w:p>
            <w:pPr>
              <w:adjustRightInd w:val="0"/>
              <w:snapToGrid w:val="0"/>
              <w:jc w:val="center"/>
              <w:rPr>
                <w:rFonts w:ascii="仿宋_GB2312" w:hAnsi="Times New Roman" w:eastAsia="仿宋_GB2312" w:cs="Times New Roman"/>
                <w:bCs/>
                <w:kern w:val="0"/>
                <w:sz w:val="20"/>
                <w:szCs w:val="21"/>
                <w:highlight w:val="none"/>
              </w:rPr>
            </w:pPr>
            <w:r>
              <w:rPr>
                <w:rFonts w:hint="eastAsia" w:ascii="仿宋_GB2312" w:hAnsi="Times New Roman" w:eastAsia="仿宋_GB2312" w:cs="Times New Roman"/>
                <w:bCs/>
                <w:kern w:val="0"/>
                <w:sz w:val="20"/>
                <w:szCs w:val="21"/>
                <w:highlight w:val="none"/>
              </w:rPr>
              <w:t>得分率</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cs="Times New Roman"/>
                <w:color w:val="000000"/>
                <w:kern w:val="0"/>
                <w:sz w:val="20"/>
                <w:szCs w:val="20"/>
                <w:highlight w:val="none"/>
                <w:lang w:val="en-US" w:eastAsia="zh-CN"/>
              </w:rPr>
              <w:t>58.8</w:t>
            </w:r>
            <w:r>
              <w:rPr>
                <w:rFonts w:ascii="Times New Roman" w:hAnsi="Times New Roman" w:cs="Times New Roman"/>
                <w:color w:val="000000"/>
                <w:kern w:val="0"/>
                <w:sz w:val="20"/>
                <w:szCs w:val="20"/>
                <w:highlight w:val="none"/>
              </w:rPr>
              <w:t>%</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cs="Times New Roman"/>
                <w:color w:val="000000"/>
                <w:kern w:val="0"/>
                <w:sz w:val="20"/>
                <w:szCs w:val="20"/>
                <w:highlight w:val="none"/>
                <w:lang w:val="en-US" w:eastAsia="zh-CN"/>
              </w:rPr>
              <w:t>60.87</w:t>
            </w:r>
            <w:r>
              <w:rPr>
                <w:rFonts w:ascii="Times New Roman" w:hAnsi="Times New Roman" w:cs="Times New Roman"/>
                <w:color w:val="000000"/>
                <w:kern w:val="0"/>
                <w:sz w:val="20"/>
                <w:szCs w:val="20"/>
                <w:highlight w:val="none"/>
              </w:rPr>
              <w:t>%</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cs="Times New Roman"/>
                <w:color w:val="000000"/>
                <w:kern w:val="0"/>
                <w:sz w:val="20"/>
                <w:szCs w:val="20"/>
                <w:highlight w:val="none"/>
                <w:lang w:val="en-US" w:eastAsia="zh-CN"/>
              </w:rPr>
              <w:t>98.95</w:t>
            </w:r>
            <w:r>
              <w:rPr>
                <w:rFonts w:ascii="Times New Roman" w:hAnsi="Times New Roman" w:cs="Times New Roman"/>
                <w:color w:val="000000"/>
                <w:kern w:val="0"/>
                <w:sz w:val="20"/>
                <w:szCs w:val="20"/>
                <w:highlight w:val="none"/>
              </w:rPr>
              <w:t>%</w:t>
            </w:r>
          </w:p>
        </w:tc>
        <w:tc>
          <w:tcPr>
            <w:tcW w:w="891"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cs="Times New Roman"/>
                <w:color w:val="000000"/>
                <w:kern w:val="0"/>
                <w:sz w:val="20"/>
                <w:szCs w:val="20"/>
                <w:highlight w:val="none"/>
                <w:lang w:val="en-US" w:eastAsia="zh-CN"/>
              </w:rPr>
              <w:t>100</w:t>
            </w:r>
            <w:r>
              <w:rPr>
                <w:rFonts w:ascii="Times New Roman" w:hAnsi="Times New Roman" w:cs="Times New Roman"/>
                <w:color w:val="000000"/>
                <w:kern w:val="0"/>
                <w:sz w:val="20"/>
                <w:szCs w:val="20"/>
                <w:highlight w:val="none"/>
              </w:rPr>
              <w:t>%</w:t>
            </w:r>
          </w:p>
        </w:tc>
        <w:tc>
          <w:tcPr>
            <w:tcW w:w="717" w:type="pct"/>
            <w:shd w:val="clear" w:color="auto" w:fill="auto"/>
            <w:vAlign w:val="center"/>
          </w:tcPr>
          <w:p>
            <w:pPr>
              <w:adjustRightInd w:val="0"/>
              <w:snapToGrid w:val="0"/>
              <w:jc w:val="center"/>
              <w:rPr>
                <w:rFonts w:ascii="Times New Roman" w:hAnsi="Times New Roman" w:eastAsia="仿宋_GB2312" w:cs="Times New Roman"/>
                <w:bCs/>
                <w:kern w:val="0"/>
                <w:sz w:val="20"/>
                <w:szCs w:val="21"/>
                <w:highlight w:val="none"/>
              </w:rPr>
            </w:pPr>
            <w:r>
              <w:rPr>
                <w:rFonts w:hint="eastAsia" w:ascii="Times New Roman" w:hAnsi="Times New Roman" w:cs="Times New Roman"/>
                <w:color w:val="000000"/>
                <w:kern w:val="0"/>
                <w:sz w:val="20"/>
                <w:szCs w:val="20"/>
                <w:highlight w:val="none"/>
                <w:lang w:val="en-US" w:eastAsia="zh-CN"/>
              </w:rPr>
              <w:t>83.58</w:t>
            </w:r>
            <w:r>
              <w:rPr>
                <w:rFonts w:ascii="Times New Roman" w:hAnsi="Times New Roman" w:cs="Times New Roman"/>
                <w:color w:val="000000"/>
                <w:kern w:val="0"/>
                <w:sz w:val="20"/>
                <w:szCs w:val="20"/>
                <w:highlight w:val="none"/>
              </w:rPr>
              <w:t>%</w:t>
            </w:r>
          </w:p>
        </w:tc>
      </w:tr>
    </w:tbl>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评价结论：本项目决策依据较规范，政策落实到位，资金使用流程比较规范，项目产出目标完成，但在绩效指标制定、预算编制、制度执行有效性方面还需要进一步提升。</w:t>
      </w:r>
      <w:r>
        <w:rPr>
          <w:rFonts w:ascii="Times New Roman" w:hAnsi="Times New Roman" w:eastAsia="仿宋_GB2312" w:cs="仿宋_GB2312"/>
          <w:sz w:val="32"/>
          <w:szCs w:val="32"/>
          <w:highlight w:val="none"/>
        </w:rPr>
        <w:br w:type="page"/>
      </w:r>
    </w:p>
    <w:p>
      <w:pPr>
        <w:autoSpaceDE w:val="0"/>
        <w:autoSpaceDN w:val="0"/>
        <w:adjustRightInd w:val="0"/>
        <w:spacing w:line="360" w:lineRule="auto"/>
        <w:ind w:firstLine="640" w:firstLineChars="200"/>
        <w:jc w:val="left"/>
        <w:outlineLvl w:val="0"/>
        <w:rPr>
          <w:rFonts w:ascii="Times New Roman" w:hAnsi="黑体" w:eastAsia="黑体" w:cs="黑体"/>
          <w:sz w:val="32"/>
          <w:szCs w:val="32"/>
          <w:highlight w:val="none"/>
        </w:rPr>
      </w:pPr>
      <w:bookmarkStart w:id="94" w:name="_Toc66801461"/>
      <w:bookmarkStart w:id="95" w:name="_Toc971161711"/>
      <w:bookmarkStart w:id="96" w:name="_Toc90889125"/>
      <w:bookmarkStart w:id="97" w:name="_Toc800383835"/>
      <w:r>
        <w:rPr>
          <w:rFonts w:hint="eastAsia" w:ascii="Times New Roman" w:hAnsi="黑体" w:eastAsia="黑体" w:cs="黑体"/>
          <w:sz w:val="32"/>
          <w:szCs w:val="32"/>
          <w:highlight w:val="none"/>
        </w:rPr>
        <w:t>四、绩效评价指标分析</w:t>
      </w:r>
      <w:bookmarkEnd w:id="94"/>
      <w:bookmarkEnd w:id="95"/>
      <w:bookmarkEnd w:id="96"/>
      <w:bookmarkEnd w:id="97"/>
    </w:p>
    <w:p>
      <w:pPr>
        <w:spacing w:line="360" w:lineRule="auto"/>
        <w:ind w:firstLine="640" w:firstLineChars="200"/>
        <w:outlineLvl w:val="1"/>
        <w:rPr>
          <w:rFonts w:ascii="楷体_GB2312" w:hAnsi="Times New Roman" w:eastAsia="楷体_GB2312" w:cs="仿宋_GB2312"/>
          <w:sz w:val="32"/>
          <w:szCs w:val="32"/>
          <w:highlight w:val="none"/>
        </w:rPr>
      </w:pPr>
      <w:bookmarkStart w:id="98" w:name="_Toc1439159577"/>
      <w:bookmarkStart w:id="99" w:name="_Toc66801462"/>
      <w:bookmarkStart w:id="100" w:name="_Toc213550037"/>
      <w:bookmarkStart w:id="101" w:name="_Toc90889126"/>
      <w:r>
        <w:rPr>
          <w:rFonts w:hint="eastAsia" w:ascii="楷体_GB2312" w:hAnsi="Times New Roman" w:eastAsia="楷体_GB2312" w:cs="仿宋_GB2312"/>
          <w:sz w:val="32"/>
          <w:szCs w:val="32"/>
          <w:highlight w:val="none"/>
        </w:rPr>
        <w:t>（一）项目决策情况</w:t>
      </w:r>
      <w:bookmarkEnd w:id="98"/>
      <w:bookmarkEnd w:id="99"/>
      <w:bookmarkEnd w:id="100"/>
      <w:bookmarkEnd w:id="101"/>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决策指标主要包括项目立项、绩效目标、资金投入3项二级指标，6项三级指标，基础总分17分，合计得分</w:t>
      </w:r>
      <w:r>
        <w:rPr>
          <w:rFonts w:hint="eastAsia" w:ascii="Times New Roman" w:hAnsi="Times New Roman" w:eastAsia="仿宋_GB2312" w:cs="仿宋_GB2312"/>
          <w:sz w:val="32"/>
          <w:szCs w:val="32"/>
          <w:highlight w:val="none"/>
          <w:lang w:val="en-US" w:eastAsia="zh-CN"/>
        </w:rPr>
        <w:t>10</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02" w:name="_Toc66801463"/>
      <w:bookmarkStart w:id="103" w:name="_Toc690297722"/>
      <w:bookmarkStart w:id="104" w:name="_Toc90889127"/>
      <w:bookmarkStart w:id="105" w:name="_Toc846694478"/>
      <w:r>
        <w:rPr>
          <w:rFonts w:hint="eastAsia" w:ascii="Times New Roman" w:hAnsi="Times New Roman" w:eastAsia="仿宋_GB2312" w:cs="仿宋_GB2312"/>
          <w:sz w:val="32"/>
          <w:szCs w:val="32"/>
          <w:highlight w:val="none"/>
        </w:rPr>
        <w:t>1.项目立项</w:t>
      </w:r>
      <w:bookmarkEnd w:id="102"/>
      <w:bookmarkEnd w:id="103"/>
      <w:bookmarkEnd w:id="104"/>
      <w:bookmarkEnd w:id="105"/>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（1）立项依据充分性（总分2分，得分</w:t>
      </w:r>
      <w:r>
        <w:rPr>
          <w:rFonts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《天津市农村部分计划生育家庭奖励扶助制度实施方案（试行）通知》（津政办发2005〔67</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）内容：对农村部分计划生育家庭实施奖励扶助，以此带动其他的帮扶活动，引导基础干部寓管理于服务之中。</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中共东丽区委东丽区人民政府关于全面加强人口和计划生育工作统筹解决人口问题的实施意见</w:t>
      </w:r>
      <w:r>
        <w:rPr>
          <w:rFonts w:hint="eastAsia" w:ascii="Times New Roman" w:hAnsi="Times New Roman" w:eastAsia="仿宋_GB2312" w:cs="仿宋_GB2312"/>
          <w:sz w:val="32"/>
          <w:szCs w:val="32"/>
          <w:highlight w:val="none"/>
        </w:rPr>
        <w:t>》（津丽党发（2008）30号）内容：加大人口和计划生育事业保障力度，对人口和计划生育事业的公共投入，是保稳定、促发展的基础性投入。要从经费保障、基础设施、队伍建设等方面加大投入，确保我区人口和计划生育事业健康发展。</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东丽区人民政府关于印发东丽区社会保障和救助体系的通知》东丽政发〔2020〕3号内容：农村部分计划生育家庭奖励扶助。对于东丽区农业户籍，或转非未转工且具有农村集体经济组织成员资格的计划生育家庭，同时具备以下条件的，每人每月享受100元的奖励扶助金，直至终身（没有违反计划生育法律、法规、规章或政策规定生育）；现有一个子女或子女死亡现无子女；1933年1月1日以后出生且年满60周岁。</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属于计划生育奖励扶助，为奖励支持国家计划生育政策的居民，积极开展本项目的落实。符合国家法律法规、国民经济发展规划和相关政策，与部门职责范围相符，属于部门履职所需，属于公共财政支持范围，立项依据比较充分。该指标得分为</w:t>
      </w:r>
      <w:r>
        <w:rPr>
          <w:rFonts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（2）立项程序规范性（总分2分，得分</w:t>
      </w:r>
      <w:r>
        <w:rPr>
          <w:rFonts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依据《东丽区卫</w:t>
      </w:r>
      <w:r>
        <w:rPr>
          <w:rFonts w:hint="eastAsia" w:ascii="Times New Roman" w:hAnsi="Times New Roman" w:eastAsia="仿宋_GB2312" w:cs="仿宋_GB2312"/>
          <w:sz w:val="32"/>
          <w:szCs w:val="32"/>
          <w:highlight w:val="none"/>
          <w:lang w:eastAsia="zh-CN"/>
        </w:rPr>
        <w:t>健</w:t>
      </w:r>
      <w:r>
        <w:rPr>
          <w:rFonts w:hint="eastAsia" w:ascii="Times New Roman" w:hAnsi="Times New Roman" w:eastAsia="仿宋_GB2312" w:cs="仿宋_GB2312"/>
          <w:sz w:val="32"/>
          <w:szCs w:val="32"/>
          <w:highlight w:val="none"/>
        </w:rPr>
        <w:t>委党委会议纪要》（2020年8月20日）“会议同意报复计划生育佳通特别扶助及奖励扶助资金，其中特别扶助人员1323人，自建1037.304万元；奖励扶助13735人，资金1648.2万元，合计2685.504万元。资金来源市区两级财政资金。”本项目立项程序比较规范。</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w:t>
      </w:r>
      <w:r>
        <w:rPr>
          <w:rFonts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06" w:name="_Toc1127152560"/>
      <w:bookmarkStart w:id="107" w:name="_Toc66801464"/>
      <w:bookmarkStart w:id="108" w:name="_Toc90889128"/>
      <w:bookmarkStart w:id="109" w:name="_Toc1167446724"/>
      <w:r>
        <w:rPr>
          <w:rFonts w:hint="eastAsia" w:ascii="Times New Roman" w:hAnsi="Times New Roman" w:eastAsia="仿宋_GB2312" w:cs="仿宋_GB2312"/>
          <w:sz w:val="32"/>
          <w:szCs w:val="32"/>
          <w:highlight w:val="none"/>
        </w:rPr>
        <w:t>2.绩效目标</w:t>
      </w:r>
      <w:bookmarkEnd w:id="106"/>
      <w:bookmarkEnd w:id="107"/>
      <w:bookmarkEnd w:id="108"/>
      <w:bookmarkEnd w:id="109"/>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（1）绩效目标合理性（总分4分，得分</w:t>
      </w:r>
      <w:r>
        <w:rPr>
          <w:rFonts w:hint="eastAsia" w:ascii="Times New Roman" w:hAnsi="Times New Roman" w:eastAsia="仿宋_GB2312" w:cs="仿宋_GB2312"/>
          <w:sz w:val="32"/>
          <w:szCs w:val="32"/>
          <w:highlight w:val="none"/>
          <w:lang w:val="en-US" w:eastAsia="zh-CN"/>
        </w:rPr>
        <w:t>3</w:t>
      </w:r>
      <w:bookmarkStart w:id="198" w:name="_GoBack"/>
      <w:bookmarkEnd w:id="198"/>
      <w:r>
        <w:rPr>
          <w:rFonts w:hint="eastAsia" w:ascii="Times New Roman" w:hAnsi="Times New Roman" w:eastAsia="仿宋_GB2312" w:cs="仿宋_GB2312"/>
          <w:sz w:val="32"/>
          <w:szCs w:val="32"/>
          <w:highlight w:val="none"/>
        </w:rPr>
        <w:t>分）</w:t>
      </w:r>
    </w:p>
    <w:p>
      <w:pPr>
        <w:spacing w:line="360" w:lineRule="auto"/>
        <w:ind w:firstLine="640" w:firstLineChars="200"/>
        <w:rPr>
          <w:rFonts w:hint="default"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rPr>
        <w:t>依据《计划生育奖励扶助项目绩效自评表》</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相关凭证、会议纪要</w:t>
      </w:r>
      <w:r>
        <w:rPr>
          <w:rFonts w:hint="eastAsia" w:ascii="Times New Roman" w:hAnsi="Times New Roman" w:eastAsia="仿宋_GB2312" w:cs="仿宋_GB2312"/>
          <w:sz w:val="32"/>
          <w:szCs w:val="32"/>
          <w:highlight w:val="none"/>
        </w:rPr>
        <w:t>，本项目绩效目标为：</w:t>
      </w:r>
      <w:r>
        <w:rPr>
          <w:rFonts w:hint="eastAsia" w:ascii="Times New Roman" w:hAnsi="Times New Roman" w:eastAsia="仿宋_GB2312" w:cs="仿宋_GB2312"/>
          <w:sz w:val="32"/>
          <w:szCs w:val="32"/>
          <w:highlight w:val="none"/>
          <w:lang w:val="en-US" w:eastAsia="zh-CN"/>
        </w:rPr>
        <w:t>按照每人1200元/年的标准向符合标准的</w:t>
      </w:r>
      <w:r>
        <w:rPr>
          <w:rFonts w:hint="eastAsia" w:ascii="Times New Roman" w:hAnsi="Times New Roman" w:eastAsia="仿宋_GB2312" w:cs="仿宋_GB2312"/>
          <w:sz w:val="32"/>
          <w:szCs w:val="32"/>
          <w:highlight w:val="none"/>
        </w:rPr>
        <w:t>农村部分计划生育家庭</w:t>
      </w:r>
      <w:r>
        <w:rPr>
          <w:rFonts w:hint="eastAsia" w:ascii="Times New Roman" w:hAnsi="Times New Roman" w:eastAsia="仿宋_GB2312" w:cs="仿宋_GB2312"/>
          <w:sz w:val="32"/>
          <w:szCs w:val="32"/>
          <w:highlight w:val="none"/>
          <w:lang w:val="en-US" w:eastAsia="zh-CN"/>
        </w:rPr>
        <w:t>和</w:t>
      </w:r>
      <w:r>
        <w:rPr>
          <w:rFonts w:hint="eastAsia" w:ascii="Times New Roman" w:hAnsi="Times New Roman" w:eastAsia="仿宋_GB2312" w:cs="仿宋_GB2312"/>
          <w:sz w:val="32"/>
          <w:szCs w:val="32"/>
          <w:highlight w:val="none"/>
        </w:rPr>
        <w:t>农转非未转工计划生育家庭</w:t>
      </w:r>
      <w:r>
        <w:rPr>
          <w:rFonts w:hint="eastAsia" w:ascii="Times New Roman" w:hAnsi="Times New Roman" w:eastAsia="仿宋_GB2312" w:cs="仿宋_GB2312"/>
          <w:sz w:val="32"/>
          <w:szCs w:val="32"/>
          <w:highlight w:val="none"/>
          <w:lang w:val="en-US" w:eastAsia="zh-CN"/>
        </w:rPr>
        <w:t>发放</w:t>
      </w:r>
      <w:r>
        <w:rPr>
          <w:rFonts w:hint="eastAsia" w:ascii="Times New Roman" w:hAnsi="Times New Roman" w:eastAsia="仿宋_GB2312" w:cs="仿宋_GB2312"/>
          <w:sz w:val="32"/>
          <w:szCs w:val="32"/>
          <w:highlight w:val="none"/>
        </w:rPr>
        <w:t>奖励扶助金</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lang w:val="en-US" w:eastAsia="zh-CN"/>
        </w:rPr>
        <w:t>项目会议纪要的预算数与实际预算数有偏差。</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 xml:space="preserve"> 但</w:t>
      </w:r>
      <w:r>
        <w:rPr>
          <w:rFonts w:hint="eastAsia" w:ascii="Times New Roman" w:hAnsi="Times New Roman" w:eastAsia="仿宋_GB2312" w:cs="仿宋_GB2312"/>
          <w:sz w:val="32"/>
          <w:szCs w:val="32"/>
          <w:highlight w:val="none"/>
        </w:rPr>
        <w:t>项目绩效目标与东丽卫健委的实际工作具有相关性，预期产出与效果内容比较合理，与预算的资金量比较匹配。本项目绩效目标比较合理。</w:t>
      </w:r>
    </w:p>
    <w:p>
      <w:pPr>
        <w:spacing w:line="360" w:lineRule="auto"/>
        <w:ind w:firstLine="640" w:firstLineChars="200"/>
        <w:rPr>
          <w:rFonts w:ascii="Times New Roman" w:hAnsi="Times New Roman" w:eastAsia="仿宋_GB2312" w:cs="仿宋_GB2312"/>
          <w:color w:val="FF0000"/>
          <w:sz w:val="32"/>
          <w:szCs w:val="32"/>
          <w:highlight w:val="none"/>
        </w:rPr>
      </w:pPr>
      <w:r>
        <w:rPr>
          <w:rFonts w:hint="eastAsia" w:ascii="Times New Roman" w:hAnsi="Times New Roman" w:eastAsia="仿宋_GB2312" w:cs="仿宋_GB2312"/>
          <w:sz w:val="32"/>
          <w:szCs w:val="32"/>
          <w:highlight w:val="none"/>
        </w:rPr>
        <w:t>该指标得分为</w:t>
      </w:r>
      <w:r>
        <w:rPr>
          <w:rFonts w:hint="eastAsia" w:ascii="Times New Roman" w:hAnsi="Times New Roman" w:eastAsia="仿宋_GB2312" w:cs="仿宋_GB2312"/>
          <w:sz w:val="32"/>
          <w:szCs w:val="32"/>
          <w:highlight w:val="none"/>
          <w:lang w:val="en-US" w:eastAsia="zh-CN"/>
        </w:rPr>
        <w:t>3</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（2）绩效目标明确性（总分3分，得分</w:t>
      </w:r>
      <w:r>
        <w:rPr>
          <w:rFonts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依据《计划生育奖励扶助项目绩效自评表》以及</w:t>
      </w:r>
      <w:r>
        <w:rPr>
          <w:rFonts w:hint="eastAsia" w:ascii="Times New Roman" w:hAnsi="Times New Roman" w:eastAsia="仿宋_GB2312" w:cs="仿宋_GB2312"/>
          <w:sz w:val="32"/>
          <w:szCs w:val="32"/>
          <w:highlight w:val="none"/>
          <w:lang w:val="en-US" w:eastAsia="zh-CN"/>
        </w:rPr>
        <w:t>会议纪要、相关凭证</w:t>
      </w:r>
      <w:r>
        <w:rPr>
          <w:rFonts w:hint="eastAsia" w:ascii="Times New Roman" w:hAnsi="Times New Roman" w:eastAsia="仿宋_GB2312" w:cs="仿宋_GB2312"/>
          <w:sz w:val="32"/>
          <w:szCs w:val="32"/>
          <w:highlight w:val="none"/>
        </w:rPr>
        <w:t>，本项目绩效目标细化分解为具体的绩效指标，与项目目标任务数相对应。但是，“质量指标-符合人员补贴发放率≥90%”指标值较低，“时效指标-扶助金发放及时率 年底前完成”指标值不具体。本项目个别绩效指标不清晰、可衡量性不足。</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w:t>
      </w:r>
      <w:r>
        <w:rPr>
          <w:rFonts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10" w:name="_Toc1099825733"/>
      <w:bookmarkStart w:id="111" w:name="_Toc1866491276"/>
      <w:bookmarkStart w:id="112" w:name="_Toc90889129"/>
      <w:bookmarkStart w:id="113" w:name="_Toc66801465"/>
      <w:r>
        <w:rPr>
          <w:rFonts w:hint="eastAsia" w:ascii="Times New Roman" w:hAnsi="Times New Roman" w:eastAsia="仿宋_GB2312" w:cs="仿宋_GB2312"/>
          <w:sz w:val="32"/>
          <w:szCs w:val="32"/>
          <w:highlight w:val="none"/>
        </w:rPr>
        <w:t>3.资金投入</w:t>
      </w:r>
      <w:bookmarkEnd w:id="110"/>
      <w:bookmarkEnd w:id="111"/>
      <w:bookmarkEnd w:id="112"/>
      <w:bookmarkEnd w:id="113"/>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（1）预算编制科学性（总分4分，得分</w:t>
      </w:r>
      <w:r>
        <w:rPr>
          <w:rFonts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根据2020年8月25日《财政授权支付额度到账通知书》，内容：您单位08月份的授权支付额度财政局已经批准，特予通知。科目名称为计划生育服务，项目为计划生育家庭扶助项目。零余额账户到账额度1234.584万元</w:t>
      </w:r>
    </w:p>
    <w:p>
      <w:pPr>
        <w:spacing w:line="360" w:lineRule="auto"/>
        <w:ind w:firstLine="640" w:firstLineChars="200"/>
        <w:rPr>
          <w:rFonts w:hint="eastAsia" w:ascii="Times New Roman" w:hAnsi="Times New Roman" w:eastAsia="仿宋_GB2312" w:cs="仿宋_GB2312"/>
          <w:sz w:val="32"/>
          <w:szCs w:val="32"/>
          <w:highlight w:val="none"/>
          <w:lang w:eastAsia="zh-CN"/>
        </w:rPr>
      </w:pPr>
      <w:r>
        <w:rPr>
          <w:rFonts w:hint="eastAsia" w:ascii="Times New Roman" w:hAnsi="Times New Roman" w:eastAsia="仿宋_GB2312" w:cs="仿宋_GB2312"/>
          <w:sz w:val="32"/>
          <w:szCs w:val="32"/>
          <w:highlight w:val="none"/>
          <w:lang w:val="en-US" w:eastAsia="zh-CN"/>
        </w:rPr>
        <w:t>根据财务凭证</w:t>
      </w:r>
      <w:r>
        <w:rPr>
          <w:rFonts w:hint="eastAsia" w:ascii="Times New Roman" w:hAnsi="Times New Roman" w:eastAsia="仿宋_GB2312" w:cs="仿宋_GB2312"/>
          <w:sz w:val="32"/>
          <w:szCs w:val="32"/>
          <w:highlight w:val="none"/>
        </w:rPr>
        <w:t>2</w:t>
      </w:r>
      <w:r>
        <w:rPr>
          <w:rFonts w:ascii="Times New Roman" w:hAnsi="Times New Roman" w:eastAsia="仿宋_GB2312" w:cs="仿宋_GB2312"/>
          <w:sz w:val="32"/>
          <w:szCs w:val="32"/>
          <w:highlight w:val="none"/>
        </w:rPr>
        <w:t>020</w:t>
      </w:r>
      <w:r>
        <w:rPr>
          <w:rFonts w:hint="eastAsia" w:ascii="Times New Roman" w:hAnsi="Times New Roman" w:eastAsia="仿宋_GB2312" w:cs="仿宋_GB2312"/>
          <w:sz w:val="32"/>
          <w:szCs w:val="32"/>
          <w:highlight w:val="none"/>
        </w:rPr>
        <w:t>年，东丽卫健委按照项目的预算已经全部发放完毕</w:t>
      </w:r>
      <w:r>
        <w:rPr>
          <w:rFonts w:hint="eastAsia" w:ascii="Times New Roman" w:hAnsi="Times New Roman" w:eastAsia="仿宋_GB2312" w:cs="仿宋_GB2312"/>
          <w:sz w:val="32"/>
          <w:szCs w:val="32"/>
          <w:highlight w:val="none"/>
          <w:lang w:eastAsia="zh-CN"/>
        </w:rPr>
        <w:t>。</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本项目无预算编制相关资料。依据《东丽区人民政府关于印发东丽区社会保障和救助体系的通知》（东丽政发〔2020〕3号）预算经费用于本项目有关人员奖励支出，考虑</w:t>
      </w:r>
      <w:r>
        <w:rPr>
          <w:rFonts w:hint="eastAsia" w:ascii="Times New Roman" w:hAnsi="Times New Roman" w:eastAsia="仿宋_GB2312" w:cs="仿宋_GB2312"/>
          <w:sz w:val="32"/>
          <w:szCs w:val="32"/>
          <w:highlight w:val="none"/>
          <w:lang w:val="en-US" w:eastAsia="zh-CN"/>
        </w:rPr>
        <w:t>抽查</w:t>
      </w:r>
      <w:r>
        <w:rPr>
          <w:rFonts w:hint="eastAsia" w:ascii="Times New Roman" w:hAnsi="Times New Roman" w:eastAsia="仿宋_GB2312" w:cs="仿宋_GB2312"/>
          <w:sz w:val="32"/>
          <w:szCs w:val="32"/>
          <w:highlight w:val="none"/>
        </w:rPr>
        <w:t>项目奖励扶助的人数数量，资金量与工作任务</w:t>
      </w:r>
      <w:r>
        <w:rPr>
          <w:rFonts w:hint="eastAsia" w:ascii="Times New Roman" w:hAnsi="Times New Roman" w:eastAsia="仿宋_GB2312" w:cs="仿宋_GB2312"/>
          <w:sz w:val="32"/>
          <w:szCs w:val="32"/>
          <w:highlight w:val="none"/>
          <w:lang w:val="en-US" w:eastAsia="zh-CN"/>
        </w:rPr>
        <w:t>有一定的</w:t>
      </w:r>
      <w:r>
        <w:rPr>
          <w:rFonts w:hint="eastAsia" w:ascii="Times New Roman" w:hAnsi="Times New Roman" w:eastAsia="仿宋_GB2312" w:cs="仿宋_GB2312"/>
          <w:sz w:val="32"/>
          <w:szCs w:val="32"/>
          <w:highlight w:val="none"/>
        </w:rPr>
        <w:t>匹配</w:t>
      </w:r>
      <w:r>
        <w:rPr>
          <w:rFonts w:hint="eastAsia" w:ascii="Times New Roman" w:hAnsi="Times New Roman" w:eastAsia="仿宋_GB2312" w:cs="仿宋_GB2312"/>
          <w:sz w:val="32"/>
          <w:szCs w:val="32"/>
          <w:highlight w:val="none"/>
          <w:lang w:val="en-US" w:eastAsia="zh-CN"/>
        </w:rPr>
        <w:t>性</w:t>
      </w:r>
      <w:r>
        <w:rPr>
          <w:rFonts w:hint="eastAsia" w:ascii="Times New Roman" w:hAnsi="Times New Roman" w:eastAsia="仿宋_GB2312" w:cs="仿宋_GB2312"/>
          <w:sz w:val="32"/>
          <w:szCs w:val="32"/>
          <w:highlight w:val="none"/>
        </w:rPr>
        <w:t>。</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w:t>
      </w:r>
      <w:r>
        <w:rPr>
          <w:rFonts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（2）资金分配合理性（总分2分，得分</w:t>
      </w:r>
      <w:r>
        <w:rPr>
          <w:rFonts w:hint="eastAsia" w:ascii="Times New Roman" w:hAnsi="Times New Roman" w:eastAsia="仿宋_GB2312" w:cs="仿宋_GB2312"/>
          <w:sz w:val="32"/>
          <w:szCs w:val="32"/>
          <w:highlight w:val="none"/>
          <w:lang w:val="en-US" w:eastAsia="zh-CN"/>
        </w:rPr>
        <w:t>0</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依据</w:t>
      </w:r>
      <w:r>
        <w:rPr>
          <w:rFonts w:ascii="Times New Roman" w:hAnsi="Times New Roman" w:eastAsia="仿宋_GB2312" w:cs="仿宋_GB2312"/>
          <w:sz w:val="32"/>
          <w:szCs w:val="32"/>
          <w:highlight w:val="none"/>
        </w:rPr>
        <w:t>2020年</w:t>
      </w:r>
      <w:r>
        <w:rPr>
          <w:rFonts w:hint="eastAsia" w:ascii="Times New Roman" w:hAnsi="Times New Roman" w:eastAsia="仿宋_GB2312" w:cs="仿宋_GB2312"/>
          <w:sz w:val="32"/>
          <w:szCs w:val="32"/>
          <w:highlight w:val="none"/>
        </w:rPr>
        <w:t>8</w:t>
      </w:r>
      <w:r>
        <w:rPr>
          <w:rFonts w:ascii="Times New Roman" w:hAnsi="Times New Roman" w:eastAsia="仿宋_GB2312" w:cs="仿宋_GB2312"/>
          <w:sz w:val="32"/>
          <w:szCs w:val="32"/>
          <w:highlight w:val="none"/>
        </w:rPr>
        <w:t>月</w:t>
      </w:r>
      <w:r>
        <w:rPr>
          <w:rFonts w:hint="eastAsia" w:ascii="Times New Roman" w:hAnsi="Times New Roman" w:eastAsia="仿宋_GB2312" w:cs="仿宋_GB2312"/>
          <w:sz w:val="32"/>
          <w:szCs w:val="32"/>
          <w:highlight w:val="none"/>
        </w:rPr>
        <w:t>25</w:t>
      </w:r>
      <w:r>
        <w:rPr>
          <w:rFonts w:ascii="Times New Roman" w:hAnsi="Times New Roman" w:eastAsia="仿宋_GB2312" w:cs="仿宋_GB2312"/>
          <w:sz w:val="32"/>
          <w:szCs w:val="32"/>
          <w:highlight w:val="none"/>
        </w:rPr>
        <w:t>日</w:t>
      </w:r>
      <w:r>
        <w:rPr>
          <w:rFonts w:hint="eastAsia" w:ascii="Times New Roman" w:hAnsi="Times New Roman" w:eastAsia="仿宋_GB2312" w:cs="仿宋_GB2312"/>
          <w:sz w:val="32"/>
          <w:szCs w:val="32"/>
          <w:highlight w:val="none"/>
        </w:rPr>
        <w:t>《财政授权支付额度到账通知书》，本项目预算为1234.584万</w:t>
      </w:r>
      <w:r>
        <w:rPr>
          <w:rFonts w:ascii="Times New Roman" w:hAnsi="Times New Roman" w:eastAsia="仿宋_GB2312" w:cs="仿宋_GB2312"/>
          <w:sz w:val="32"/>
          <w:szCs w:val="32"/>
          <w:highlight w:val="none"/>
        </w:rPr>
        <w:t>元</w:t>
      </w:r>
      <w:r>
        <w:rPr>
          <w:rFonts w:hint="eastAsia" w:ascii="Times New Roman" w:hAnsi="Times New Roman" w:eastAsia="仿宋_GB2312" w:cs="仿宋_GB2312"/>
          <w:sz w:val="32"/>
          <w:szCs w:val="32"/>
          <w:highlight w:val="none"/>
        </w:rPr>
        <w:t>，实际到位资金1234.584万</w:t>
      </w:r>
      <w:r>
        <w:rPr>
          <w:rFonts w:ascii="Times New Roman" w:hAnsi="Times New Roman" w:eastAsia="仿宋_GB2312" w:cs="仿宋_GB2312"/>
          <w:sz w:val="32"/>
          <w:szCs w:val="32"/>
          <w:highlight w:val="none"/>
        </w:rPr>
        <w:t>元</w:t>
      </w:r>
      <w:r>
        <w:rPr>
          <w:rFonts w:hint="eastAsia" w:ascii="Times New Roman" w:hAnsi="Times New Roman" w:eastAsia="仿宋_GB2312" w:cs="仿宋_GB2312"/>
          <w:sz w:val="32"/>
          <w:szCs w:val="32"/>
          <w:highlight w:val="none"/>
        </w:rPr>
        <w:t>名称为计划生育服务，用于计划生育奖励扶助项目。</w:t>
      </w:r>
    </w:p>
    <w:p>
      <w:pPr>
        <w:spacing w:line="360" w:lineRule="auto"/>
        <w:ind w:firstLine="640" w:firstLineChars="20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highlight w:val="none"/>
        </w:rPr>
        <w:t>依据项目财务凭证与《东丽区卫健委党委会议纪要》（2020年8月10日），奖励扶助13735人，实际用款1234.584万元</w:t>
      </w:r>
      <w:r>
        <w:rPr>
          <w:rFonts w:ascii="Times New Roman" w:hAnsi="Times New Roman" w:eastAsia="仿宋_GB2312" w:cs="仿宋_GB2312"/>
          <w:sz w:val="32"/>
          <w:szCs w:val="32"/>
          <w:highlight w:val="none"/>
        </w:rPr>
        <w:t>，按</w:t>
      </w:r>
      <w:r>
        <w:rPr>
          <w:rFonts w:hint="eastAsia" w:ascii="Times New Roman" w:hAnsi="Times New Roman" w:eastAsia="仿宋_GB2312" w:cs="仿宋_GB2312"/>
          <w:sz w:val="32"/>
          <w:szCs w:val="32"/>
          <w:highlight w:val="none"/>
        </w:rPr>
        <w:t>项目要求支付1234.584万元</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但每人的奖励扶助款项为1200元/年，</w:t>
      </w:r>
      <w:r>
        <w:rPr>
          <w:rFonts w:hint="eastAsia" w:ascii="Times New Roman" w:hAnsi="Times New Roman" w:eastAsia="仿宋_GB2312" w:cs="仿宋_GB2312"/>
          <w:sz w:val="32"/>
          <w:szCs w:val="32"/>
          <w:highlight w:val="none"/>
        </w:rPr>
        <w:t>本项目资金分配</w:t>
      </w:r>
      <w:r>
        <w:rPr>
          <w:rFonts w:hint="eastAsia" w:ascii="Times New Roman" w:hAnsi="Times New Roman" w:eastAsia="仿宋_GB2312" w:cs="仿宋_GB2312"/>
          <w:sz w:val="32"/>
          <w:szCs w:val="32"/>
          <w:highlight w:val="none"/>
          <w:lang w:val="en-US" w:eastAsia="zh-CN"/>
        </w:rPr>
        <w:t>不具合理性。</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lang w:val="en-US" w:eastAsia="zh-CN"/>
        </w:rPr>
        <w:t xml:space="preserve"> </w:t>
      </w:r>
      <w:r>
        <w:rPr>
          <w:rFonts w:hint="eastAsia" w:ascii="Times New Roman" w:hAnsi="Times New Roman" w:eastAsia="仿宋_GB2312" w:cs="仿宋_GB2312"/>
          <w:sz w:val="32"/>
          <w:szCs w:val="32"/>
          <w:highlight w:val="none"/>
        </w:rPr>
        <w:t>该指标得分为</w:t>
      </w:r>
      <w:r>
        <w:rPr>
          <w:rFonts w:hint="eastAsia" w:ascii="Times New Roman" w:hAnsi="Times New Roman" w:eastAsia="仿宋_GB2312" w:cs="仿宋_GB2312"/>
          <w:sz w:val="32"/>
          <w:szCs w:val="32"/>
          <w:highlight w:val="none"/>
          <w:lang w:val="en-US" w:eastAsia="zh-CN"/>
        </w:rPr>
        <w:t>0</w:t>
      </w:r>
      <w:r>
        <w:rPr>
          <w:rFonts w:hint="eastAsia" w:ascii="Times New Roman" w:hAnsi="Times New Roman" w:eastAsia="仿宋_GB2312" w:cs="仿宋_GB2312"/>
          <w:sz w:val="32"/>
          <w:szCs w:val="32"/>
          <w:highlight w:val="none"/>
        </w:rPr>
        <w:t>分。</w:t>
      </w:r>
    </w:p>
    <w:p>
      <w:pPr>
        <w:spacing w:line="360" w:lineRule="auto"/>
        <w:ind w:firstLine="640" w:firstLineChars="200"/>
        <w:outlineLvl w:val="1"/>
        <w:rPr>
          <w:rFonts w:ascii="楷体_GB2312" w:hAnsi="Times New Roman" w:eastAsia="楷体_GB2312" w:cs="仿宋_GB2312"/>
          <w:sz w:val="32"/>
          <w:szCs w:val="32"/>
          <w:highlight w:val="none"/>
        </w:rPr>
      </w:pPr>
      <w:bookmarkStart w:id="114" w:name="_Toc90889130"/>
      <w:bookmarkStart w:id="115" w:name="_Toc66801466"/>
      <w:bookmarkStart w:id="116" w:name="_Toc1825244003"/>
      <w:bookmarkStart w:id="117" w:name="_Toc1379344802"/>
      <w:r>
        <w:rPr>
          <w:rFonts w:hint="eastAsia" w:ascii="楷体_GB2312" w:hAnsi="Times New Roman" w:eastAsia="楷体_GB2312" w:cs="仿宋_GB2312"/>
          <w:sz w:val="32"/>
          <w:szCs w:val="32"/>
          <w:highlight w:val="none"/>
        </w:rPr>
        <w:t>（二）项目过程情况</w:t>
      </w:r>
      <w:bookmarkEnd w:id="114"/>
      <w:bookmarkEnd w:id="115"/>
      <w:bookmarkEnd w:id="116"/>
      <w:bookmarkEnd w:id="117"/>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过程指标主要包括资金管理、组织管理2项二级指标，6项三级指标，基础总分23分，合计得分</w:t>
      </w:r>
      <w:r>
        <w:rPr>
          <w:rFonts w:hint="eastAsia" w:ascii="Times New Roman" w:hAnsi="Times New Roman" w:eastAsia="仿宋_GB2312" w:cs="仿宋_GB2312"/>
          <w:sz w:val="32"/>
          <w:szCs w:val="32"/>
          <w:highlight w:val="none"/>
          <w:lang w:val="en-US" w:eastAsia="zh-CN"/>
        </w:rPr>
        <w:t>14</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18" w:name="_Toc72061026"/>
      <w:bookmarkStart w:id="119" w:name="_Toc90889131"/>
      <w:bookmarkStart w:id="120" w:name="_Toc66801467"/>
      <w:bookmarkStart w:id="121" w:name="_Toc562117849"/>
      <w:r>
        <w:rPr>
          <w:rFonts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rPr>
        <w:t>.资金管理</w:t>
      </w:r>
      <w:bookmarkEnd w:id="118"/>
      <w:bookmarkEnd w:id="119"/>
      <w:bookmarkEnd w:id="120"/>
      <w:bookmarkEnd w:id="121"/>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（1）资金到位率（总分2分，得分2分）</w:t>
      </w:r>
    </w:p>
    <w:p>
      <w:pPr>
        <w:spacing w:line="360" w:lineRule="auto"/>
        <w:ind w:firstLine="640" w:firstLineChars="200"/>
        <w:rPr>
          <w:rFonts w:ascii="Times New Roman" w:hAnsi="Times New Roman" w:eastAsia="仿宋_GB2312" w:cs="仿宋_GB2312"/>
          <w:sz w:val="32"/>
          <w:szCs w:val="32"/>
          <w:highlight w:val="none"/>
        </w:rPr>
      </w:pPr>
      <w:bookmarkStart w:id="122" w:name="_Hlk90629901"/>
      <w:r>
        <w:rPr>
          <w:rFonts w:hint="eastAsia" w:ascii="Times New Roman" w:hAnsi="Times New Roman" w:eastAsia="仿宋_GB2312" w:cs="仿宋_GB2312"/>
          <w:sz w:val="32"/>
          <w:szCs w:val="32"/>
          <w:highlight w:val="none"/>
        </w:rPr>
        <w:t>依据</w:t>
      </w:r>
      <w:r>
        <w:rPr>
          <w:rFonts w:ascii="Times New Roman" w:hAnsi="Times New Roman" w:eastAsia="仿宋_GB2312" w:cs="仿宋_GB2312"/>
          <w:sz w:val="32"/>
          <w:szCs w:val="32"/>
          <w:highlight w:val="none"/>
        </w:rPr>
        <w:t>2020年</w:t>
      </w:r>
      <w:r>
        <w:rPr>
          <w:rFonts w:hint="eastAsia" w:ascii="Times New Roman" w:hAnsi="Times New Roman" w:eastAsia="仿宋_GB2312" w:cs="仿宋_GB2312"/>
          <w:sz w:val="32"/>
          <w:szCs w:val="32"/>
          <w:highlight w:val="none"/>
        </w:rPr>
        <w:t>8</w:t>
      </w:r>
      <w:r>
        <w:rPr>
          <w:rFonts w:ascii="Times New Roman" w:hAnsi="Times New Roman" w:eastAsia="仿宋_GB2312" w:cs="仿宋_GB2312"/>
          <w:sz w:val="32"/>
          <w:szCs w:val="32"/>
          <w:highlight w:val="none"/>
        </w:rPr>
        <w:t>月</w:t>
      </w:r>
      <w:r>
        <w:rPr>
          <w:rFonts w:hint="eastAsia" w:ascii="Times New Roman" w:hAnsi="Times New Roman" w:eastAsia="仿宋_GB2312" w:cs="仿宋_GB2312"/>
          <w:sz w:val="32"/>
          <w:szCs w:val="32"/>
          <w:highlight w:val="none"/>
        </w:rPr>
        <w:t>25</w:t>
      </w:r>
      <w:r>
        <w:rPr>
          <w:rFonts w:ascii="Times New Roman" w:hAnsi="Times New Roman" w:eastAsia="仿宋_GB2312" w:cs="仿宋_GB2312"/>
          <w:sz w:val="32"/>
          <w:szCs w:val="32"/>
          <w:highlight w:val="none"/>
        </w:rPr>
        <w:t>日</w:t>
      </w:r>
      <w:r>
        <w:rPr>
          <w:rFonts w:hint="eastAsia" w:ascii="Times New Roman" w:hAnsi="Times New Roman" w:eastAsia="仿宋_GB2312" w:cs="仿宋_GB2312"/>
          <w:sz w:val="32"/>
          <w:szCs w:val="32"/>
          <w:highlight w:val="none"/>
        </w:rPr>
        <w:t>《财政授权支付额度到账通知书》及财务凭证</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本项目实际到位资金1234.584</w:t>
      </w:r>
      <w:r>
        <w:rPr>
          <w:rFonts w:ascii="Times New Roman" w:hAnsi="Times New Roman" w:eastAsia="仿宋_GB2312" w:cs="仿宋_GB2312"/>
          <w:sz w:val="32"/>
          <w:szCs w:val="32"/>
          <w:highlight w:val="none"/>
        </w:rPr>
        <w:t>元</w:t>
      </w:r>
      <w:r>
        <w:rPr>
          <w:rFonts w:hint="eastAsia" w:ascii="Times New Roman" w:hAnsi="Times New Roman" w:eastAsia="仿宋_GB2312" w:cs="仿宋_GB2312"/>
          <w:sz w:val="32"/>
          <w:szCs w:val="32"/>
          <w:highlight w:val="none"/>
        </w:rPr>
        <w:t>，</w:t>
      </w:r>
      <w:bookmarkEnd w:id="122"/>
      <w:r>
        <w:rPr>
          <w:rFonts w:hint="eastAsia" w:ascii="Times New Roman" w:hAnsi="Times New Roman" w:eastAsia="仿宋_GB2312" w:cs="仿宋_GB2312"/>
          <w:sz w:val="32"/>
          <w:szCs w:val="32"/>
          <w:highlight w:val="none"/>
        </w:rPr>
        <w:t>本项目预算资金1234.584</w:t>
      </w:r>
      <w:r>
        <w:rPr>
          <w:rFonts w:ascii="Times New Roman" w:hAnsi="Times New Roman" w:eastAsia="仿宋_GB2312" w:cs="仿宋_GB2312"/>
          <w:sz w:val="32"/>
          <w:szCs w:val="32"/>
          <w:highlight w:val="none"/>
        </w:rPr>
        <w:t>元</w:t>
      </w:r>
      <w:r>
        <w:rPr>
          <w:rFonts w:hint="eastAsia" w:ascii="Times New Roman" w:hAnsi="Times New Roman" w:eastAsia="仿宋_GB2312" w:cs="仿宋_GB2312"/>
          <w:sz w:val="32"/>
          <w:szCs w:val="32"/>
          <w:highlight w:val="none"/>
        </w:rPr>
        <w:t>。</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资金到位率</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实际到位资金</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预算资金</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×100%</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）×100%=100%</w:t>
      </w:r>
      <w:r>
        <w:rPr>
          <w:rFonts w:hint="eastAsia" w:ascii="Times New Roman" w:hAnsi="Times New Roman" w:eastAsia="仿宋_GB2312" w:cs="仿宋_GB2312"/>
          <w:sz w:val="32"/>
          <w:szCs w:val="32"/>
          <w:highlight w:val="none"/>
        </w:rPr>
        <w:t>。</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该指标得分为2分。</w:t>
      </w:r>
    </w:p>
    <w:p>
      <w:pPr>
        <w:numPr>
          <w:ilvl w:val="0"/>
          <w:numId w:val="1"/>
        </w:num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资金到位及时率（总分2分，得分2分）</w:t>
      </w:r>
    </w:p>
    <w:p>
      <w:pPr>
        <w:spacing w:line="360" w:lineRule="auto"/>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 xml:space="preserve">    根据《项目绩效目标完成情况自评表》</w:t>
      </w:r>
      <w:r>
        <w:rPr>
          <w:rFonts w:hint="eastAsia" w:ascii="Times New Roman" w:hAnsi="Times New Roman" w:eastAsia="仿宋_GB2312" w:cs="仿宋_GB2312"/>
          <w:sz w:val="32"/>
          <w:szCs w:val="32"/>
          <w:highlight w:val="none"/>
          <w:lang w:eastAsia="zh-CN"/>
        </w:rPr>
        <w:t>、</w:t>
      </w:r>
      <w:r>
        <w:rPr>
          <w:rFonts w:hint="eastAsia" w:ascii="Times New Roman" w:hAnsi="Times New Roman" w:eastAsia="仿宋_GB2312" w:cs="仿宋_GB2312"/>
          <w:sz w:val="32"/>
          <w:szCs w:val="32"/>
          <w:highlight w:val="none"/>
        </w:rPr>
        <w:t>《东丽区卫健委党委会议纪要》（2020年8月20日）以及财务凭证，本项目于年底前完成了计划生育奖励扶助款项的发放。</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 xml:space="preserve"> 截至</w:t>
      </w:r>
      <w:r>
        <w:rPr>
          <w:rFonts w:ascii="Times New Roman" w:hAnsi="Times New Roman" w:eastAsia="仿宋_GB2312" w:cs="仿宋_GB2312"/>
          <w:sz w:val="32"/>
          <w:szCs w:val="32"/>
          <w:highlight w:val="none"/>
        </w:rPr>
        <w:t>202</w:t>
      </w:r>
      <w:r>
        <w:rPr>
          <w:rFonts w:hint="eastAsia" w:ascii="Times New Roman" w:hAnsi="Times New Roman" w:eastAsia="仿宋_GB2312" w:cs="仿宋_GB2312"/>
          <w:sz w:val="32"/>
          <w:szCs w:val="32"/>
          <w:highlight w:val="none"/>
        </w:rPr>
        <w:t>0</w:t>
      </w:r>
      <w:r>
        <w:rPr>
          <w:rFonts w:ascii="Times New Roman" w:hAnsi="Times New Roman" w:eastAsia="仿宋_GB2312" w:cs="仿宋_GB2312"/>
          <w:sz w:val="32"/>
          <w:szCs w:val="32"/>
          <w:highlight w:val="none"/>
        </w:rPr>
        <w:t>年</w:t>
      </w:r>
      <w:r>
        <w:rPr>
          <w:rFonts w:hint="eastAsia" w:ascii="Times New Roman" w:hAnsi="Times New Roman" w:eastAsia="仿宋_GB2312" w:cs="仿宋_GB2312"/>
          <w:sz w:val="32"/>
          <w:szCs w:val="32"/>
          <w:highlight w:val="none"/>
        </w:rPr>
        <w:t>8</w:t>
      </w:r>
      <w:r>
        <w:rPr>
          <w:rFonts w:ascii="Times New Roman" w:hAnsi="Times New Roman" w:eastAsia="仿宋_GB2312" w:cs="仿宋_GB2312"/>
          <w:sz w:val="32"/>
          <w:szCs w:val="32"/>
          <w:highlight w:val="none"/>
        </w:rPr>
        <w:t>月</w:t>
      </w:r>
      <w:r>
        <w:rPr>
          <w:rFonts w:hint="eastAsia" w:ascii="Times New Roman" w:hAnsi="Times New Roman" w:eastAsia="仿宋_GB2312" w:cs="仿宋_GB2312"/>
          <w:sz w:val="32"/>
          <w:szCs w:val="32"/>
          <w:highlight w:val="none"/>
        </w:rPr>
        <w:t>25</w:t>
      </w:r>
      <w:r>
        <w:rPr>
          <w:rFonts w:ascii="Times New Roman" w:hAnsi="Times New Roman" w:eastAsia="仿宋_GB2312" w:cs="仿宋_GB2312"/>
          <w:sz w:val="32"/>
          <w:szCs w:val="32"/>
          <w:highlight w:val="none"/>
        </w:rPr>
        <w:t>日，</w:t>
      </w:r>
      <w:r>
        <w:rPr>
          <w:rFonts w:hint="eastAsia" w:ascii="Times New Roman" w:hAnsi="Times New Roman" w:eastAsia="仿宋_GB2312" w:cs="仿宋_GB2312"/>
          <w:sz w:val="32"/>
          <w:szCs w:val="32"/>
          <w:highlight w:val="none"/>
        </w:rPr>
        <w:t>本项目应到位资金为1234.584万元，及时到位资金为1234.584万元。</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到位及时率</w:t>
      </w:r>
      <w:r>
        <w:rPr>
          <w:rFonts w:ascii="Times New Roman" w:hAnsi="Times New Roman" w:eastAsia="仿宋_GB2312" w:cs="仿宋_GB2312"/>
          <w:sz w:val="32"/>
          <w:szCs w:val="32"/>
          <w:highlight w:val="none"/>
        </w:rPr>
        <w:t>=（及时到位资金÷应到位资金）×100%</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 xml:space="preserve">   </w:t>
      </w:r>
      <w:r>
        <w:rPr>
          <w:rFonts w:hint="eastAsia" w:ascii="Times New Roman" w:hAnsi="Times New Roman" w:eastAsia="仿宋_GB2312" w:cs="仿宋_GB2312"/>
          <w:sz w:val="32"/>
          <w:szCs w:val="32"/>
          <w:highlight w:val="none"/>
        </w:rPr>
        <w:t>（1234.584÷1234.584）×</w:t>
      </w:r>
      <w:r>
        <w:rPr>
          <w:rFonts w:ascii="Times New Roman" w:hAnsi="Times New Roman" w:eastAsia="仿宋_GB2312" w:cs="仿宋_GB2312"/>
          <w:sz w:val="32"/>
          <w:szCs w:val="32"/>
          <w:highlight w:val="none"/>
        </w:rPr>
        <w:t>100%</w:t>
      </w:r>
      <w:r>
        <w:rPr>
          <w:rFonts w:hint="eastAsia" w:ascii="Times New Roman" w:hAnsi="Times New Roman" w:eastAsia="仿宋_GB2312" w:cs="仿宋_GB2312"/>
          <w:sz w:val="32"/>
          <w:szCs w:val="32"/>
          <w:highlight w:val="none"/>
        </w:rPr>
        <w:t>=100%</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该指标得分为2分。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（3）预算执行率（总分2分，得分2分）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依据</w:t>
      </w:r>
      <w:r>
        <w:rPr>
          <w:rFonts w:ascii="Times New Roman" w:hAnsi="Times New Roman" w:eastAsia="仿宋_GB2312" w:cs="仿宋_GB2312"/>
          <w:sz w:val="32"/>
          <w:szCs w:val="32"/>
          <w:highlight w:val="none"/>
        </w:rPr>
        <w:t>2020年</w:t>
      </w:r>
      <w:r>
        <w:rPr>
          <w:rFonts w:hint="eastAsia" w:ascii="Times New Roman" w:hAnsi="Times New Roman" w:eastAsia="仿宋_GB2312" w:cs="仿宋_GB2312"/>
          <w:sz w:val="32"/>
          <w:szCs w:val="32"/>
          <w:highlight w:val="none"/>
        </w:rPr>
        <w:t>8</w:t>
      </w:r>
      <w:r>
        <w:rPr>
          <w:rFonts w:ascii="Times New Roman" w:hAnsi="Times New Roman" w:eastAsia="仿宋_GB2312" w:cs="仿宋_GB2312"/>
          <w:sz w:val="32"/>
          <w:szCs w:val="32"/>
          <w:highlight w:val="none"/>
        </w:rPr>
        <w:t>月</w:t>
      </w:r>
      <w:r>
        <w:rPr>
          <w:rFonts w:hint="eastAsia" w:ascii="Times New Roman" w:hAnsi="Times New Roman" w:eastAsia="仿宋_GB2312" w:cs="仿宋_GB2312"/>
          <w:sz w:val="32"/>
          <w:szCs w:val="32"/>
          <w:highlight w:val="none"/>
        </w:rPr>
        <w:t>25</w:t>
      </w:r>
      <w:r>
        <w:rPr>
          <w:rFonts w:ascii="Times New Roman" w:hAnsi="Times New Roman" w:eastAsia="仿宋_GB2312" w:cs="仿宋_GB2312"/>
          <w:sz w:val="32"/>
          <w:szCs w:val="32"/>
          <w:highlight w:val="none"/>
        </w:rPr>
        <w:t>日</w:t>
      </w:r>
      <w:r>
        <w:rPr>
          <w:rFonts w:hint="eastAsia" w:ascii="Times New Roman" w:hAnsi="Times New Roman" w:eastAsia="仿宋_GB2312" w:cs="仿宋_GB2312"/>
          <w:sz w:val="32"/>
          <w:szCs w:val="32"/>
          <w:highlight w:val="none"/>
        </w:rPr>
        <w:t>《财政授权支付额度到账通知书》及相关记账凭证</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本项目实际到位资金1234.584万</w:t>
      </w:r>
      <w:r>
        <w:rPr>
          <w:rFonts w:ascii="Times New Roman" w:hAnsi="Times New Roman" w:eastAsia="仿宋_GB2312" w:cs="仿宋_GB2312"/>
          <w:sz w:val="32"/>
          <w:szCs w:val="32"/>
          <w:highlight w:val="none"/>
        </w:rPr>
        <w:t>元</w:t>
      </w:r>
      <w:r>
        <w:rPr>
          <w:rFonts w:hint="eastAsia" w:ascii="Times New Roman" w:hAnsi="Times New Roman" w:eastAsia="仿宋_GB2312" w:cs="仿宋_GB2312"/>
          <w:sz w:val="32"/>
          <w:szCs w:val="32"/>
          <w:highlight w:val="none"/>
        </w:rPr>
        <w:t>，实际支出资金1234.584万元。</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预算执行率</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（实际支出资金÷实际到位资金）</w:t>
      </w:r>
      <w:r>
        <w:rPr>
          <w:rFonts w:ascii="Times New Roman" w:hAnsi="Times New Roman" w:eastAsia="仿宋_GB2312" w:cs="仿宋_GB2312"/>
          <w:sz w:val="32"/>
          <w:szCs w:val="32"/>
          <w:highlight w:val="none"/>
        </w:rPr>
        <w:t>×100%</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）×100%</w:t>
      </w:r>
      <w:r>
        <w:rPr>
          <w:rFonts w:hint="eastAsia" w:ascii="Times New Roman" w:hAnsi="Times New Roman" w:eastAsia="仿宋_GB2312" w:cs="仿宋_GB2312"/>
          <w:sz w:val="32"/>
          <w:szCs w:val="32"/>
          <w:highlight w:val="none"/>
        </w:rPr>
        <w:t>=100%</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该指标得分为2分。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（4）资金使用合规性（总分10分，得分</w:t>
      </w:r>
      <w:r>
        <w:rPr>
          <w:rFonts w:hint="eastAsia" w:ascii="Times New Roman" w:hAnsi="Times New Roman" w:eastAsia="仿宋_GB2312" w:cs="仿宋_GB2312"/>
          <w:sz w:val="32"/>
          <w:szCs w:val="32"/>
          <w:highlight w:val="none"/>
          <w:lang w:val="en-US" w:eastAsia="zh-CN"/>
        </w:rPr>
        <w:t>6</w:t>
      </w:r>
      <w:r>
        <w:rPr>
          <w:rFonts w:hint="eastAsia" w:ascii="Times New Roman" w:hAnsi="Times New Roman" w:eastAsia="仿宋_GB2312" w:cs="仿宋_GB2312"/>
          <w:sz w:val="32"/>
          <w:szCs w:val="32"/>
          <w:highlight w:val="none"/>
        </w:rPr>
        <w:t>分）</w:t>
      </w:r>
    </w:p>
    <w:p>
      <w:pPr>
        <w:spacing w:line="360" w:lineRule="auto"/>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本项目没有相应的资金管理办法、资金的拨付有完整的流程和手续，资金用于了项目规定的用途，不存在截留、挤占、挪用、虚列支出等情况。</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w:t>
      </w:r>
      <w:r>
        <w:rPr>
          <w:rFonts w:hint="eastAsia" w:ascii="Times New Roman" w:hAnsi="Times New Roman" w:eastAsia="仿宋_GB2312" w:cs="仿宋_GB2312"/>
          <w:sz w:val="32"/>
          <w:szCs w:val="32"/>
          <w:highlight w:val="none"/>
          <w:lang w:val="en-US" w:eastAsia="zh-CN"/>
        </w:rPr>
        <w:t>6</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23" w:name="_Toc734124990"/>
      <w:bookmarkStart w:id="124" w:name="_Toc66801468"/>
      <w:bookmarkStart w:id="125" w:name="_Toc2096370721"/>
      <w:bookmarkStart w:id="126" w:name="_Toc90889132"/>
      <w:r>
        <w:rPr>
          <w:rFonts w:hint="eastAsia" w:ascii="Times New Roman" w:hAnsi="Times New Roman" w:eastAsia="仿宋_GB2312" w:cs="仿宋_GB2312"/>
          <w:sz w:val="32"/>
          <w:szCs w:val="32"/>
          <w:highlight w:val="none"/>
        </w:rPr>
        <w:t>2.组织实施</w:t>
      </w:r>
      <w:bookmarkEnd w:id="123"/>
      <w:bookmarkEnd w:id="124"/>
      <w:bookmarkEnd w:id="125"/>
      <w:bookmarkEnd w:id="126"/>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（1）管理制度健全性（总分2分，得分</w:t>
      </w:r>
      <w:r>
        <w:rPr>
          <w:rFonts w:ascii="Times New Roman" w:hAnsi="Times New Roman" w:eastAsia="仿宋_GB2312" w:cs="仿宋_GB2312"/>
          <w:sz w:val="32"/>
          <w:szCs w:val="32"/>
          <w:highlight w:val="none"/>
        </w:rPr>
        <w:t>0</w:t>
      </w:r>
      <w:r>
        <w:rPr>
          <w:rFonts w:hint="eastAsia" w:ascii="Times New Roman" w:hAnsi="Times New Roman" w:eastAsia="仿宋_GB2312" w:cs="仿宋_GB2312"/>
          <w:sz w:val="32"/>
          <w:szCs w:val="32"/>
          <w:highlight w:val="none"/>
        </w:rPr>
        <w:t>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本项目缺少财务管理制度，缺少资金发放相关管理办法。管理制度不健全，该指标得分为0分。</w:t>
      </w:r>
    </w:p>
    <w:p>
      <w:pPr>
        <w:spacing w:line="360" w:lineRule="auto"/>
        <w:ind w:firstLine="640" w:firstLineChars="200"/>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（2）制度执行有效性（总分5分，得分2分）</w:t>
      </w:r>
    </w:p>
    <w:p>
      <w:pPr>
        <w:spacing w:line="360" w:lineRule="auto"/>
        <w:ind w:firstLine="640" w:firstLineChars="200"/>
        <w:rPr>
          <w:rFonts w:hint="eastAsia" w:ascii="Times New Roman" w:hAnsi="Times New Roman" w:eastAsia="仿宋_GB2312" w:cs="仿宋_GB2312"/>
          <w:color w:val="000000" w:themeColor="text1"/>
          <w:sz w:val="32"/>
          <w:szCs w:val="32"/>
          <w:highlight w:val="none"/>
          <w14:textFill>
            <w14:solidFill>
              <w14:schemeClr w14:val="tx1"/>
            </w14:solidFill>
          </w14:textFill>
        </w:rPr>
      </w:pPr>
      <w:r>
        <w:rPr>
          <w:rFonts w:hint="eastAsia" w:ascii="Times New Roman" w:hAnsi="Times New Roman" w:eastAsia="仿宋_GB2312" w:cs="仿宋_GB2312"/>
          <w:color w:val="000000" w:themeColor="text1"/>
          <w:sz w:val="32"/>
          <w:szCs w:val="32"/>
          <w:highlight w:val="none"/>
          <w14:textFill>
            <w14:solidFill>
              <w14:schemeClr w14:val="tx1"/>
            </w14:solidFill>
          </w14:textFill>
        </w:rPr>
        <w:t>本项目</w:t>
      </w:r>
      <w:r>
        <w:rPr>
          <w:rFonts w:hint="eastAsia" w:ascii="Times New Roman" w:hAnsi="Times New Roman" w:eastAsia="仿宋_GB2312" w:cs="仿宋_GB2312"/>
          <w:color w:val="000000" w:themeColor="text1"/>
          <w:sz w:val="32"/>
          <w:szCs w:val="32"/>
          <w:highlight w:val="none"/>
          <w:lang w:val="en-US" w:eastAsia="zh-CN"/>
          <w14:textFill>
            <w14:solidFill>
              <w14:schemeClr w14:val="tx1"/>
            </w14:solidFill>
          </w14:textFill>
        </w:rPr>
        <w:t>有</w:t>
      </w:r>
      <w:r>
        <w:rPr>
          <w:rFonts w:hint="eastAsia" w:ascii="Times New Roman" w:hAnsi="Times New Roman" w:eastAsia="仿宋_GB2312" w:cs="仿宋_GB2312"/>
          <w:color w:val="000000" w:themeColor="text1"/>
          <w:sz w:val="32"/>
          <w:szCs w:val="32"/>
          <w:highlight w:val="none"/>
          <w14:textFill>
            <w14:solidFill>
              <w14:schemeClr w14:val="tx1"/>
            </w14:solidFill>
          </w14:textFill>
        </w:rPr>
        <w:t>部分的奖励资金入账清单，奖励材料不全面。但记账凭证和奖励资金入账清单可以对应，该指标得分2分</w:t>
      </w:r>
      <w:r>
        <w:rPr>
          <w:rFonts w:hint="default" w:ascii="Times New Roman" w:hAnsi="Times New Roman" w:eastAsia="仿宋_GB2312" w:cs="仿宋_GB2312"/>
          <w:color w:val="000000" w:themeColor="text1"/>
          <w:sz w:val="32"/>
          <w:szCs w:val="32"/>
          <w:highlight w:val="none"/>
          <w14:textFill>
            <w14:solidFill>
              <w14:schemeClr w14:val="tx1"/>
            </w14:solidFill>
          </w14:textFill>
        </w:rPr>
        <w:t>。</w:t>
      </w:r>
    </w:p>
    <w:p>
      <w:pPr>
        <w:spacing w:line="360" w:lineRule="auto"/>
        <w:ind w:firstLine="640" w:firstLineChars="200"/>
        <w:outlineLvl w:val="1"/>
        <w:rPr>
          <w:rFonts w:ascii="楷体_GB2312" w:hAnsi="Times New Roman" w:eastAsia="楷体_GB2312" w:cs="仿宋_GB2312"/>
          <w:sz w:val="32"/>
          <w:szCs w:val="32"/>
          <w:highlight w:val="none"/>
        </w:rPr>
      </w:pPr>
      <w:bookmarkStart w:id="127" w:name="_Toc2085995165"/>
      <w:bookmarkStart w:id="128" w:name="_Toc66801469"/>
      <w:bookmarkStart w:id="129" w:name="_Toc1145154915"/>
      <w:bookmarkStart w:id="130" w:name="_Toc90889133"/>
      <w:r>
        <w:rPr>
          <w:rFonts w:hint="eastAsia" w:ascii="楷体_GB2312" w:hAnsi="Times New Roman" w:eastAsia="楷体_GB2312" w:cs="仿宋_GB2312"/>
          <w:sz w:val="32"/>
          <w:szCs w:val="32"/>
          <w:highlight w:val="none"/>
        </w:rPr>
        <w:t>（三）项目产出情况</w:t>
      </w:r>
      <w:bookmarkEnd w:id="127"/>
      <w:bookmarkEnd w:id="128"/>
      <w:bookmarkEnd w:id="129"/>
      <w:bookmarkEnd w:id="130"/>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产出指标主要包括产出数量、产出质量、产出时效、产出成本4项二级指标，5项三级指标，基础总分</w:t>
      </w:r>
      <w:r>
        <w:rPr>
          <w:rFonts w:ascii="Times New Roman" w:hAnsi="Times New Roman" w:eastAsia="仿宋_GB2312" w:cs="仿宋_GB2312"/>
          <w:sz w:val="32"/>
          <w:szCs w:val="32"/>
          <w:highlight w:val="none"/>
        </w:rPr>
        <w:t>40</w:t>
      </w:r>
      <w:r>
        <w:rPr>
          <w:rFonts w:hint="eastAsia" w:ascii="Times New Roman" w:hAnsi="Times New Roman" w:eastAsia="仿宋_GB2312" w:cs="仿宋_GB2312"/>
          <w:sz w:val="32"/>
          <w:szCs w:val="32"/>
          <w:highlight w:val="none"/>
        </w:rPr>
        <w:t>分，合计得分</w:t>
      </w:r>
      <w:r>
        <w:rPr>
          <w:rFonts w:hint="eastAsia" w:ascii="Times New Roman" w:hAnsi="Times New Roman" w:eastAsia="仿宋_GB2312" w:cs="仿宋_GB2312"/>
          <w:sz w:val="32"/>
          <w:szCs w:val="32"/>
          <w:highlight w:val="none"/>
          <w:lang w:val="en-US" w:eastAsia="zh-CN"/>
        </w:rPr>
        <w:t>39.58</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31" w:name="_Toc66801470"/>
      <w:bookmarkStart w:id="132" w:name="_Toc870211991"/>
      <w:bookmarkStart w:id="133" w:name="_Toc90889134"/>
      <w:bookmarkStart w:id="134" w:name="_Toc1650200880"/>
      <w:r>
        <w:rPr>
          <w:rFonts w:hint="eastAsia" w:ascii="Times New Roman" w:hAnsi="Times New Roman" w:eastAsia="仿宋_GB2312" w:cs="仿宋_GB2312"/>
          <w:sz w:val="32"/>
          <w:szCs w:val="32"/>
          <w:highlight w:val="none"/>
        </w:rPr>
        <w:t>1.产出数量</w:t>
      </w:r>
      <w:bookmarkEnd w:id="131"/>
      <w:bookmarkEnd w:id="132"/>
      <w:bookmarkEnd w:id="133"/>
      <w:bookmarkEnd w:id="134"/>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（1）奖扶人</w:t>
      </w:r>
      <w:r>
        <w:rPr>
          <w:rFonts w:hint="eastAsia" w:ascii="Times New Roman" w:hAnsi="Times New Roman" w:eastAsia="仿宋_GB2312" w:cs="仿宋_GB2312"/>
          <w:sz w:val="32"/>
          <w:szCs w:val="32"/>
          <w:highlight w:val="none"/>
          <w:lang w:val="en-US" w:eastAsia="zh-CN"/>
        </w:rPr>
        <w:t>数发放</w:t>
      </w:r>
      <w:r>
        <w:rPr>
          <w:rFonts w:hint="eastAsia" w:ascii="Times New Roman" w:hAnsi="Times New Roman" w:eastAsia="仿宋_GB2312" w:cs="仿宋_GB2312"/>
          <w:sz w:val="32"/>
          <w:szCs w:val="32"/>
          <w:highlight w:val="none"/>
        </w:rPr>
        <w:t>达成率（总分</w:t>
      </w:r>
      <w:r>
        <w:rPr>
          <w:rFonts w:hint="eastAsia" w:ascii="Times New Roman" w:hAnsi="Times New Roman" w:eastAsia="仿宋_GB2312" w:cs="仿宋_GB2312"/>
          <w:sz w:val="32"/>
          <w:szCs w:val="32"/>
          <w:highlight w:val="none"/>
          <w:lang w:val="en-US" w:eastAsia="zh-CN"/>
        </w:rPr>
        <w:t>14</w:t>
      </w:r>
      <w:r>
        <w:rPr>
          <w:rFonts w:hint="eastAsia" w:ascii="Times New Roman" w:hAnsi="Times New Roman" w:eastAsia="仿宋_GB2312" w:cs="仿宋_GB2312"/>
          <w:sz w:val="32"/>
          <w:szCs w:val="32"/>
          <w:highlight w:val="none"/>
        </w:rPr>
        <w:t>分，得分</w:t>
      </w:r>
      <w:r>
        <w:rPr>
          <w:rFonts w:hint="eastAsia" w:ascii="Times New Roman" w:hAnsi="Times New Roman" w:eastAsia="仿宋_GB2312" w:cs="仿宋_GB2312"/>
          <w:sz w:val="32"/>
          <w:szCs w:val="32"/>
          <w:highlight w:val="none"/>
          <w:lang w:val="en-US" w:eastAsia="zh-CN"/>
        </w:rPr>
        <w:t>13.58</w:t>
      </w:r>
      <w:r>
        <w:rPr>
          <w:rFonts w:hint="eastAsia" w:ascii="Times New Roman" w:hAnsi="Times New Roman" w:eastAsia="仿宋_GB2312" w:cs="仿宋_GB2312"/>
          <w:sz w:val="32"/>
          <w:szCs w:val="32"/>
          <w:highlight w:val="none"/>
        </w:rPr>
        <w:t>分）</w:t>
      </w:r>
    </w:p>
    <w:p>
      <w:pPr>
        <w:spacing w:line="360" w:lineRule="auto"/>
        <w:ind w:firstLine="640" w:firstLineChars="200"/>
        <w:rPr>
          <w:rFonts w:hint="eastAsia"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经过对本项目</w:t>
      </w:r>
      <w:r>
        <w:rPr>
          <w:rFonts w:hint="eastAsia" w:ascii="Times New Roman" w:hAnsi="Times New Roman" w:eastAsia="仿宋_GB2312" w:cs="仿宋_GB2312"/>
          <w:sz w:val="32"/>
          <w:szCs w:val="32"/>
          <w:highlight w:val="none"/>
          <w:lang w:val="en-US" w:eastAsia="zh-CN"/>
        </w:rPr>
        <w:t>471人的</w:t>
      </w:r>
      <w:r>
        <w:rPr>
          <w:rFonts w:hint="eastAsia" w:ascii="Times New Roman" w:hAnsi="Times New Roman" w:eastAsia="仿宋_GB2312" w:cs="仿宋_GB2312"/>
          <w:sz w:val="32"/>
          <w:szCs w:val="32"/>
          <w:highlight w:val="none"/>
        </w:rPr>
        <w:t>批量入账清单进行抽查，入账人数总计4</w:t>
      </w:r>
      <w:r>
        <w:rPr>
          <w:rFonts w:ascii="Times New Roman" w:hAnsi="Times New Roman" w:eastAsia="仿宋_GB2312" w:cs="仿宋_GB2312"/>
          <w:sz w:val="32"/>
          <w:szCs w:val="32"/>
          <w:highlight w:val="none"/>
        </w:rPr>
        <w:t>71</w:t>
      </w:r>
      <w:r>
        <w:rPr>
          <w:rFonts w:hint="eastAsia" w:ascii="Times New Roman" w:hAnsi="Times New Roman" w:eastAsia="仿宋_GB2312" w:cs="仿宋_GB2312"/>
          <w:sz w:val="32"/>
          <w:szCs w:val="32"/>
          <w:highlight w:val="none"/>
        </w:rPr>
        <w:t>人，其中</w:t>
      </w:r>
      <w:r>
        <w:rPr>
          <w:rFonts w:ascii="Times New Roman" w:hAnsi="Times New Roman" w:eastAsia="仿宋_GB2312" w:cs="仿宋_GB2312"/>
          <w:sz w:val="32"/>
          <w:szCs w:val="32"/>
          <w:highlight w:val="none"/>
        </w:rPr>
        <w:t>4</w:t>
      </w:r>
      <w:r>
        <w:rPr>
          <w:rFonts w:hint="eastAsia" w:ascii="Times New Roman" w:hAnsi="Times New Roman" w:eastAsia="仿宋_GB2312" w:cs="仿宋_GB2312"/>
          <w:sz w:val="32"/>
          <w:szCs w:val="32"/>
          <w:highlight w:val="none"/>
        </w:rPr>
        <w:t>人户名不符，1</w:t>
      </w:r>
      <w:r>
        <w:rPr>
          <w:rFonts w:ascii="Times New Roman" w:hAnsi="Times New Roman" w:eastAsia="仿宋_GB2312" w:cs="仿宋_GB2312"/>
          <w:sz w:val="32"/>
          <w:szCs w:val="32"/>
          <w:highlight w:val="none"/>
        </w:rPr>
        <w:t>0</w:t>
      </w:r>
      <w:r>
        <w:rPr>
          <w:rFonts w:hint="eastAsia" w:ascii="Times New Roman" w:hAnsi="Times New Roman" w:eastAsia="仿宋_GB2312" w:cs="仿宋_GB2312"/>
          <w:sz w:val="32"/>
          <w:szCs w:val="32"/>
          <w:highlight w:val="none"/>
        </w:rPr>
        <w:t>人账号解析不合法，共4</w:t>
      </w:r>
      <w:r>
        <w:rPr>
          <w:rFonts w:ascii="Times New Roman" w:hAnsi="Times New Roman" w:eastAsia="仿宋_GB2312" w:cs="仿宋_GB2312"/>
          <w:sz w:val="32"/>
          <w:szCs w:val="32"/>
          <w:highlight w:val="none"/>
        </w:rPr>
        <w:t>57</w:t>
      </w:r>
      <w:r>
        <w:rPr>
          <w:rFonts w:hint="eastAsia" w:ascii="Times New Roman" w:hAnsi="Times New Roman" w:eastAsia="仿宋_GB2312" w:cs="仿宋_GB2312"/>
          <w:sz w:val="32"/>
          <w:szCs w:val="32"/>
          <w:highlight w:val="none"/>
        </w:rPr>
        <w:t>人成功入账</w:t>
      </w:r>
      <w:r>
        <w:rPr>
          <w:rFonts w:hint="default" w:ascii="Times New Roman" w:hAnsi="Times New Roman" w:eastAsia="仿宋_GB2312" w:cs="仿宋_GB2312"/>
          <w:sz w:val="32"/>
          <w:szCs w:val="32"/>
          <w:highlight w:val="none"/>
        </w:rPr>
        <w:t>。</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奖扶人数达成率</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成功入账人数</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lang w:val="en-US" w:eastAsia="zh-CN"/>
        </w:rPr>
        <w:t>抽查</w:t>
      </w:r>
      <w:r>
        <w:rPr>
          <w:rFonts w:hint="eastAsia" w:ascii="Times New Roman" w:hAnsi="Times New Roman" w:eastAsia="仿宋_GB2312" w:cs="仿宋_GB2312"/>
          <w:sz w:val="32"/>
          <w:szCs w:val="32"/>
          <w:highlight w:val="none"/>
        </w:rPr>
        <w:t>总人</w:t>
      </w:r>
      <w:r>
        <w:rPr>
          <w:rFonts w:ascii="Times New Roman" w:hAnsi="Times New Roman" w:eastAsia="仿宋_GB2312" w:cs="仿宋_GB2312"/>
          <w:sz w:val="32"/>
          <w:szCs w:val="32"/>
          <w:highlight w:val="none"/>
        </w:rPr>
        <w:t>数）×100%=（457</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471）×100%=</w:t>
      </w:r>
      <w:r>
        <w:rPr>
          <w:rFonts w:hint="eastAsia" w:ascii="Times New Roman" w:hAnsi="Times New Roman" w:eastAsia="仿宋_GB2312" w:cs="仿宋_GB2312"/>
          <w:sz w:val="32"/>
          <w:szCs w:val="32"/>
          <w:highlight w:val="none"/>
        </w:rPr>
        <w:t>9</w:t>
      </w:r>
      <w:r>
        <w:rPr>
          <w:rFonts w:ascii="Times New Roman" w:hAnsi="Times New Roman" w:eastAsia="仿宋_GB2312" w:cs="仿宋_GB2312"/>
          <w:sz w:val="32"/>
          <w:szCs w:val="32"/>
          <w:highlight w:val="none"/>
        </w:rPr>
        <w:t>7</w:t>
      </w:r>
      <w:r>
        <w:rPr>
          <w:rFonts w:hint="eastAsia" w:ascii="Times New Roman" w:hAnsi="Times New Roman" w:eastAsia="仿宋_GB2312" w:cs="仿宋_GB2312"/>
          <w:sz w:val="32"/>
          <w:szCs w:val="32"/>
          <w:highlight w:val="none"/>
        </w:rPr>
        <w:t>.</w:t>
      </w:r>
      <w:r>
        <w:rPr>
          <w:rFonts w:ascii="Times New Roman" w:hAnsi="Times New Roman" w:eastAsia="仿宋_GB2312" w:cs="仿宋_GB2312"/>
          <w:sz w:val="32"/>
          <w:szCs w:val="32"/>
          <w:highlight w:val="none"/>
        </w:rPr>
        <w:t>03%</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w:t>
      </w:r>
      <w:r>
        <w:rPr>
          <w:rFonts w:hint="eastAsia" w:ascii="Times New Roman" w:hAnsi="Times New Roman" w:eastAsia="仿宋_GB2312" w:cs="仿宋_GB2312"/>
          <w:sz w:val="32"/>
          <w:szCs w:val="32"/>
          <w:highlight w:val="none"/>
          <w:lang w:val="en-US" w:eastAsia="zh-CN"/>
        </w:rPr>
        <w:t>13.58</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35" w:name="_Toc66801471"/>
      <w:bookmarkStart w:id="136" w:name="_Toc90889135"/>
      <w:bookmarkStart w:id="137" w:name="_Toc174889155"/>
      <w:bookmarkStart w:id="138" w:name="_Toc1289296667"/>
      <w:r>
        <w:rPr>
          <w:rFonts w:hint="eastAsia" w:ascii="Times New Roman" w:hAnsi="Times New Roman" w:eastAsia="仿宋_GB2312" w:cs="仿宋_GB2312"/>
          <w:sz w:val="32"/>
          <w:szCs w:val="32"/>
          <w:highlight w:val="none"/>
        </w:rPr>
        <w:t>2.产出质量</w:t>
      </w:r>
      <w:bookmarkEnd w:id="135"/>
      <w:bookmarkEnd w:id="136"/>
      <w:bookmarkEnd w:id="137"/>
      <w:bookmarkEnd w:id="138"/>
    </w:p>
    <w:p>
      <w:pPr>
        <w:spacing w:line="360" w:lineRule="auto"/>
        <w:ind w:left="210" w:leftChars="100" w:firstLine="320" w:firstLineChars="1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 xml:space="preserve"> （</w:t>
      </w:r>
      <w:r>
        <w:rPr>
          <w:rFonts w:hint="eastAsia" w:ascii="Times New Roman" w:hAnsi="Times New Roman" w:eastAsia="仿宋_GB2312" w:cs="仿宋_GB2312"/>
          <w:sz w:val="32"/>
          <w:szCs w:val="32"/>
          <w:highlight w:val="none"/>
          <w:lang w:val="en-US" w:eastAsia="zh-CN"/>
        </w:rPr>
        <w:t>1</w:t>
      </w:r>
      <w:r>
        <w:rPr>
          <w:rFonts w:hint="eastAsia" w:ascii="Times New Roman" w:hAnsi="Times New Roman" w:eastAsia="仿宋_GB2312" w:cs="仿宋_GB2312"/>
          <w:sz w:val="32"/>
          <w:szCs w:val="32"/>
          <w:highlight w:val="none"/>
        </w:rPr>
        <w:t>）奖扶发放标准率（总分10分，得分</w:t>
      </w:r>
      <w:r>
        <w:rPr>
          <w:rFonts w:ascii="Times New Roman" w:hAnsi="Times New Roman" w:eastAsia="仿宋_GB2312" w:cs="仿宋_GB2312"/>
          <w:sz w:val="32"/>
          <w:szCs w:val="32"/>
          <w:highlight w:val="none"/>
        </w:rPr>
        <w:t>10</w:t>
      </w:r>
      <w:r>
        <w:rPr>
          <w:rFonts w:hint="eastAsia" w:ascii="Times New Roman" w:hAnsi="Times New Roman" w:eastAsia="仿宋_GB2312" w:cs="仿宋_GB2312"/>
          <w:sz w:val="32"/>
          <w:szCs w:val="32"/>
          <w:highlight w:val="none"/>
        </w:rPr>
        <w:t>分）</w:t>
      </w:r>
    </w:p>
    <w:p>
      <w:pPr>
        <w:spacing w:line="360" w:lineRule="auto"/>
        <w:ind w:firstLine="640" w:firstLineChars="200"/>
        <w:rPr>
          <w:rFonts w:eastAsia="仿宋_GB2312"/>
          <w:sz w:val="32"/>
          <w:szCs w:val="32"/>
          <w:highlight w:val="none"/>
        </w:rPr>
      </w:pPr>
      <w:r>
        <w:rPr>
          <w:rFonts w:hint="eastAsia" w:ascii="Times New Roman" w:hAnsi="Times New Roman" w:eastAsia="仿宋_GB2312" w:cs="仿宋_GB2312"/>
          <w:sz w:val="32"/>
          <w:szCs w:val="32"/>
          <w:highlight w:val="none"/>
        </w:rPr>
        <w:t xml:space="preserve"> 根据《</w:t>
      </w:r>
      <w:r>
        <w:rPr>
          <w:rFonts w:hint="eastAsia" w:eastAsia="仿宋_GB2312"/>
          <w:sz w:val="32"/>
          <w:szCs w:val="32"/>
          <w:highlight w:val="none"/>
        </w:rPr>
        <w:t>东丽区人民政府关于印发东丽区社会保障和救助体系的通知</w:t>
      </w:r>
      <w:r>
        <w:rPr>
          <w:rFonts w:hint="eastAsia" w:ascii="Times New Roman" w:hAnsi="Times New Roman" w:eastAsia="仿宋_GB2312" w:cs="仿宋_GB2312"/>
          <w:sz w:val="32"/>
          <w:szCs w:val="32"/>
          <w:highlight w:val="none"/>
        </w:rPr>
        <w:t>》东丽政发〔2020〕3号，内容：</w:t>
      </w:r>
      <w:r>
        <w:rPr>
          <w:rFonts w:eastAsia="仿宋_GB2312"/>
          <w:sz w:val="32"/>
          <w:szCs w:val="32"/>
          <w:highlight w:val="none"/>
        </w:rPr>
        <w:t>农村部分计划生育家庭奖励扶助。对于东丽区农业户籍，或转非未转工且具有农村集体经济组织成员资格的计划生育家庭，同时具备以下条件的，每人每月享受100元的奖励扶助金，直至终身（没有违反计划生育法律、法规、规章或政策规定生育）；现有一个子女或子女死亡现无子女；1933年1月1日以后出生且年满60周岁</w:t>
      </w:r>
      <w:r>
        <w:rPr>
          <w:rFonts w:hint="eastAsia" w:eastAsia="仿宋_GB2312"/>
          <w:sz w:val="32"/>
          <w:szCs w:val="32"/>
          <w:highlight w:val="none"/>
        </w:rPr>
        <w:t>，以及本项目的财务凭证及入账清单。</w:t>
      </w:r>
    </w:p>
    <w:p>
      <w:pPr>
        <w:spacing w:line="360" w:lineRule="auto"/>
        <w:ind w:firstLine="640" w:firstLineChars="200"/>
        <w:rPr>
          <w:rFonts w:eastAsia="仿宋_GB2312"/>
          <w:sz w:val="32"/>
          <w:szCs w:val="32"/>
          <w:highlight w:val="none"/>
        </w:rPr>
      </w:pPr>
      <w:r>
        <w:rPr>
          <w:rFonts w:eastAsia="仿宋_GB2312"/>
          <w:sz w:val="32"/>
          <w:szCs w:val="32"/>
          <w:highlight w:val="none"/>
        </w:rPr>
        <w:t>奖扶发放标准率=（1200÷1200）×100%=100%</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w:t>
      </w:r>
      <w:r>
        <w:rPr>
          <w:rFonts w:ascii="Times New Roman" w:hAnsi="Times New Roman" w:eastAsia="仿宋_GB2312" w:cs="仿宋_GB2312"/>
          <w:sz w:val="32"/>
          <w:szCs w:val="32"/>
          <w:highlight w:val="none"/>
        </w:rPr>
        <w:t>10</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39" w:name="_Toc90889136"/>
      <w:bookmarkStart w:id="140" w:name="_Toc66801472"/>
      <w:r>
        <w:rPr>
          <w:rFonts w:hint="eastAsia" w:ascii="Times New Roman" w:hAnsi="Times New Roman" w:eastAsia="仿宋_GB2312" w:cs="仿宋_GB2312"/>
          <w:sz w:val="32"/>
          <w:szCs w:val="32"/>
          <w:highlight w:val="none"/>
        </w:rPr>
        <w:t xml:space="preserve"> </w:t>
      </w:r>
      <w:bookmarkStart w:id="141" w:name="_Toc1099084039"/>
      <w:bookmarkStart w:id="142" w:name="_Toc1604398989"/>
      <w:r>
        <w:rPr>
          <w:rFonts w:hint="eastAsia" w:ascii="Times New Roman" w:hAnsi="Times New Roman" w:eastAsia="仿宋_GB2312" w:cs="仿宋_GB2312"/>
          <w:sz w:val="32"/>
          <w:szCs w:val="32"/>
          <w:highlight w:val="none"/>
        </w:rPr>
        <w:t>3.产出时效</w:t>
      </w:r>
      <w:bookmarkEnd w:id="139"/>
      <w:bookmarkEnd w:id="140"/>
      <w:bookmarkEnd w:id="141"/>
      <w:bookmarkEnd w:id="142"/>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（1）奖扶补助金发放及时率（总分8分，得分8分）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根据本项目的会议纪要、《项目绩效目标完成情况自评表》以及财务凭证，本项目按照“年底前完成”的时间要求完成了本项目</w:t>
      </w:r>
      <w:r>
        <w:rPr>
          <w:rFonts w:ascii="Times New Roman" w:hAnsi="Times New Roman" w:eastAsia="仿宋_GB2312" w:cs="仿宋_GB2312"/>
          <w:sz w:val="32"/>
          <w:szCs w:val="32"/>
          <w:highlight w:val="none"/>
        </w:rPr>
        <w:t>。</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该指标得分为8分。</w:t>
      </w:r>
    </w:p>
    <w:p>
      <w:pPr>
        <w:spacing w:line="360" w:lineRule="auto"/>
        <w:ind w:firstLine="640" w:firstLineChars="200"/>
        <w:outlineLvl w:val="2"/>
        <w:rPr>
          <w:rFonts w:ascii="Times New Roman" w:hAnsi="Times New Roman" w:eastAsia="仿宋_GB2312" w:cs="仿宋_GB2312"/>
          <w:sz w:val="32"/>
          <w:szCs w:val="32"/>
          <w:highlight w:val="none"/>
        </w:rPr>
      </w:pPr>
      <w:bookmarkStart w:id="143" w:name="_Toc66801473"/>
      <w:bookmarkStart w:id="144" w:name="_Toc1798595626"/>
      <w:bookmarkStart w:id="145" w:name="_Toc1329136391"/>
      <w:bookmarkStart w:id="146" w:name="_Toc90889137"/>
      <w:r>
        <w:rPr>
          <w:rFonts w:hint="eastAsia" w:ascii="Times New Roman" w:hAnsi="Times New Roman" w:eastAsia="仿宋_GB2312" w:cs="仿宋_GB2312"/>
          <w:sz w:val="32"/>
          <w:szCs w:val="32"/>
          <w:highlight w:val="none"/>
        </w:rPr>
        <w:t>4.产出成本</w:t>
      </w:r>
      <w:bookmarkEnd w:id="143"/>
      <w:bookmarkEnd w:id="144"/>
      <w:bookmarkEnd w:id="145"/>
      <w:bookmarkEnd w:id="146"/>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（1）成本节约率（总分8分，得分8分）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本项目计划成本为1234.584万元，实际成本为1234.584万元。成本节约率</w:t>
      </w:r>
      <w:r>
        <w:rPr>
          <w:rFonts w:ascii="Times New Roman" w:hAnsi="Times New Roman" w:eastAsia="仿宋_GB2312" w:cs="仿宋_GB2312"/>
          <w:sz w:val="32"/>
          <w:szCs w:val="32"/>
          <w:highlight w:val="none"/>
        </w:rPr>
        <w:t>=［（计划成本-实际成本）/计划成本］×100%</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w:t>
      </w:r>
      <w:r>
        <w:rPr>
          <w:rFonts w:hint="eastAsia" w:ascii="Times New Roman" w:hAnsi="Times New Roman" w:eastAsia="仿宋_GB2312" w:cs="仿宋_GB2312"/>
          <w:sz w:val="32"/>
          <w:szCs w:val="32"/>
          <w:highlight w:val="none"/>
        </w:rPr>
        <w:t>1234.584</w:t>
      </w:r>
      <w:r>
        <w:rPr>
          <w:rFonts w:ascii="Times New Roman" w:hAnsi="Times New Roman" w:eastAsia="仿宋_GB2312" w:cs="仿宋_GB2312"/>
          <w:sz w:val="32"/>
          <w:szCs w:val="32"/>
          <w:highlight w:val="none"/>
        </w:rPr>
        <w:t>］×100%</w:t>
      </w:r>
      <w:r>
        <w:rPr>
          <w:rFonts w:hint="eastAsia" w:ascii="Times New Roman" w:hAnsi="Times New Roman" w:eastAsia="仿宋_GB2312" w:cs="仿宋_GB2312"/>
          <w:sz w:val="32"/>
          <w:szCs w:val="32"/>
          <w:highlight w:val="none"/>
          <w:lang w:val="en-US" w:eastAsia="zh-CN"/>
        </w:rPr>
        <w:t>=</w:t>
      </w:r>
      <w:r>
        <w:rPr>
          <w:rFonts w:hint="eastAsia" w:ascii="Times New Roman" w:hAnsi="Times New Roman" w:eastAsia="仿宋_GB2312" w:cs="仿宋_GB2312"/>
          <w:sz w:val="32"/>
          <w:szCs w:val="32"/>
          <w:highlight w:val="none"/>
        </w:rPr>
        <w:t>0</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该指标得分为8分。</w:t>
      </w:r>
    </w:p>
    <w:p>
      <w:pPr>
        <w:spacing w:line="360" w:lineRule="auto"/>
        <w:ind w:firstLine="640" w:firstLineChars="200"/>
        <w:outlineLvl w:val="1"/>
        <w:rPr>
          <w:rFonts w:ascii="楷体_GB2312" w:hAnsi="Times New Roman" w:eastAsia="楷体_GB2312" w:cs="仿宋_GB2312"/>
          <w:sz w:val="32"/>
          <w:szCs w:val="32"/>
          <w:highlight w:val="none"/>
        </w:rPr>
      </w:pPr>
      <w:bookmarkStart w:id="147" w:name="_Toc670427443"/>
      <w:bookmarkStart w:id="148" w:name="_Toc90889138"/>
      <w:bookmarkStart w:id="149" w:name="_Toc66801474"/>
      <w:bookmarkStart w:id="150" w:name="_Toc1016871010"/>
      <w:r>
        <w:rPr>
          <w:rFonts w:hint="eastAsia" w:ascii="楷体_GB2312" w:hAnsi="Times New Roman" w:eastAsia="楷体_GB2312" w:cs="仿宋_GB2312"/>
          <w:sz w:val="32"/>
          <w:szCs w:val="32"/>
          <w:highlight w:val="none"/>
        </w:rPr>
        <w:t>（四）项目效益情况</w:t>
      </w:r>
      <w:bookmarkEnd w:id="147"/>
      <w:bookmarkEnd w:id="148"/>
      <w:bookmarkEnd w:id="149"/>
      <w:bookmarkEnd w:id="150"/>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效益指标为项目效益1项二级指标，2项三级指标，基础总分20分，合计得</w:t>
      </w:r>
      <w:r>
        <w:rPr>
          <w:rFonts w:hint="eastAsia" w:ascii="Times New Roman" w:hAnsi="Times New Roman" w:eastAsia="仿宋_GB2312" w:cs="仿宋_GB2312"/>
          <w:sz w:val="32"/>
          <w:szCs w:val="32"/>
          <w:highlight w:val="none"/>
          <w:lang w:val="en-US" w:eastAsia="zh-Hans"/>
        </w:rPr>
        <w:t>分</w:t>
      </w:r>
      <w:r>
        <w:rPr>
          <w:rFonts w:hint="default" w:ascii="Times New Roman" w:hAnsi="Times New Roman" w:eastAsia="仿宋_GB2312" w:cs="仿宋_GB2312"/>
          <w:sz w:val="32"/>
          <w:szCs w:val="32"/>
          <w:highlight w:val="none"/>
          <w:lang w:eastAsia="zh-Hans"/>
        </w:rPr>
        <w:t>20</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 xml:space="preserve"> </w:t>
      </w:r>
      <w:bookmarkStart w:id="151" w:name="_Toc876202244"/>
      <w:bookmarkStart w:id="152" w:name="_Toc27338692"/>
      <w:r>
        <w:rPr>
          <w:rFonts w:hint="default" w:ascii="Times New Roman" w:hAnsi="Times New Roman" w:eastAsia="仿宋_GB2312" w:cs="仿宋_GB2312"/>
          <w:sz w:val="32"/>
          <w:szCs w:val="32"/>
          <w:highlight w:val="none"/>
        </w:rPr>
        <w:t>1</w:t>
      </w:r>
      <w:r>
        <w:rPr>
          <w:rFonts w:hint="eastAsia" w:ascii="Times New Roman" w:hAnsi="Times New Roman" w:eastAsia="仿宋_GB2312" w:cs="仿宋_GB2312"/>
          <w:sz w:val="32"/>
          <w:szCs w:val="32"/>
          <w:highlight w:val="none"/>
          <w:lang w:val="en-US" w:eastAsia="zh-Hans"/>
        </w:rPr>
        <w:t>.</w:t>
      </w:r>
      <w:r>
        <w:rPr>
          <w:rFonts w:hint="eastAsia" w:ascii="Times New Roman" w:hAnsi="Times New Roman" w:eastAsia="仿宋_GB2312" w:cs="仿宋_GB2312"/>
          <w:sz w:val="32"/>
          <w:szCs w:val="32"/>
          <w:highlight w:val="none"/>
        </w:rPr>
        <w:t>社会效益</w:t>
      </w:r>
      <w:bookmarkEnd w:id="151"/>
      <w:bookmarkEnd w:id="152"/>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绩效评价人员对绩效评价人员对收到东丽区计划生育的家庭补助款的人员进行调查，居民生活质量有所改善，居民反应效果较好。</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w:t>
      </w:r>
      <w:r>
        <w:rPr>
          <w:rFonts w:hint="eastAsia" w:ascii="Times New Roman" w:hAnsi="Times New Roman" w:eastAsia="仿宋_GB2312" w:cs="仿宋_GB2312"/>
          <w:sz w:val="32"/>
          <w:szCs w:val="32"/>
          <w:highlight w:val="none"/>
          <w:lang w:val="en-US" w:eastAsia="zh-Hans"/>
        </w:rPr>
        <w:t>总分为</w:t>
      </w:r>
      <w:r>
        <w:rPr>
          <w:rFonts w:hint="default" w:ascii="Times New Roman" w:hAnsi="Times New Roman" w:eastAsia="仿宋_GB2312" w:cs="仿宋_GB2312"/>
          <w:sz w:val="32"/>
          <w:szCs w:val="32"/>
          <w:highlight w:val="none"/>
          <w:lang w:eastAsia="zh-Hans"/>
        </w:rPr>
        <w:t>10</w:t>
      </w:r>
      <w:r>
        <w:rPr>
          <w:rFonts w:hint="eastAsia" w:ascii="Times New Roman" w:hAnsi="Times New Roman" w:eastAsia="仿宋_GB2312" w:cs="仿宋_GB2312"/>
          <w:sz w:val="32"/>
          <w:szCs w:val="32"/>
          <w:highlight w:val="none"/>
          <w:lang w:val="en-US" w:eastAsia="zh-Hans"/>
        </w:rPr>
        <w:t>分</w:t>
      </w:r>
      <w:r>
        <w:rPr>
          <w:rFonts w:hint="default" w:ascii="Times New Roman" w:hAnsi="Times New Roman" w:eastAsia="仿宋_GB2312" w:cs="仿宋_GB2312"/>
          <w:sz w:val="32"/>
          <w:szCs w:val="32"/>
          <w:highlight w:val="none"/>
          <w:lang w:eastAsia="zh-Hans"/>
        </w:rPr>
        <w:t>，</w:t>
      </w:r>
      <w:r>
        <w:rPr>
          <w:rFonts w:hint="eastAsia" w:ascii="Times New Roman" w:hAnsi="Times New Roman" w:eastAsia="仿宋_GB2312" w:cs="仿宋_GB2312"/>
          <w:sz w:val="32"/>
          <w:szCs w:val="32"/>
          <w:highlight w:val="none"/>
          <w:lang w:val="en-US" w:eastAsia="zh-Hans"/>
        </w:rPr>
        <w:t>得分</w:t>
      </w:r>
      <w:r>
        <w:rPr>
          <w:rFonts w:hint="eastAsia" w:ascii="Times New Roman" w:hAnsi="Times New Roman" w:eastAsia="仿宋_GB2312" w:cs="仿宋_GB2312"/>
          <w:sz w:val="32"/>
          <w:szCs w:val="32"/>
          <w:highlight w:val="none"/>
          <w:lang w:val="en-US" w:eastAsia="zh-CN"/>
        </w:rPr>
        <w:t>10</w:t>
      </w:r>
      <w:r>
        <w:rPr>
          <w:rFonts w:hint="eastAsia" w:ascii="Times New Roman" w:hAnsi="Times New Roman" w:eastAsia="仿宋_GB2312" w:cs="仿宋_GB2312"/>
          <w:sz w:val="32"/>
          <w:szCs w:val="32"/>
          <w:highlight w:val="none"/>
        </w:rPr>
        <w:t>分。</w:t>
      </w:r>
    </w:p>
    <w:p>
      <w:pPr>
        <w:spacing w:line="360" w:lineRule="auto"/>
        <w:ind w:firstLine="640" w:firstLineChars="200"/>
        <w:outlineLvl w:val="2"/>
        <w:rPr>
          <w:rFonts w:ascii="Times New Roman" w:hAnsi="Times New Roman" w:eastAsia="仿宋_GB2312" w:cs="仿宋_GB2312"/>
          <w:sz w:val="32"/>
          <w:szCs w:val="32"/>
          <w:highlight w:val="none"/>
        </w:rPr>
      </w:pPr>
      <w:bookmarkStart w:id="153" w:name="_Toc2067379633"/>
      <w:bookmarkStart w:id="154" w:name="_Toc1035747429"/>
      <w:r>
        <w:rPr>
          <w:rFonts w:hint="default" w:ascii="Times New Roman" w:hAnsi="Times New Roman" w:eastAsia="仿宋_GB2312" w:cs="仿宋_GB2312"/>
          <w:sz w:val="32"/>
          <w:szCs w:val="32"/>
          <w:highlight w:val="none"/>
        </w:rPr>
        <w:t>2</w:t>
      </w:r>
      <w:r>
        <w:rPr>
          <w:rFonts w:hint="eastAsia" w:ascii="Times New Roman" w:hAnsi="Times New Roman" w:eastAsia="仿宋_GB2312" w:cs="仿宋_GB2312"/>
          <w:sz w:val="32"/>
          <w:szCs w:val="32"/>
          <w:highlight w:val="none"/>
          <w:lang w:val="en-US" w:eastAsia="zh-Hans"/>
        </w:rPr>
        <w:t>.</w:t>
      </w:r>
      <w:r>
        <w:rPr>
          <w:rFonts w:hint="eastAsia" w:ascii="Times New Roman" w:hAnsi="Times New Roman" w:eastAsia="仿宋_GB2312" w:cs="仿宋_GB2312"/>
          <w:sz w:val="32"/>
          <w:szCs w:val="32"/>
          <w:highlight w:val="none"/>
        </w:rPr>
        <w:t>受益群体满意度</w:t>
      </w:r>
      <w:bookmarkEnd w:id="153"/>
      <w:bookmarkEnd w:id="154"/>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本次调查共发放23份问卷，回收有效问卷19份。根据每张问卷得分及问卷份数进行算数平均，最终本项目收益群众满意度得分为90分。</w:t>
      </w:r>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该指标</w:t>
      </w:r>
      <w:r>
        <w:rPr>
          <w:rFonts w:hint="eastAsia" w:ascii="Times New Roman" w:hAnsi="Times New Roman" w:eastAsia="仿宋_GB2312" w:cs="仿宋_GB2312"/>
          <w:sz w:val="32"/>
          <w:szCs w:val="32"/>
          <w:highlight w:val="none"/>
          <w:lang w:val="en-US" w:eastAsia="zh-Hans"/>
        </w:rPr>
        <w:t>总分为</w:t>
      </w:r>
      <w:r>
        <w:rPr>
          <w:rFonts w:hint="default" w:ascii="Times New Roman" w:hAnsi="Times New Roman" w:eastAsia="仿宋_GB2312" w:cs="仿宋_GB2312"/>
          <w:sz w:val="32"/>
          <w:szCs w:val="32"/>
          <w:highlight w:val="none"/>
          <w:lang w:eastAsia="zh-Hans"/>
        </w:rPr>
        <w:t>10</w:t>
      </w:r>
      <w:r>
        <w:rPr>
          <w:rFonts w:hint="eastAsia" w:ascii="Times New Roman" w:hAnsi="Times New Roman" w:eastAsia="仿宋_GB2312" w:cs="仿宋_GB2312"/>
          <w:sz w:val="32"/>
          <w:szCs w:val="32"/>
          <w:highlight w:val="none"/>
          <w:lang w:val="en-US" w:eastAsia="zh-Hans"/>
        </w:rPr>
        <w:t>分</w:t>
      </w:r>
      <w:r>
        <w:rPr>
          <w:rFonts w:hint="default" w:ascii="Times New Roman" w:hAnsi="Times New Roman" w:eastAsia="仿宋_GB2312" w:cs="仿宋_GB2312"/>
          <w:sz w:val="32"/>
          <w:szCs w:val="32"/>
          <w:highlight w:val="none"/>
          <w:lang w:eastAsia="zh-Hans"/>
        </w:rPr>
        <w:t>，</w:t>
      </w:r>
      <w:r>
        <w:rPr>
          <w:rFonts w:hint="eastAsia" w:ascii="Times New Roman" w:hAnsi="Times New Roman" w:eastAsia="仿宋_GB2312" w:cs="仿宋_GB2312"/>
          <w:sz w:val="32"/>
          <w:szCs w:val="32"/>
          <w:highlight w:val="none"/>
          <w:lang w:val="en-US" w:eastAsia="zh-Hans"/>
        </w:rPr>
        <w:t>得分</w:t>
      </w:r>
      <w:r>
        <w:rPr>
          <w:rFonts w:hint="eastAsia" w:ascii="Times New Roman" w:hAnsi="Times New Roman" w:eastAsia="仿宋_GB2312" w:cs="仿宋_GB2312"/>
          <w:sz w:val="32"/>
          <w:szCs w:val="32"/>
          <w:highlight w:val="none"/>
          <w:lang w:val="en-US" w:eastAsia="zh-CN"/>
        </w:rPr>
        <w:t>10</w:t>
      </w:r>
      <w:r>
        <w:rPr>
          <w:rFonts w:hint="eastAsia" w:ascii="Times New Roman" w:hAnsi="Times New Roman" w:eastAsia="仿宋_GB2312" w:cs="仿宋_GB2312"/>
          <w:sz w:val="32"/>
          <w:szCs w:val="32"/>
          <w:highlight w:val="none"/>
        </w:rPr>
        <w:t>分。</w:t>
      </w:r>
    </w:p>
    <w:p>
      <w:pPr>
        <w:autoSpaceDE w:val="0"/>
        <w:autoSpaceDN w:val="0"/>
        <w:adjustRightInd w:val="0"/>
        <w:spacing w:line="360" w:lineRule="auto"/>
        <w:ind w:firstLine="640" w:firstLineChars="200"/>
        <w:jc w:val="left"/>
        <w:outlineLvl w:val="0"/>
        <w:rPr>
          <w:rFonts w:ascii="Times New Roman" w:hAnsi="黑体" w:eastAsia="黑体" w:cs="黑体"/>
          <w:sz w:val="32"/>
          <w:szCs w:val="32"/>
          <w:highlight w:val="none"/>
        </w:rPr>
      </w:pPr>
      <w:bookmarkStart w:id="155" w:name="_Toc90889140"/>
      <w:bookmarkStart w:id="156" w:name="_Toc304596621"/>
      <w:bookmarkStart w:id="157" w:name="_Toc66801476"/>
      <w:bookmarkStart w:id="158" w:name="_Toc164083371"/>
      <w:r>
        <w:rPr>
          <w:rFonts w:hint="eastAsia" w:ascii="Times New Roman" w:hAnsi="黑体" w:eastAsia="黑体" w:cs="黑体"/>
          <w:sz w:val="32"/>
          <w:szCs w:val="32"/>
          <w:highlight w:val="none"/>
        </w:rPr>
        <w:t>五、存在的问题</w:t>
      </w:r>
      <w:bookmarkEnd w:id="155"/>
      <w:bookmarkEnd w:id="156"/>
      <w:bookmarkEnd w:id="157"/>
      <w:bookmarkEnd w:id="158"/>
    </w:p>
    <w:p>
      <w:pPr>
        <w:spacing w:line="360" w:lineRule="auto"/>
        <w:ind w:firstLine="640" w:firstLineChars="200"/>
        <w:outlineLvl w:val="1"/>
        <w:rPr>
          <w:rFonts w:ascii="楷体_GB2312" w:hAnsi="Times New Roman" w:eastAsia="楷体_GB2312" w:cs="仿宋_GB2312"/>
          <w:sz w:val="32"/>
          <w:szCs w:val="32"/>
          <w:highlight w:val="none"/>
        </w:rPr>
      </w:pPr>
      <w:bookmarkStart w:id="159" w:name="_Toc66801477"/>
      <w:bookmarkStart w:id="160" w:name="_Toc90889141"/>
      <w:bookmarkStart w:id="161" w:name="_Toc380213649"/>
      <w:bookmarkStart w:id="162" w:name="_Toc1901878346"/>
      <w:bookmarkStart w:id="163" w:name="_Hlk91497549"/>
      <w:r>
        <w:rPr>
          <w:rFonts w:hint="eastAsia" w:ascii="楷体_GB2312" w:hAnsi="Times New Roman" w:eastAsia="楷体_GB2312" w:cs="仿宋_GB2312"/>
          <w:sz w:val="32"/>
          <w:szCs w:val="32"/>
          <w:highlight w:val="none"/>
        </w:rPr>
        <w:t>（一）</w:t>
      </w:r>
      <w:bookmarkEnd w:id="159"/>
      <w:r>
        <w:rPr>
          <w:rFonts w:hint="eastAsia" w:ascii="楷体_GB2312" w:hAnsi="Times New Roman" w:eastAsia="楷体_GB2312" w:cs="仿宋_GB2312"/>
          <w:sz w:val="32"/>
          <w:szCs w:val="32"/>
          <w:highlight w:val="none"/>
        </w:rPr>
        <w:t>项目绩效指标设置不科学</w:t>
      </w:r>
      <w:bookmarkEnd w:id="160"/>
      <w:bookmarkEnd w:id="161"/>
      <w:bookmarkEnd w:id="162"/>
    </w:p>
    <w:p>
      <w:pPr>
        <w:pStyle w:val="18"/>
        <w:rPr>
          <w:rFonts w:hint="eastAsia" w:ascii="仿宋_GB2312" w:hAnsi="仿宋_GB2312"/>
          <w:highlight w:val="none"/>
        </w:rPr>
      </w:pPr>
      <w:r>
        <w:rPr>
          <w:rFonts w:hint="eastAsia" w:ascii="仿宋_GB2312" w:hAnsi="仿宋_GB2312"/>
          <w:highlight w:val="none"/>
        </w:rPr>
        <w:t>本项目“质量指标-符合天津人员补贴发放率≥90%”指标值较低，“时效指标-年底前完成”指标值不具体，绩效指标不清晰、可衡量性不足，未对各项绩效目标进行细化，各类指标不能全面、准确地反映项目将要实现的目标，指标值不够清晰，使得项目的绩效目标指向性不强，不易衡量，从而难以对奖励扶助项目后续跟踪管理。</w:t>
      </w:r>
    </w:p>
    <w:p>
      <w:pPr>
        <w:spacing w:line="360" w:lineRule="auto"/>
        <w:ind w:firstLine="640" w:firstLineChars="200"/>
        <w:outlineLvl w:val="1"/>
        <w:rPr>
          <w:rFonts w:ascii="楷体_GB2312" w:hAnsi="Times New Roman" w:eastAsia="楷体_GB2312" w:cs="仿宋_GB2312"/>
          <w:sz w:val="32"/>
          <w:szCs w:val="32"/>
          <w:highlight w:val="none"/>
        </w:rPr>
      </w:pPr>
      <w:bookmarkStart w:id="164" w:name="_Toc90889142"/>
      <w:bookmarkStart w:id="165" w:name="_Toc1722759274"/>
      <w:bookmarkStart w:id="166" w:name="_Toc1486948918"/>
      <w:r>
        <w:rPr>
          <w:rFonts w:hint="eastAsia" w:ascii="楷体_GB2312" w:hAnsi="Times New Roman" w:eastAsia="楷体_GB2312" w:cs="仿宋_GB2312"/>
          <w:sz w:val="32"/>
          <w:szCs w:val="32"/>
          <w:highlight w:val="none"/>
        </w:rPr>
        <w:t>（二）项目未进行详细预算编制</w:t>
      </w:r>
      <w:bookmarkEnd w:id="164"/>
      <w:bookmarkEnd w:id="165"/>
      <w:bookmarkEnd w:id="166"/>
    </w:p>
    <w:p>
      <w:pPr>
        <w:pStyle w:val="18"/>
        <w:rPr>
          <w:highlight w:val="none"/>
        </w:rPr>
      </w:pPr>
      <w:r>
        <w:rPr>
          <w:rFonts w:hint="eastAsia"/>
          <w:highlight w:val="none"/>
        </w:rPr>
        <w:t>本项目未针对项目具体工作任务进行预算编制，无工作任务明细。</w:t>
      </w:r>
    </w:p>
    <w:p>
      <w:pPr>
        <w:spacing w:line="360" w:lineRule="auto"/>
        <w:ind w:firstLine="640" w:firstLineChars="200"/>
        <w:outlineLvl w:val="1"/>
        <w:rPr>
          <w:rFonts w:ascii="楷体_GB2312" w:hAnsi="Times New Roman" w:eastAsia="楷体_GB2312" w:cs="仿宋_GB2312"/>
          <w:sz w:val="32"/>
          <w:szCs w:val="32"/>
          <w:highlight w:val="none"/>
        </w:rPr>
      </w:pPr>
      <w:bookmarkStart w:id="167" w:name="_Toc90889144"/>
      <w:bookmarkStart w:id="168" w:name="_Toc883264687"/>
      <w:bookmarkStart w:id="169" w:name="_Toc2040589264"/>
      <w:r>
        <w:rPr>
          <w:rFonts w:hint="eastAsia" w:ascii="楷体_GB2312" w:hAnsi="Times New Roman" w:eastAsia="楷体_GB2312" w:cs="仿宋_GB2312"/>
          <w:sz w:val="32"/>
          <w:szCs w:val="32"/>
          <w:highlight w:val="none"/>
        </w:rPr>
        <w:t>（三）</w:t>
      </w:r>
      <w:bookmarkEnd w:id="163"/>
      <w:bookmarkEnd w:id="167"/>
      <w:r>
        <w:rPr>
          <w:rFonts w:hint="eastAsia" w:ascii="楷体_GB2312" w:hAnsi="Times New Roman" w:eastAsia="楷体_GB2312" w:cs="仿宋_GB2312"/>
          <w:sz w:val="32"/>
          <w:szCs w:val="32"/>
          <w:highlight w:val="none"/>
        </w:rPr>
        <w:t>未设置详细的管理制度</w:t>
      </w:r>
      <w:bookmarkEnd w:id="168"/>
      <w:bookmarkEnd w:id="169"/>
    </w:p>
    <w:p>
      <w:pPr>
        <w:pStyle w:val="18"/>
        <w:spacing w:line="360" w:lineRule="auto"/>
        <w:ind w:firstLine="640" w:firstLineChars="200"/>
        <w:outlineLvl w:val="9"/>
        <w:rPr>
          <w:rFonts w:hint="eastAsia" w:ascii="仿宋_GB2312" w:hAnsi="仿宋_GB2312" w:eastAsia="仿宋_GB2312" w:cs="仿宋_GB2312"/>
          <w:sz w:val="32"/>
          <w:szCs w:val="32"/>
          <w:highlight w:val="none"/>
        </w:rPr>
      </w:pPr>
      <w:bookmarkStart w:id="170" w:name="_Toc869917458"/>
      <w:r>
        <w:rPr>
          <w:rFonts w:hint="eastAsia" w:ascii="仿宋_GB2312" w:hAnsi="仿宋_GB2312" w:eastAsia="仿宋_GB2312" w:cs="仿宋_GB2312"/>
          <w:sz w:val="32"/>
          <w:szCs w:val="32"/>
          <w:highlight w:val="none"/>
        </w:rPr>
        <w:t>本项目未针对资金管理、财务管理等项目设置具体的管理制度。</w:t>
      </w:r>
      <w:bookmarkEnd w:id="170"/>
    </w:p>
    <w:p>
      <w:pPr>
        <w:spacing w:line="360" w:lineRule="auto"/>
        <w:ind w:firstLine="640" w:firstLineChars="200"/>
        <w:outlineLvl w:val="1"/>
        <w:rPr>
          <w:rFonts w:ascii="楷体_GB2312" w:hAnsi="Times New Roman" w:eastAsia="楷体_GB2312" w:cs="仿宋_GB2312"/>
          <w:sz w:val="32"/>
          <w:szCs w:val="32"/>
          <w:highlight w:val="none"/>
        </w:rPr>
      </w:pPr>
      <w:bookmarkStart w:id="171" w:name="_Toc1622626345"/>
      <w:bookmarkStart w:id="172" w:name="_Toc634047830"/>
      <w:r>
        <w:rPr>
          <w:rFonts w:hint="eastAsia" w:ascii="楷体_GB2312" w:hAnsi="Times New Roman" w:eastAsia="楷体_GB2312" w:cs="仿宋_GB2312"/>
          <w:sz w:val="32"/>
          <w:szCs w:val="32"/>
          <w:highlight w:val="none"/>
        </w:rPr>
        <w:t>（四）项目管理执行不到位</w:t>
      </w:r>
      <w:bookmarkEnd w:id="171"/>
      <w:bookmarkEnd w:id="172"/>
    </w:p>
    <w:p>
      <w:pPr>
        <w:pStyle w:val="18"/>
        <w:spacing w:line="360" w:lineRule="auto"/>
        <w:ind w:firstLine="640" w:firstLineChars="200"/>
        <w:outlineLvl w:val="9"/>
        <w:rPr>
          <w:rFonts w:hint="eastAsia"/>
          <w:highlight w:val="none"/>
        </w:rPr>
      </w:pPr>
      <w:bookmarkStart w:id="173" w:name="_Toc628022396"/>
      <w:r>
        <w:rPr>
          <w:rFonts w:hint="eastAsia"/>
          <w:highlight w:val="none"/>
        </w:rPr>
        <w:t>本项目奖励扶助未见详细的奖励材料，且记账凭证只与部分入账清单可以对应。</w:t>
      </w:r>
      <w:bookmarkEnd w:id="173"/>
    </w:p>
    <w:p>
      <w:pPr>
        <w:autoSpaceDE w:val="0"/>
        <w:autoSpaceDN w:val="0"/>
        <w:adjustRightInd w:val="0"/>
        <w:spacing w:line="360" w:lineRule="auto"/>
        <w:ind w:firstLine="640" w:firstLineChars="200"/>
        <w:jc w:val="left"/>
        <w:outlineLvl w:val="0"/>
        <w:rPr>
          <w:rFonts w:ascii="Times New Roman" w:hAnsi="黑体" w:eastAsia="黑体" w:cs="黑体"/>
          <w:sz w:val="32"/>
          <w:szCs w:val="32"/>
          <w:highlight w:val="none"/>
        </w:rPr>
      </w:pPr>
      <w:bookmarkStart w:id="174" w:name="_Toc586147162"/>
      <w:bookmarkStart w:id="175" w:name="_Toc66801482"/>
      <w:bookmarkStart w:id="176" w:name="_Toc90889145"/>
      <w:bookmarkStart w:id="177" w:name="_Toc290284567"/>
      <w:r>
        <w:rPr>
          <w:rFonts w:hint="eastAsia" w:ascii="Times New Roman" w:hAnsi="黑体" w:eastAsia="黑体" w:cs="黑体"/>
          <w:sz w:val="32"/>
          <w:szCs w:val="32"/>
          <w:highlight w:val="none"/>
        </w:rPr>
        <w:t>六、有关建议</w:t>
      </w:r>
      <w:bookmarkEnd w:id="174"/>
      <w:bookmarkEnd w:id="175"/>
      <w:bookmarkEnd w:id="176"/>
      <w:bookmarkEnd w:id="177"/>
    </w:p>
    <w:p>
      <w:pPr>
        <w:spacing w:line="360" w:lineRule="auto"/>
        <w:ind w:firstLine="640" w:firstLineChars="200"/>
        <w:outlineLvl w:val="1"/>
        <w:rPr>
          <w:rFonts w:ascii="楷体_GB2312" w:hAnsi="Times New Roman" w:eastAsia="楷体_GB2312" w:cs="仿宋_GB2312"/>
          <w:sz w:val="32"/>
          <w:szCs w:val="32"/>
          <w:highlight w:val="none"/>
        </w:rPr>
      </w:pPr>
      <w:bookmarkStart w:id="178" w:name="_Toc867862945"/>
      <w:bookmarkStart w:id="179" w:name="_Toc90889146"/>
      <w:bookmarkStart w:id="180" w:name="_Toc1877355232"/>
      <w:bookmarkStart w:id="181" w:name="_Toc66801488"/>
      <w:r>
        <w:rPr>
          <w:rFonts w:hint="eastAsia" w:ascii="楷体_GB2312" w:hAnsi="Times New Roman" w:eastAsia="楷体_GB2312" w:cs="仿宋_GB2312"/>
          <w:sz w:val="32"/>
          <w:szCs w:val="32"/>
          <w:highlight w:val="none"/>
        </w:rPr>
        <w:t>（一）加强项目绩效管理</w:t>
      </w:r>
      <w:bookmarkEnd w:id="178"/>
      <w:bookmarkEnd w:id="179"/>
      <w:bookmarkEnd w:id="180"/>
    </w:p>
    <w:p>
      <w:pPr>
        <w:pStyle w:val="18"/>
        <w:rPr>
          <w:rFonts w:hint="eastAsia" w:ascii="仿宋" w:hAnsi="仿宋" w:eastAsia="仿宋" w:cs="仿宋"/>
          <w:highlight w:val="none"/>
        </w:rPr>
      </w:pPr>
      <w:r>
        <w:rPr>
          <w:rFonts w:hint="eastAsia" w:ascii="仿宋" w:hAnsi="仿宋" w:eastAsia="仿宋" w:cs="仿宋"/>
          <w:highlight w:val="none"/>
        </w:rPr>
        <w:t>建议主管部门依据《中央部门项目支出核心绩效目标和指标设置及取值指引（试行）》（财预〔2021〕101号）要求设定科学的绩效目标与指标。指标值的设定要在考虑可实现性的基础上，尽量从严、从高设定，以充分发挥绩效目标对预算编制执行的引导约束和控制作用。建议项目实施单位根据计划生育奖励扶助项目的实施方案，结合项目的实际情况，及时做好申报项目绩效目标，对申报的绩效目标进行细化，设定清晰、可衡量的指标值，加强项目的绩效导向性，充分发挥绩效指标的评价作用，以有利于加强项目后续跟踪管理，保障项目的顺利实施。</w:t>
      </w:r>
    </w:p>
    <w:p>
      <w:pPr>
        <w:pStyle w:val="18"/>
        <w:rPr>
          <w:rFonts w:hint="eastAsia" w:ascii="仿宋" w:hAnsi="仿宋" w:eastAsia="仿宋" w:cs="仿宋"/>
          <w:highlight w:val="none"/>
        </w:rPr>
      </w:pPr>
      <w:r>
        <w:rPr>
          <w:rFonts w:hint="eastAsia" w:ascii="仿宋" w:hAnsi="仿宋" w:eastAsia="仿宋" w:cs="仿宋"/>
          <w:highlight w:val="none"/>
        </w:rPr>
        <w:t>例如，质量指标设置为：符合条件人员补贴发放率100%，时效指标设置为：年底前完成改为2020年12月31日。</w:t>
      </w:r>
    </w:p>
    <w:p>
      <w:pPr>
        <w:spacing w:line="360" w:lineRule="auto"/>
        <w:ind w:firstLine="640" w:firstLineChars="200"/>
        <w:outlineLvl w:val="1"/>
        <w:rPr>
          <w:rFonts w:ascii="楷体_GB2312" w:hAnsi="Times New Roman" w:eastAsia="楷体_GB2312" w:cs="仿宋_GB2312"/>
          <w:sz w:val="32"/>
          <w:szCs w:val="32"/>
          <w:highlight w:val="none"/>
        </w:rPr>
      </w:pPr>
      <w:bookmarkStart w:id="182" w:name="_Toc463586191"/>
      <w:bookmarkStart w:id="183" w:name="_Toc90889147"/>
      <w:bookmarkStart w:id="184" w:name="_Toc1879642500"/>
      <w:r>
        <w:rPr>
          <w:rFonts w:hint="eastAsia" w:ascii="楷体_GB2312" w:hAnsi="Times New Roman" w:eastAsia="楷体_GB2312" w:cs="仿宋_GB2312"/>
          <w:sz w:val="32"/>
          <w:szCs w:val="32"/>
          <w:highlight w:val="none"/>
        </w:rPr>
        <w:t>（二）科学编制项目预算</w:t>
      </w:r>
      <w:bookmarkEnd w:id="182"/>
      <w:bookmarkEnd w:id="183"/>
      <w:bookmarkEnd w:id="184"/>
    </w:p>
    <w:p>
      <w:pPr>
        <w:pStyle w:val="18"/>
        <w:rPr>
          <w:rFonts w:hint="eastAsia" w:ascii="仿宋" w:hAnsi="仿宋" w:eastAsia="仿宋" w:cs="仿宋"/>
          <w:highlight w:val="none"/>
        </w:rPr>
      </w:pPr>
      <w:r>
        <w:rPr>
          <w:rFonts w:hint="eastAsia" w:ascii="仿宋" w:hAnsi="仿宋" w:eastAsia="仿宋" w:cs="仿宋"/>
          <w:highlight w:val="none"/>
        </w:rPr>
        <w:t>建议主管部门规范项目支出预算编制工作。设立科学的预算管理机制，强化基础编制工作，做到预算编制精细化、科学化。</w:t>
      </w:r>
    </w:p>
    <w:p>
      <w:pPr>
        <w:pStyle w:val="18"/>
        <w:rPr>
          <w:rFonts w:hint="eastAsia" w:ascii="仿宋" w:hAnsi="仿宋" w:eastAsia="仿宋" w:cs="仿宋"/>
          <w:highlight w:val="none"/>
        </w:rPr>
      </w:pPr>
      <w:r>
        <w:rPr>
          <w:rFonts w:hint="eastAsia" w:ascii="仿宋" w:hAnsi="仿宋" w:eastAsia="仿宋" w:cs="仿宋"/>
          <w:highlight w:val="none"/>
        </w:rPr>
        <w:t>例如，按照标准的预算框架体系，每年年初</w:t>
      </w:r>
      <w:bookmarkStart w:id="185" w:name="_Toc90889148"/>
      <w:r>
        <w:rPr>
          <w:rFonts w:hint="eastAsia" w:ascii="仿宋" w:hAnsi="仿宋" w:eastAsia="仿宋" w:cs="仿宋"/>
          <w:highlight w:val="none"/>
        </w:rPr>
        <w:t>结合实际及上年项目执行情况以及相关部门的人数统计，科学、合理确定支出计划。</w:t>
      </w:r>
    </w:p>
    <w:p>
      <w:pPr>
        <w:outlineLvl w:val="1"/>
        <w:rPr>
          <w:rFonts w:hint="eastAsia" w:ascii="楷体_GB2312" w:hAnsi="Times New Roman" w:eastAsia="楷体_GB2312" w:cs="仿宋_GB2312"/>
          <w:sz w:val="32"/>
          <w:szCs w:val="32"/>
          <w:highlight w:val="none"/>
        </w:rPr>
      </w:pPr>
      <w:bookmarkStart w:id="186" w:name="_Toc1667050130"/>
      <w:bookmarkStart w:id="187" w:name="_Toc422440821"/>
      <w:r>
        <w:rPr>
          <w:rFonts w:hint="eastAsia" w:ascii="楷体_GB2312" w:hAnsi="Times New Roman" w:eastAsia="楷体_GB2312" w:cs="仿宋_GB2312"/>
          <w:sz w:val="32"/>
          <w:szCs w:val="32"/>
          <w:highlight w:val="none"/>
        </w:rPr>
        <w:t>（三）设置具体的财务管理制度</w:t>
      </w:r>
      <w:bookmarkEnd w:id="186"/>
      <w:bookmarkEnd w:id="187"/>
    </w:p>
    <w:p>
      <w:pPr>
        <w:pStyle w:val="18"/>
        <w:rPr>
          <w:rFonts w:hint="eastAsia" w:ascii="仿宋" w:hAnsi="仿宋" w:eastAsia="仿宋" w:cs="仿宋"/>
          <w:highlight w:val="none"/>
        </w:rPr>
      </w:pPr>
      <w:r>
        <w:rPr>
          <w:rFonts w:hint="eastAsia" w:ascii="仿宋" w:hAnsi="仿宋" w:eastAsia="仿宋" w:cs="仿宋"/>
          <w:highlight w:val="none"/>
        </w:rPr>
        <w:t>建议主管部门设置可行有效的财务管理制度以及资金管理办法，加强对于财政资金的规范使用。</w:t>
      </w:r>
      <w:bookmarkEnd w:id="185"/>
    </w:p>
    <w:p>
      <w:pPr>
        <w:spacing w:line="240" w:lineRule="auto"/>
        <w:ind w:firstLine="0" w:firstLineChars="0"/>
        <w:outlineLvl w:val="1"/>
        <w:rPr>
          <w:rFonts w:hint="eastAsia" w:ascii="楷体_GB2312" w:hAnsi="Times New Roman" w:eastAsia="楷体_GB2312" w:cs="仿宋_GB2312"/>
          <w:sz w:val="32"/>
          <w:szCs w:val="32"/>
          <w:highlight w:val="none"/>
        </w:rPr>
      </w:pPr>
      <w:bookmarkStart w:id="188" w:name="_Toc2039876148"/>
      <w:bookmarkStart w:id="189" w:name="_Toc381941565"/>
      <w:bookmarkStart w:id="190" w:name="_Toc90889149"/>
      <w:r>
        <w:rPr>
          <w:rFonts w:hint="eastAsia" w:ascii="楷体_GB2312" w:hAnsi="Times New Roman" w:eastAsia="楷体_GB2312" w:cs="仿宋_GB2312"/>
          <w:sz w:val="32"/>
          <w:szCs w:val="32"/>
          <w:highlight w:val="none"/>
        </w:rPr>
        <w:t>（四）严格把控制度执行</w:t>
      </w:r>
      <w:bookmarkEnd w:id="188"/>
      <w:bookmarkEnd w:id="189"/>
      <w:bookmarkEnd w:id="190"/>
    </w:p>
    <w:p>
      <w:pPr>
        <w:pStyle w:val="18"/>
        <w:spacing w:line="360" w:lineRule="auto"/>
        <w:ind w:firstLine="640" w:firstLineChars="200"/>
        <w:outlineLvl w:val="9"/>
        <w:rPr>
          <w:rFonts w:hint="eastAsia" w:ascii="仿宋" w:hAnsi="仿宋" w:eastAsia="仿宋" w:cs="仿宋"/>
          <w:sz w:val="32"/>
          <w:szCs w:val="32"/>
          <w:highlight w:val="none"/>
        </w:rPr>
      </w:pPr>
      <w:bookmarkStart w:id="191" w:name="_Toc1769478728"/>
      <w:r>
        <w:rPr>
          <w:rFonts w:hint="eastAsia" w:ascii="仿宋" w:hAnsi="仿宋" w:eastAsia="仿宋" w:cs="仿宋"/>
          <w:sz w:val="32"/>
          <w:szCs w:val="32"/>
          <w:highlight w:val="none"/>
        </w:rPr>
        <w:t>建议实施部门完善内部控制和监督制约机制，规范使用财政资金，专款专用，专账核算，提高财政资金使用效益。</w:t>
      </w:r>
      <w:bookmarkEnd w:id="191"/>
    </w:p>
    <w:p>
      <w:pPr>
        <w:pStyle w:val="18"/>
        <w:spacing w:line="360" w:lineRule="auto"/>
        <w:ind w:firstLine="640" w:firstLineChars="200"/>
        <w:outlineLvl w:val="9"/>
        <w:rPr>
          <w:rFonts w:hint="eastAsia" w:ascii="仿宋" w:hAnsi="仿宋" w:eastAsia="仿宋" w:cs="仿宋"/>
          <w:sz w:val="32"/>
          <w:szCs w:val="32"/>
          <w:highlight w:val="none"/>
        </w:rPr>
      </w:pPr>
      <w:bookmarkStart w:id="192" w:name="_Toc1275437840"/>
      <w:r>
        <w:rPr>
          <w:rFonts w:hint="eastAsia" w:ascii="仿宋" w:hAnsi="仿宋" w:eastAsia="仿宋" w:cs="仿宋"/>
          <w:sz w:val="32"/>
          <w:szCs w:val="32"/>
          <w:highlight w:val="none"/>
        </w:rPr>
        <w:t>建议项目实施单位对专项资金设立专账核算，确保财务核算的及时、准确、完整。</w:t>
      </w:r>
      <w:bookmarkEnd w:id="192"/>
    </w:p>
    <w:p>
      <w:pPr>
        <w:autoSpaceDE w:val="0"/>
        <w:autoSpaceDN w:val="0"/>
        <w:adjustRightInd w:val="0"/>
        <w:spacing w:line="360" w:lineRule="auto"/>
        <w:ind w:firstLine="640" w:firstLineChars="200"/>
        <w:jc w:val="left"/>
        <w:outlineLvl w:val="0"/>
        <w:rPr>
          <w:rFonts w:ascii="Times New Roman" w:hAnsi="黑体" w:eastAsia="黑体" w:cs="黑体"/>
          <w:sz w:val="32"/>
          <w:szCs w:val="32"/>
          <w:highlight w:val="none"/>
        </w:rPr>
      </w:pPr>
      <w:bookmarkStart w:id="193" w:name="_Toc102012526"/>
      <w:bookmarkStart w:id="194" w:name="_Toc463262072"/>
      <w:bookmarkStart w:id="195" w:name="_Toc90889150"/>
      <w:r>
        <w:rPr>
          <w:rFonts w:hint="eastAsia" w:ascii="Times New Roman" w:hAnsi="黑体" w:eastAsia="黑体" w:cs="黑体"/>
          <w:sz w:val="32"/>
          <w:szCs w:val="32"/>
          <w:highlight w:val="none"/>
        </w:rPr>
        <w:t>七、其他需要说明的问题</w:t>
      </w:r>
      <w:bookmarkEnd w:id="181"/>
      <w:bookmarkEnd w:id="193"/>
      <w:bookmarkEnd w:id="194"/>
      <w:bookmarkEnd w:id="195"/>
    </w:p>
    <w:p>
      <w:pPr>
        <w:spacing w:line="360" w:lineRule="auto"/>
        <w:ind w:firstLine="640" w:firstLineChars="200"/>
        <w:rPr>
          <w:rFonts w:ascii="Times New Roman" w:hAnsi="Times New Roman" w:eastAsia="仿宋_GB2312" w:cs="仿宋_GB2312"/>
          <w:sz w:val="32"/>
          <w:szCs w:val="32"/>
          <w:highlight w:val="none"/>
        </w:rPr>
      </w:pPr>
      <w:r>
        <w:rPr>
          <w:rFonts w:hint="eastAsia" w:ascii="Times New Roman" w:hAnsi="Times New Roman" w:eastAsia="仿宋_GB2312" w:cs="仿宋_GB2312"/>
          <w:sz w:val="32"/>
          <w:szCs w:val="32"/>
          <w:highlight w:val="none"/>
        </w:rPr>
        <w:t>无</w:t>
      </w:r>
    </w:p>
    <w:p>
      <w:pPr>
        <w:spacing w:line="360" w:lineRule="auto"/>
        <w:ind w:firstLine="0" w:firstLineChars="0"/>
        <w:rPr>
          <w:rFonts w:ascii="Times New Roman" w:hAnsi="Times New Roman" w:eastAsia="仿宋_GB2312" w:cs="仿宋_GB2312"/>
          <w:sz w:val="32"/>
          <w:szCs w:val="32"/>
          <w:highlight w:val="none"/>
        </w:rPr>
      </w:pPr>
    </w:p>
    <w:p>
      <w:pPr>
        <w:spacing w:line="360" w:lineRule="auto"/>
        <w:ind w:firstLine="640" w:firstLineChars="200"/>
        <w:outlineLvl w:val="0"/>
        <w:rPr>
          <w:rFonts w:ascii="Times New Roman" w:hAnsi="Times New Roman" w:eastAsia="仿宋_GB2312" w:cs="仿宋_GB2312"/>
          <w:sz w:val="32"/>
          <w:szCs w:val="32"/>
          <w:highlight w:val="none"/>
        </w:rPr>
      </w:pPr>
      <w:bookmarkStart w:id="196" w:name="_Toc832574176"/>
      <w:bookmarkStart w:id="197" w:name="_Toc1417423729"/>
      <w:r>
        <w:rPr>
          <w:rFonts w:hint="eastAsia" w:ascii="Times New Roman" w:hAnsi="Times New Roman" w:eastAsia="仿宋_GB2312" w:cs="仿宋_GB2312"/>
          <w:sz w:val="32"/>
          <w:szCs w:val="32"/>
          <w:highlight w:val="none"/>
        </w:rPr>
        <w:t>附件1：计划生育奖励扶助项目绩效评价指标体系及评分表</w:t>
      </w:r>
      <w:bookmarkEnd w:id="196"/>
      <w:bookmarkEnd w:id="197"/>
    </w:p>
    <w:p>
      <w:pPr>
        <w:pStyle w:val="18"/>
        <w:rPr>
          <w:highlight w:val="none"/>
        </w:rPr>
      </w:pPr>
    </w:p>
    <w:p>
      <w:pPr>
        <w:pStyle w:val="18"/>
        <w:spacing w:beforeLines="0" w:afterLines="0"/>
        <w:rPr>
          <w:highlight w:val="none"/>
        </w:rPr>
        <w:sectPr>
          <w:footerReference r:id="rId6" w:type="default"/>
          <w:pgSz w:w="11906" w:h="16838"/>
          <w:pgMar w:top="1440" w:right="1800" w:bottom="1440" w:left="1800" w:header="851" w:footer="992" w:gutter="0"/>
          <w:pgBorders w:offsetFrom="page">
            <w:top w:val="none" w:sz="0" w:space="0"/>
            <w:left w:val="none" w:sz="0" w:space="0"/>
            <w:bottom w:val="none" w:sz="0" w:space="0"/>
            <w:right w:val="none" w:sz="0" w:space="0"/>
          </w:pgBorders>
          <w:pgNumType w:fmt="decimal" w:start="1"/>
          <w:cols w:space="425" w:num="1"/>
          <w:docGrid w:type="lines" w:linePitch="312" w:charSpace="0"/>
        </w:sectPr>
      </w:pPr>
    </w:p>
    <w:tbl>
      <w:tblPr>
        <w:tblStyle w:val="9"/>
        <w:tblW w:w="1377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00"/>
        <w:gridCol w:w="1175"/>
        <w:gridCol w:w="538"/>
        <w:gridCol w:w="1058"/>
        <w:gridCol w:w="601"/>
        <w:gridCol w:w="1277"/>
        <w:gridCol w:w="2676"/>
        <w:gridCol w:w="2220"/>
        <w:gridCol w:w="2492"/>
        <w:gridCol w:w="63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一级指标</w:t>
            </w: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二级指标</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分值</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三级指标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分值</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4"/>
                <w:szCs w:val="24"/>
                <w:u w:val="none"/>
              </w:rPr>
            </w:pPr>
            <w:r>
              <w:rPr>
                <w:rFonts w:hint="default" w:ascii="仿宋" w:hAnsi="仿宋" w:eastAsia="仿宋" w:cs="仿宋"/>
                <w:b/>
                <w:i w:val="0"/>
                <w:color w:val="000000"/>
                <w:kern w:val="0"/>
                <w:sz w:val="24"/>
                <w:szCs w:val="24"/>
                <w:u w:val="none"/>
                <w:lang w:val="en-US" w:eastAsia="zh-CN" w:bidi="ar"/>
              </w:rPr>
              <w:t>评分项解释</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评分项说明</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评分标准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指标分析结果</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b/>
                <w:i w:val="0"/>
                <w:color w:val="000000"/>
                <w:sz w:val="20"/>
                <w:szCs w:val="20"/>
                <w:u w:val="none"/>
              </w:rPr>
            </w:pPr>
            <w:r>
              <w:rPr>
                <w:rFonts w:hint="default" w:ascii="仿宋" w:hAnsi="仿宋" w:eastAsia="仿宋" w:cs="仿宋"/>
                <w:b/>
                <w:i w:val="0"/>
                <w:color w:val="000000"/>
                <w:kern w:val="0"/>
                <w:sz w:val="20"/>
                <w:szCs w:val="20"/>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690" w:hRule="atLeast"/>
        </w:trPr>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决策17</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项目立项</w:t>
            </w:r>
          </w:p>
        </w:tc>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4</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立项依据充分性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项目立项是否符合法律法规、相关政策、发展规划以及部门职责，用于反映和考核项目立项依据情况。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①项目立项是否符合国家法律法规、国民经济发展规划和相关政策；</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②项目立项是否符合行业发展规划和政策要求；</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③项目立项是否与部门职责范围相符，属于部门履职所需；</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④项目是否属于公共财政支持范围，是否符合中央、地方事权支出责任划分原则；</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⑤项目是否与相关部门同类项目或部门内部相关项目重复。</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评价实施方结合项目实际确定每项评价要点分值，未达到评价要点要求扣除相应分数。评价要点中每有一类不符扣1分，扣至0分止。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属于计划生育奖励扶助，为奖励支持国家计划生育政策的居民，积极开展本项目的落实。符合国家法律法规、国民经济发展规划和相关政策，与部门职责范围相符，属于部门履职所需，属于公共财政支持范围，立项依据比较充分。</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55"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立项程序规范性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项目申请、设立过程是否符合相关要求，用以反映和考核项目立项的规范情况。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①项目是否按照规定的程序申请设立；</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②审批文件、材料是否符合相关要求；</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③事前是否已经过必要的可行性研究、专家论证、风险评估、绩效评估、集体决策。</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评价实施方结合项目实际确定每项评价要点分值，未达到评价要点要求扣除相应分数。评价要点中每有一类不符扣1分，扣至0分止。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eastAsia" w:ascii="宋体" w:hAnsi="宋体" w:eastAsia="宋体" w:cs="宋体"/>
                <w:i w:val="0"/>
                <w:color w:val="000000"/>
                <w:sz w:val="18"/>
                <w:szCs w:val="18"/>
                <w:u w:val="none"/>
              </w:rPr>
            </w:pPr>
            <w:r>
              <w:rPr>
                <w:rStyle w:val="24"/>
                <w:lang w:val="en-US" w:eastAsia="zh-CN" w:bidi="ar"/>
              </w:rPr>
              <w:br w:type="textWrapping"/>
            </w:r>
            <w:r>
              <w:rPr>
                <w:rStyle w:val="25"/>
                <w:lang w:val="en-US" w:eastAsia="zh-CN" w:bidi="ar"/>
              </w:rPr>
              <w:t>按照《东丽区人民政府关于印发</w:t>
            </w:r>
            <w:r>
              <w:rPr>
                <w:rStyle w:val="25"/>
                <w:lang w:val="en-US" w:eastAsia="zh-CN" w:bidi="ar"/>
              </w:rPr>
              <w:br w:type="textWrapping"/>
            </w:r>
            <w:r>
              <w:rPr>
                <w:rStyle w:val="25"/>
                <w:lang w:val="en-US" w:eastAsia="zh-CN" w:bidi="ar"/>
              </w:rPr>
              <w:t>东丽区社会保障和救助体系的通知》（东丽政发〔2020〕3号）的文件指示，本项目立项程序规范。</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40"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绩效目标</w:t>
            </w:r>
          </w:p>
        </w:tc>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7</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绩效目标合理性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4</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项目所设定的绩效目标是否依据充分，是否符合客观实际，用以反映和考核项目绩效目标与项目实施的相符情况。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（如未设定预算绩效目标，也可考核其他工作任务目标）</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①项目是否有绩效目标；</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②项目绩效目标与实际工作内容是否具有相关性；</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③项目预期产出效益和效果是否符合正常的业绩水平；</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④是否与预算确定的项目投资额或资金量相匹配。</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根据《项目绩效目标完成情况自评表》、会议纪要及相关凭证，项目会议纪要的预算数与实际预算数有偏差。项目绩效目标与实际工作具有相关性，预期产出与效果内容比较合理，与预算的资金量比较匹配。本项目绩效目标比较合理。</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160"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绩效目标明确性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3</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依据绩效目标设定的绩效指标是否清晰、细化、可衡量等，用以反映和考核项目绩效目标的明细化情况。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①是否将项目绩效目标细化分解为具体的绩效指标；</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②是否通过清晰、可衡量的指标值予以体现；</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③是否与项目目标任务数或计划数相对应。</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根据《项目绩效目标完成情况自评表》，本项目绩效目标细化分解为具体的绩效指标，与项目目标任务数相对应。但缺少绩效目标表，事前绩效目标做的不够明确。</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50"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资金投入</w:t>
            </w:r>
          </w:p>
        </w:tc>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6</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预算编制科学性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4</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项目预算编制是否经过科学论证、有明确标准，资金额度与年度目标是否相适应，用以反映和考核项目预算编制的科学性、合理性情况。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①预算编制是否经过科学论证；</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②预算内容与项目内容是否匹配；</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③预算额度测算依据是否充分，是否按照标准编制；</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④预算确定的项目投资额或资金量是否与工作任务相匹配。</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评价实施方结合项目实际确定每项评价要点分值，未达到评价要点要求扣除相应分数。评价要点中每有一类不符扣1分，扣至0分止。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无预算编制相关资料。依据《东丽区人民政府关于印发东丽区社会保障和救助体系的通知》（东丽政发〔2020〕3号）预算经费用于本项目有关人员奖励支出，考虑抽查项目奖励扶助的人数数量，资金量与工作任务有一定的匹配性。</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20"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资金分配的合理性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项目预算资金分配是否有测算依据，与补助单位或地方实际是否相适应，用以反映和考核项目预算资金分配的科学性、合理性情况。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①预算资金分配依据是否充分；</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②资金分配额度是否合理，与项目单位或地方实际是否相适应。</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评价实施方结合项目实际确定每项评价要点分值，未达到评价要点要求扣除相应分数。评价要点中每有一类不符扣1分，扣至0分止。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依据项目财务凭证与《东丽区卫健委党委会议纪要》（2020年8月10日），奖励扶助13735人，实际用款1234.584万元，按项目要求支付1234.584万元，但每人的奖励扶助款项为1200元/年，本项目资金分配不具合理性。</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40" w:hRule="atLeast"/>
        </w:trPr>
        <w:tc>
          <w:tcPr>
            <w:tcW w:w="1100" w:type="dxa"/>
            <w:vMerge w:val="restart"/>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过程23</w:t>
            </w:r>
          </w:p>
        </w:tc>
        <w:tc>
          <w:tcPr>
            <w:tcW w:w="1175" w:type="dxa"/>
            <w:vMerge w:val="restart"/>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资金管理</w:t>
            </w:r>
          </w:p>
        </w:tc>
        <w:tc>
          <w:tcPr>
            <w:tcW w:w="538" w:type="dxa"/>
            <w:vMerge w:val="restart"/>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16</w:t>
            </w:r>
          </w:p>
        </w:tc>
        <w:tc>
          <w:tcPr>
            <w:tcW w:w="1058"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资金到位率</w:t>
            </w:r>
          </w:p>
        </w:tc>
        <w:tc>
          <w:tcPr>
            <w:tcW w:w="601"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实际到位资金与预算资金的比率，用以反映和考核资金落实情况对项目实施的总体保障程度。</w:t>
            </w:r>
          </w:p>
        </w:tc>
        <w:tc>
          <w:tcPr>
            <w:tcW w:w="2676"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资金到位率=(实际到位资金÷预算资金)×100%。</w:t>
            </w:r>
            <w:r>
              <w:rPr>
                <w:rStyle w:val="27"/>
                <w:lang w:val="en-US" w:eastAsia="zh-CN" w:bidi="ar"/>
              </w:rPr>
              <w:br w:type="textWrapping"/>
            </w:r>
            <w:r>
              <w:rPr>
                <w:rStyle w:val="27"/>
                <w:lang w:val="en-US" w:eastAsia="zh-CN" w:bidi="ar"/>
              </w:rPr>
              <w:t>实际到位资金：一定时期（本年度或项目期）内落实到具体项目的资金。</w:t>
            </w:r>
            <w:r>
              <w:rPr>
                <w:rStyle w:val="27"/>
                <w:lang w:val="en-US" w:eastAsia="zh-CN" w:bidi="ar"/>
              </w:rPr>
              <w:br w:type="textWrapping"/>
            </w:r>
            <w:r>
              <w:rPr>
                <w:rStyle w:val="27"/>
                <w:lang w:val="en-US" w:eastAsia="zh-CN" w:bidi="ar"/>
              </w:rPr>
              <w:t>预算资金：一定时期（本年度或项目期）内预算安排到具体项目的资金。</w:t>
            </w:r>
          </w:p>
        </w:tc>
        <w:tc>
          <w:tcPr>
            <w:tcW w:w="2220"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评价实施方结合项目实际设定最低得分率。1.资金到位率≥60%，得分=资金到位率×该指标分值；2.资金到位率＜60%，不得分。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本项目实际到位资金1234.584元，本项目预算资金1234.584元。资金到位率=（实际到位资金/预算资金）×100%=1234.584/1234.584）×100%=100%。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20" w:hRule="atLeast"/>
        </w:trPr>
        <w:tc>
          <w:tcPr>
            <w:tcW w:w="1100"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资金到位及时率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及时到位资金与应到位资金的比率，用以反映和考核项目资金落实的及时性程度。</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到位及时率=（及时到位资金÷应到位资金）×100%。</w:t>
            </w:r>
            <w:r>
              <w:rPr>
                <w:rStyle w:val="27"/>
                <w:lang w:val="en-US" w:eastAsia="zh-CN" w:bidi="ar"/>
              </w:rPr>
              <w:br w:type="textWrapping"/>
            </w:r>
            <w:r>
              <w:rPr>
                <w:rStyle w:val="27"/>
                <w:lang w:val="en-US" w:eastAsia="zh-CN" w:bidi="ar"/>
              </w:rPr>
              <w:t>及时到位资金：截至规定时点实际落实到具体项目的资金。应到位资金：按照合同或项目进度要求截至规定时点应落实到具体项目的资金。</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评价实施方结合项目实际设定最低得分率。1.到位及时率≥60%，得分=到位及时率×该指标分值；2.到位及时率＜60%，不得分。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截至2020年12月31日，本项目应到位资金1234.584元，及时到位资金为1234.584元。到位及时率=（及时到位资金÷应到位资金）×100%=1234.584÷1234.584）×100%=100%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340" w:hRule="atLeast"/>
        </w:trPr>
        <w:tc>
          <w:tcPr>
            <w:tcW w:w="1100"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预算执行率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项目预算资金是否按照计划执行，用以反映或考核项目预算执行情况。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预算执行率=（实际支出资金÷实际到位资金)×100%。</w:t>
            </w:r>
            <w:r>
              <w:rPr>
                <w:rStyle w:val="27"/>
                <w:lang w:val="en-US" w:eastAsia="zh-CN" w:bidi="ar"/>
              </w:rPr>
              <w:br w:type="textWrapping"/>
            </w:r>
            <w:r>
              <w:rPr>
                <w:rStyle w:val="27"/>
                <w:lang w:val="en-US" w:eastAsia="zh-CN" w:bidi="ar"/>
              </w:rPr>
              <w:t>实际支出资金：一定时期（本年度或项目期）内项目实际拨付的资金。</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评价实施方结合项目实际设定最低得分率。1.预算执行率≥60%，得分=预算执行率×该指标分值；2.预算执行率＜60%，不得分。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本项目实际到位资金1234.584元，实际支出资金1234.584元。预算执行率=（实际支出资金÷实际到位资金）×100%=1234.584÷1234.584）×100%=100%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95" w:hRule="atLeast"/>
        </w:trPr>
        <w:tc>
          <w:tcPr>
            <w:tcW w:w="1100"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资金使用合规性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项目资金使用是否符合相关的财务管理制度规定，用以反映和考核项目资金的规范运行情况。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①是否符合国家财经法规和财务管理制度以及有关专项资金管理办法的规定；</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②资金的拨付是否有完整的审批程序和手续；</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③是否符合项目预算批复或合同规定的用途；</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④是否存在截留、挤占、挪用、虚列支出等情况。</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1.符合国家财经法规和财务管理制度以及有关专项资金管理办法，不扣分；不符合，扣2分。</w:t>
            </w:r>
            <w:r>
              <w:rPr>
                <w:rStyle w:val="27"/>
                <w:lang w:val="en-US" w:eastAsia="zh-CN" w:bidi="ar"/>
              </w:rPr>
              <w:br w:type="textWrapping"/>
            </w:r>
            <w:r>
              <w:rPr>
                <w:rStyle w:val="27"/>
                <w:lang w:val="en-US" w:eastAsia="zh-CN" w:bidi="ar"/>
              </w:rPr>
              <w:t>2.资金的拨付有完整的审批程序和手续，不扣分；拨付手续不齐全、审批流程不完备，扣,2分。</w:t>
            </w:r>
            <w:r>
              <w:rPr>
                <w:rStyle w:val="27"/>
                <w:lang w:val="en-US" w:eastAsia="zh-CN" w:bidi="ar"/>
              </w:rPr>
              <w:br w:type="textWrapping"/>
            </w:r>
            <w:r>
              <w:rPr>
                <w:rStyle w:val="27"/>
                <w:lang w:val="en-US" w:eastAsia="zh-CN" w:bidi="ar"/>
              </w:rPr>
              <w:t>3.符合项目预算批复或合同规定的用途，不扣分；不符合，扣2分</w:t>
            </w:r>
            <w:r>
              <w:rPr>
                <w:rStyle w:val="27"/>
                <w:lang w:val="en-US" w:eastAsia="zh-CN" w:bidi="ar"/>
              </w:rPr>
              <w:br w:type="textWrapping"/>
            </w:r>
            <w:r>
              <w:rPr>
                <w:rStyle w:val="27"/>
                <w:lang w:val="en-US" w:eastAsia="zh-CN" w:bidi="ar"/>
              </w:rPr>
              <w:t>4.存在截留、挤占、挪用、虚列支出等情况，扣2分。</w:t>
            </w:r>
            <w:r>
              <w:rPr>
                <w:rStyle w:val="27"/>
                <w:lang w:val="en-US" w:eastAsia="zh-CN" w:bidi="ar"/>
              </w:rPr>
              <w:br w:type="textWrapping"/>
            </w:r>
            <w:r>
              <w:rPr>
                <w:rStyle w:val="27"/>
                <w:lang w:val="en-US" w:eastAsia="zh-CN" w:bidi="ar"/>
              </w:rPr>
              <w:t>以上各项不重复扣分，所有扣分项目扣至0分为止。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本项目没有相应的资金管理办法、资金的拨付没有有完整的流程和手续，资金用于了项目规定的用途，不存在截留、挤占、挪用、虚列支出等情况。</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495" w:hRule="atLeast"/>
        </w:trPr>
        <w:tc>
          <w:tcPr>
            <w:tcW w:w="1100"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组织实施</w:t>
            </w:r>
          </w:p>
        </w:tc>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7</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8"/>
                <w:rFonts w:hAnsi="Times New Roman"/>
                <w:lang w:val="en-US" w:eastAsia="zh-CN" w:bidi="ar"/>
              </w:rPr>
              <w:t>管理制度</w:t>
            </w:r>
            <w:r>
              <w:rPr>
                <w:rStyle w:val="28"/>
                <w:rFonts w:hAnsi="Times New Roman"/>
                <w:lang w:val="en-US" w:eastAsia="zh-CN" w:bidi="ar"/>
              </w:rPr>
              <w:br w:type="textWrapping"/>
            </w:r>
            <w:r>
              <w:rPr>
                <w:rStyle w:val="28"/>
                <w:rFonts w:hAnsi="Times New Roman"/>
                <w:lang w:val="en-US" w:eastAsia="zh-CN" w:bidi="ar"/>
              </w:rPr>
              <w:t>健全性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8"/>
                <w:rFonts w:hAnsi="Times New Roman"/>
                <w:lang w:val="en-US" w:eastAsia="zh-CN" w:bidi="ar"/>
              </w:rPr>
              <w:t>项目实施单位的财务和业务管理制度是否健全，用以反映和考核财务和业务管理制度对项目顺利实施的保障情况。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9"/>
                <w:rFonts w:hAnsi="Times New Roman"/>
                <w:lang w:val="en-US" w:eastAsia="zh-CN" w:bidi="ar"/>
              </w:rPr>
              <w:t>评价要点：</w:t>
            </w:r>
            <w:r>
              <w:rPr>
                <w:rStyle w:val="29"/>
                <w:rFonts w:hAnsi="Times New Roman"/>
                <w:lang w:val="en-US" w:eastAsia="zh-CN" w:bidi="ar"/>
              </w:rPr>
              <w:br w:type="textWrapping"/>
            </w:r>
            <w:r>
              <w:rPr>
                <w:rStyle w:val="29"/>
                <w:rFonts w:hAnsi="Times New Roman"/>
                <w:lang w:val="en-US" w:eastAsia="zh-CN" w:bidi="ar"/>
              </w:rPr>
              <w:t>①是否已制定或具有相应的财务和业务管理制度，与上位法要求是否相符；</w:t>
            </w:r>
            <w:r>
              <w:rPr>
                <w:rStyle w:val="29"/>
                <w:rFonts w:hAnsi="Times New Roman"/>
                <w:lang w:val="en-US" w:eastAsia="zh-CN" w:bidi="ar"/>
              </w:rPr>
              <w:br w:type="textWrapping"/>
            </w:r>
            <w:r>
              <w:rPr>
                <w:rStyle w:val="29"/>
                <w:rFonts w:hAnsi="Times New Roman"/>
                <w:lang w:val="en-US" w:eastAsia="zh-CN" w:bidi="ar"/>
              </w:rPr>
              <w:t>②财务和业务管理制度是否合法、合规、完整。</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30"/>
                <w:rFonts w:eastAsia="宋体"/>
                <w:lang w:val="en-US" w:eastAsia="zh-CN" w:bidi="ar"/>
              </w:rPr>
              <w:t>1.</w:t>
            </w:r>
            <w:r>
              <w:rPr>
                <w:rStyle w:val="29"/>
                <w:rFonts w:hAnsi="Times New Roman"/>
                <w:lang w:val="en-US" w:eastAsia="zh-CN" w:bidi="ar"/>
              </w:rPr>
              <w:t>未制定相应的财务和业务管理制度或与上位法要求不符，不得分；</w:t>
            </w:r>
            <w:r>
              <w:rPr>
                <w:rStyle w:val="29"/>
                <w:rFonts w:hAnsi="Times New Roman"/>
                <w:lang w:val="en-US" w:eastAsia="zh-CN" w:bidi="ar"/>
              </w:rPr>
              <w:br w:type="textWrapping"/>
            </w:r>
            <w:r>
              <w:rPr>
                <w:rStyle w:val="30"/>
                <w:rFonts w:eastAsia="宋体"/>
                <w:lang w:val="en-US" w:eastAsia="zh-CN" w:bidi="ar"/>
              </w:rPr>
              <w:t>2.</w:t>
            </w:r>
            <w:r>
              <w:rPr>
                <w:rStyle w:val="29"/>
                <w:rFonts w:hAnsi="Times New Roman"/>
                <w:lang w:val="en-US" w:eastAsia="zh-CN" w:bidi="ar"/>
              </w:rPr>
              <w:t>项目财务和业务管理制度每发现一类不符合评价要点要求，扣</w:t>
            </w:r>
            <w:r>
              <w:rPr>
                <w:rStyle w:val="30"/>
                <w:rFonts w:eastAsia="宋体"/>
                <w:lang w:val="en-US" w:eastAsia="zh-CN" w:bidi="ar"/>
              </w:rPr>
              <w:t>1</w:t>
            </w:r>
            <w:r>
              <w:rPr>
                <w:rStyle w:val="29"/>
                <w:rFonts w:hAnsi="Times New Roman"/>
                <w:lang w:val="en-US" w:eastAsia="zh-CN" w:bidi="ar"/>
              </w:rPr>
              <w:t>分，扣至</w:t>
            </w:r>
            <w:r>
              <w:rPr>
                <w:rStyle w:val="30"/>
                <w:rFonts w:eastAsia="宋体"/>
                <w:lang w:val="en-US" w:eastAsia="zh-CN" w:bidi="ar"/>
              </w:rPr>
              <w:t>0</w:t>
            </w:r>
            <w:r>
              <w:rPr>
                <w:rStyle w:val="29"/>
                <w:rFonts w:hAnsi="Times New Roman"/>
                <w:lang w:val="en-US" w:eastAsia="zh-CN" w:bidi="ar"/>
              </w:rPr>
              <w:t>分为止。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本项目没有设置相关的管理制度以及自己管理办法</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95" w:hRule="atLeast"/>
        </w:trPr>
        <w:tc>
          <w:tcPr>
            <w:tcW w:w="1100" w:type="dxa"/>
            <w:vMerge w:val="continue"/>
            <w:tcBorders>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tcBorders>
              <w:left w:val="single" w:color="000000" w:sz="4" w:space="0"/>
              <w:bottom w:val="single" w:color="000000" w:sz="4" w:space="0"/>
              <w:right w:val="single" w:color="000000" w:sz="4" w:space="0"/>
            </w:tcBorders>
            <w:shd w:val="clear" w:color="auto" w:fill="auto"/>
            <w:vAlign w:val="center"/>
          </w:tcPr>
          <w:p>
            <w:pPr>
              <w:spacing w:beforeLines="0" w:afterLines="0"/>
              <w:rPr>
                <w:rFonts w:hint="default" w:ascii="仿宋" w:hAnsi="仿宋" w:eastAsia="仿宋" w:cs="仿宋"/>
                <w:i w:val="0"/>
                <w:color w:val="000000"/>
                <w:sz w:val="20"/>
                <w:szCs w:val="20"/>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8"/>
                <w:rFonts w:hAnsi="Times New Roman"/>
                <w:lang w:val="en-US" w:eastAsia="zh-CN" w:bidi="ar"/>
              </w:rPr>
              <w:t>制度执行</w:t>
            </w:r>
            <w:r>
              <w:rPr>
                <w:rStyle w:val="28"/>
                <w:rFonts w:hAnsi="Times New Roman"/>
                <w:lang w:val="en-US" w:eastAsia="zh-CN" w:bidi="ar"/>
              </w:rPr>
              <w:br w:type="textWrapping"/>
            </w:r>
            <w:r>
              <w:rPr>
                <w:rStyle w:val="28"/>
                <w:rFonts w:hAnsi="Times New Roman"/>
                <w:lang w:val="en-US" w:eastAsia="zh-CN" w:bidi="ar"/>
              </w:rPr>
              <w:t>有效性</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5</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8"/>
                <w:rFonts w:hAnsi="Times New Roman"/>
                <w:lang w:val="en-US" w:eastAsia="zh-CN" w:bidi="ar"/>
              </w:rPr>
              <w:t>项目实施是否符合相关管理规定，用以反映和考核相关管理制度的有效执行情况。</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9"/>
                <w:rFonts w:hAnsi="Times New Roman"/>
                <w:lang w:val="en-US" w:eastAsia="zh-CN" w:bidi="ar"/>
              </w:rPr>
              <w:t>评价要点：</w:t>
            </w:r>
            <w:r>
              <w:rPr>
                <w:rStyle w:val="29"/>
                <w:rFonts w:hAnsi="Times New Roman"/>
                <w:lang w:val="en-US" w:eastAsia="zh-CN" w:bidi="ar"/>
              </w:rPr>
              <w:br w:type="textWrapping"/>
            </w:r>
            <w:r>
              <w:rPr>
                <w:rStyle w:val="29"/>
                <w:rFonts w:hAnsi="Times New Roman"/>
                <w:lang w:val="en-US" w:eastAsia="zh-CN" w:bidi="ar"/>
              </w:rPr>
              <w:t>①是否遵守相关法律法规和相关管理规定；</w:t>
            </w:r>
            <w:r>
              <w:rPr>
                <w:rStyle w:val="29"/>
                <w:rFonts w:hAnsi="Times New Roman"/>
                <w:lang w:val="en-US" w:eastAsia="zh-CN" w:bidi="ar"/>
              </w:rPr>
              <w:br w:type="textWrapping"/>
            </w:r>
            <w:r>
              <w:rPr>
                <w:rStyle w:val="29"/>
                <w:rFonts w:hAnsi="Times New Roman"/>
                <w:lang w:val="en-US" w:eastAsia="zh-CN" w:bidi="ar"/>
              </w:rPr>
              <w:t>②项目调整及支出调整手续是否完备；</w:t>
            </w:r>
            <w:r>
              <w:rPr>
                <w:rStyle w:val="29"/>
                <w:rFonts w:hAnsi="Times New Roman"/>
                <w:lang w:val="en-US" w:eastAsia="zh-CN" w:bidi="ar"/>
              </w:rPr>
              <w:br w:type="textWrapping"/>
            </w:r>
            <w:r>
              <w:rPr>
                <w:rStyle w:val="29"/>
                <w:rFonts w:hAnsi="Times New Roman"/>
                <w:lang w:val="en-US" w:eastAsia="zh-CN" w:bidi="ar"/>
              </w:rPr>
              <w:t>③项目合同书、验收报告、技术鉴定等资料是否齐全并及时归档；</w:t>
            </w:r>
            <w:r>
              <w:rPr>
                <w:rStyle w:val="29"/>
                <w:rFonts w:hAnsi="Times New Roman"/>
                <w:lang w:val="en-US" w:eastAsia="zh-CN" w:bidi="ar"/>
              </w:rPr>
              <w:br w:type="textWrapping"/>
            </w:r>
            <w:r>
              <w:rPr>
                <w:rStyle w:val="29"/>
                <w:rFonts w:hAnsi="Times New Roman"/>
                <w:lang w:val="en-US" w:eastAsia="zh-CN" w:bidi="ar"/>
              </w:rPr>
              <w:t>④项目实施的人员条件、场地设备、信息支撑等是否落实到位；</w:t>
            </w:r>
            <w:r>
              <w:rPr>
                <w:rStyle w:val="29"/>
                <w:rFonts w:hAnsi="Times New Roman"/>
                <w:lang w:val="en-US" w:eastAsia="zh-CN" w:bidi="ar"/>
              </w:rPr>
              <w:br w:type="textWrapping"/>
            </w:r>
            <w:r>
              <w:rPr>
                <w:rStyle w:val="29"/>
                <w:rFonts w:hAnsi="Times New Roman"/>
                <w:lang w:val="en-US" w:eastAsia="zh-CN" w:bidi="ar"/>
              </w:rPr>
              <w:t>⑤是否符合政府采购相关政策。</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Times New Roman" w:hAnsi="Times New Roman" w:eastAsia="宋体" w:cs="Times New Roman"/>
                <w:i w:val="0"/>
                <w:color w:val="000000"/>
                <w:sz w:val="20"/>
                <w:szCs w:val="20"/>
                <w:u w:val="none"/>
              </w:rPr>
            </w:pPr>
            <w:r>
              <w:rPr>
                <w:rStyle w:val="28"/>
                <w:rFonts w:hAnsi="Times New Roman"/>
                <w:lang w:val="en-US" w:eastAsia="zh-CN" w:bidi="ar"/>
              </w:rPr>
              <w:t>评价要点中每有一类不符扣</w:t>
            </w:r>
            <w:r>
              <w:rPr>
                <w:rStyle w:val="31"/>
                <w:rFonts w:eastAsia="宋体"/>
                <w:lang w:val="en-US" w:eastAsia="zh-CN" w:bidi="ar"/>
              </w:rPr>
              <w:t>1</w:t>
            </w:r>
            <w:r>
              <w:rPr>
                <w:rStyle w:val="28"/>
                <w:rFonts w:hAnsi="Times New Roman"/>
                <w:lang w:val="en-US" w:eastAsia="zh-CN" w:bidi="ar"/>
              </w:rPr>
              <w:t>分，扣至</w:t>
            </w:r>
            <w:r>
              <w:rPr>
                <w:rStyle w:val="31"/>
                <w:rFonts w:eastAsia="宋体"/>
                <w:lang w:val="en-US" w:eastAsia="zh-CN" w:bidi="ar"/>
              </w:rPr>
              <w:t>0</w:t>
            </w:r>
            <w:r>
              <w:rPr>
                <w:rStyle w:val="28"/>
                <w:rFonts w:hAnsi="Times New Roman"/>
                <w:lang w:val="en-US" w:eastAsia="zh-CN" w:bidi="ar"/>
              </w:rPr>
              <w:t>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本项目有部分的奖励扶助入账清单，奖励材料不全面，但是记账凭证可以和该部分入账清单相对应。</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860" w:hRule="atLeast"/>
        </w:trPr>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产出</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产出数量</w:t>
            </w:r>
          </w:p>
        </w:tc>
        <w:tc>
          <w:tcPr>
            <w:tcW w:w="53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14</w:t>
            </w:r>
          </w:p>
        </w:tc>
        <w:tc>
          <w:tcPr>
            <w:tcW w:w="105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奖扶人数达成率</w:t>
            </w:r>
          </w:p>
        </w:tc>
        <w:tc>
          <w:tcPr>
            <w:tcW w:w="60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14</w:t>
            </w:r>
          </w:p>
        </w:tc>
        <w:tc>
          <w:tcPr>
            <w:tcW w:w="1277" w:type="dxa"/>
            <w:vMerge w:val="restart"/>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奖扶工作的成功入账人数与抽查总人数的比率，用以反映和考核服务工作产出数量目标的实现程度。</w:t>
            </w:r>
          </w:p>
        </w:tc>
        <w:tc>
          <w:tcPr>
            <w:tcW w:w="2676" w:type="dxa"/>
            <w:vMerge w:val="restart"/>
            <w:tcBorders>
              <w:top w:val="single" w:color="000000" w:sz="4" w:space="0"/>
              <w:left w:val="single" w:color="000000" w:sz="4" w:space="0"/>
              <w:bottom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奖扶人数达成率=（成功入账人数÷抽查总人数）×100%。</w:t>
            </w:r>
          </w:p>
        </w:tc>
        <w:tc>
          <w:tcPr>
            <w:tcW w:w="22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评价实施方结合项目实际设定最低得分率。1.奖扶人数达成率，得分=奖扶工作实际完成率×该指标分值；</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2.奖扶工作实际完成率＜60%，不得分。</w:t>
            </w:r>
          </w:p>
        </w:tc>
        <w:tc>
          <w:tcPr>
            <w:tcW w:w="24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奖扶人数实际完成率=（457÷471）×100%=97.03%</w:t>
            </w:r>
          </w:p>
        </w:tc>
        <w:tc>
          <w:tcPr>
            <w:tcW w:w="63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13.58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180"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05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60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c>
          <w:tcPr>
            <w:tcW w:w="1277" w:type="dxa"/>
            <w:vMerge w:val="continue"/>
            <w:tcBorders>
              <w:top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2676" w:type="dxa"/>
            <w:vMerge w:val="continue"/>
            <w:tcBorders>
              <w:top w:val="single" w:color="000000" w:sz="4" w:space="0"/>
              <w:left w:val="single" w:color="000000" w:sz="4" w:space="0"/>
              <w:bottom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22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24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63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default" w:ascii="仿宋" w:hAnsi="仿宋" w:eastAsia="仿宋" w:cs="仿宋"/>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200"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产出质量</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奖扶发放标准</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奖扶工作的计划发放标准与实际发放标准的比较，用以考核奖扶发放标准工作是否达标</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奖扶发放标准=（实际发放标准÷计划发放标准）×100%。</w:t>
            </w:r>
          </w:p>
        </w:tc>
        <w:tc>
          <w:tcPr>
            <w:tcW w:w="2220" w:type="dxa"/>
            <w:tcBorders>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评价实施方结合项目实际设定最低得分率。1.奖扶工作发放标准≥60%，得分=奖扶工作实际发放标准×该指标分值；</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2.奖扶工作实际发放标准＜60%，不得分。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奖扶发放标准=（1200÷1200）×100%=100%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15"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产出时效</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奖扶补助金发放及时率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奖扶补助金实际完成时间与计划完成时间的比较，用以反映和考核该项目产出时效目标的实现程度。</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奖扶补助金发放及时率=（计划完成时间-实际完成时间）÷计划完成时间]×100%。</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评价实施方结合项目实际设定最低得分率。1.发放及时率≥0，不扣分；</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2.-1≤发放及时率率＜0，得分=该指标分值+改造工程完成及时率×该指标分值；</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3.发放及时率及时率＜-1，不得分。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奖扶补助金发放及时率=（2020.12.31-2020.12.31）÷2020.12.31]×100%=0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595"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产出成本</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成本节约率</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完成项目计划工作目标的实际节约成本与计划成本的比率，用以反映和考核项目的成本节约程度。</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成本节约率=［（计划成本-实际成本）/计划成本］×100%。</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实际成本：项目实施单位如期、保质、保量完成既定工作目标实际所耗费的支出。</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计划成本：项目实施单位为完成工作目标计划安排的支出，一般以项目预算为参考。</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评价实施方结合项目实际设定最低得分率。1.成本节约率≥0，不扣分；</w:t>
            </w:r>
            <w:r>
              <w:rPr>
                <w:rStyle w:val="27"/>
                <w:lang w:val="en-US" w:eastAsia="zh-CN" w:bidi="ar"/>
              </w:rPr>
              <w:br w:type="textWrapping"/>
            </w:r>
            <w:r>
              <w:rPr>
                <w:rStyle w:val="27"/>
                <w:lang w:val="en-US" w:eastAsia="zh-CN" w:bidi="ar"/>
              </w:rPr>
              <w:t>2.-1≤成本节约率＜0，得分=该指标分值+成本节约率×该指标分值；</w:t>
            </w:r>
            <w:r>
              <w:rPr>
                <w:rStyle w:val="27"/>
                <w:lang w:val="en-US" w:eastAsia="zh-CN" w:bidi="ar"/>
              </w:rPr>
              <w:br w:type="textWrapping"/>
            </w:r>
            <w:r>
              <w:rPr>
                <w:rStyle w:val="27"/>
                <w:lang w:val="en-US" w:eastAsia="zh-CN" w:bidi="ar"/>
              </w:rPr>
              <w:t>3.成本节约率＜-1，不得分。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成本节约率=［（1234.584-1234.584）/1234.584］×100%。</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55" w:hRule="atLeast"/>
        </w:trPr>
        <w:tc>
          <w:tcPr>
            <w:tcW w:w="110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效益20</w:t>
            </w:r>
          </w:p>
        </w:tc>
        <w:tc>
          <w:tcPr>
            <w:tcW w:w="117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项目效益</w:t>
            </w: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社会效益</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项目实施后所产生的社会影响，用以反映和考核项目实施是否对居民生活起到改善作用。</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评价要点：</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①通过项目实施，是否对提升居民的生活有一定的帮助</w:t>
            </w:r>
            <w:r>
              <w:rPr>
                <w:rFonts w:hint="default" w:ascii="仿宋" w:hAnsi="仿宋" w:eastAsia="仿宋" w:cs="仿宋"/>
                <w:i w:val="0"/>
                <w:color w:val="000000"/>
                <w:kern w:val="0"/>
                <w:sz w:val="20"/>
                <w:szCs w:val="20"/>
                <w:u w:val="none"/>
                <w:lang w:val="en-US" w:eastAsia="zh-CN" w:bidi="ar"/>
              </w:rPr>
              <w:br w:type="textWrapping"/>
            </w:r>
            <w:r>
              <w:rPr>
                <w:rFonts w:hint="default" w:ascii="仿宋" w:hAnsi="仿宋" w:eastAsia="仿宋" w:cs="仿宋"/>
                <w:i w:val="0"/>
                <w:color w:val="000000"/>
                <w:kern w:val="0"/>
                <w:sz w:val="20"/>
                <w:szCs w:val="20"/>
                <w:u w:val="none"/>
                <w:lang w:val="en-US" w:eastAsia="zh-CN" w:bidi="ar"/>
              </w:rPr>
              <w:t>②是否出现居民对改造效果不满意而投诉的情况。</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3"/>
                <w:lang w:val="en-US" w:eastAsia="zh-CN" w:bidi="ar"/>
              </w:rPr>
              <w:t>评价要点中每有一类不符扣1分，扣至0分止。</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绩效评价人员对获得东丽区计划生育的家庭补助款的人员进行调查，居民生活质量有所改善，居民反应效果较好。</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995" w:hRule="atLeast"/>
        </w:trPr>
        <w:tc>
          <w:tcPr>
            <w:tcW w:w="110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both"/>
              <w:rPr>
                <w:rFonts w:hint="default" w:ascii="仿宋" w:hAnsi="仿宋" w:eastAsia="仿宋" w:cs="仿宋"/>
                <w:i w:val="0"/>
                <w:color w:val="000000"/>
                <w:sz w:val="20"/>
                <w:szCs w:val="20"/>
                <w:u w:val="none"/>
              </w:rPr>
            </w:pPr>
          </w:p>
        </w:tc>
        <w:tc>
          <w:tcPr>
            <w:tcW w:w="5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公众满意度</w:t>
            </w:r>
          </w:p>
        </w:tc>
        <w:tc>
          <w:tcPr>
            <w:tcW w:w="60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c>
          <w:tcPr>
            <w:tcW w:w="1277" w:type="dxa"/>
            <w:tcBorders>
              <w:top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受益群体对项目实施效果的满意程度。</w:t>
            </w:r>
          </w:p>
        </w:tc>
        <w:tc>
          <w:tcPr>
            <w:tcW w:w="267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受益群体是指因该项目实施而受到影响的群体或个人。一般采取问卷调查的方式。</w:t>
            </w:r>
          </w:p>
        </w:tc>
        <w:tc>
          <w:tcPr>
            <w:tcW w:w="22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default" w:ascii="仿宋" w:hAnsi="仿宋" w:eastAsia="仿宋" w:cs="仿宋"/>
                <w:i w:val="0"/>
                <w:color w:val="000000"/>
                <w:sz w:val="20"/>
                <w:szCs w:val="20"/>
                <w:u w:val="none"/>
              </w:rPr>
            </w:pPr>
            <w:r>
              <w:rPr>
                <w:rStyle w:val="27"/>
                <w:lang w:val="en-US" w:eastAsia="zh-CN" w:bidi="ar"/>
              </w:rPr>
              <w:t>1.受益群体满意度≥90分，5分；</w:t>
            </w:r>
            <w:r>
              <w:rPr>
                <w:rStyle w:val="27"/>
                <w:lang w:val="en-US" w:eastAsia="zh-CN" w:bidi="ar"/>
              </w:rPr>
              <w:br w:type="textWrapping"/>
            </w:r>
            <w:r>
              <w:rPr>
                <w:rStyle w:val="27"/>
                <w:lang w:val="en-US" w:eastAsia="zh-CN" w:bidi="ar"/>
              </w:rPr>
              <w:t>2.80分≤受益群体满意度＜90分，4分；</w:t>
            </w:r>
            <w:r>
              <w:rPr>
                <w:rStyle w:val="27"/>
                <w:lang w:val="en-US" w:eastAsia="zh-CN" w:bidi="ar"/>
              </w:rPr>
              <w:br w:type="textWrapping"/>
            </w:r>
            <w:r>
              <w:rPr>
                <w:rStyle w:val="27"/>
                <w:lang w:val="en-US" w:eastAsia="zh-CN" w:bidi="ar"/>
              </w:rPr>
              <w:t>3.70分≤受益群体满意度＜80分，3分；</w:t>
            </w:r>
            <w:r>
              <w:rPr>
                <w:rStyle w:val="27"/>
                <w:lang w:val="en-US" w:eastAsia="zh-CN" w:bidi="ar"/>
              </w:rPr>
              <w:br w:type="textWrapping"/>
            </w:r>
            <w:r>
              <w:rPr>
                <w:rStyle w:val="27"/>
                <w:lang w:val="en-US" w:eastAsia="zh-CN" w:bidi="ar"/>
              </w:rPr>
              <w:t>4.受益群体满意度＜70分，不得分。</w:t>
            </w:r>
          </w:p>
        </w:tc>
        <w:tc>
          <w:tcPr>
            <w:tcW w:w="24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both"/>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本次调查共发放23份问卷，回收有效问卷19份。根据每张问卷得分及问卷份数进行算数平均，最终本项目收益群众满意度得分为90分。</w:t>
            </w: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eastAsia" w:ascii="宋体" w:hAnsi="宋体" w:eastAsia="宋体" w:cs="宋体"/>
                <w:i w:val="0"/>
                <w:color w:val="000000"/>
                <w:sz w:val="20"/>
                <w:szCs w:val="20"/>
                <w:u w:val="none"/>
              </w:rPr>
            </w:pPr>
            <w:r>
              <w:rPr>
                <w:rFonts w:hint="eastAsia" w:ascii="仿宋" w:hAnsi="仿宋" w:eastAsia="仿宋" w:cs="仿宋"/>
                <w:i w:val="0"/>
                <w:color w:val="000000"/>
                <w:kern w:val="0"/>
                <w:sz w:val="20"/>
                <w:szCs w:val="20"/>
                <w:u w:val="none"/>
                <w:lang w:val="en-US" w:eastAsia="zh-CN" w:bidi="ar"/>
              </w:rPr>
              <w:t>总分</w:t>
            </w:r>
          </w:p>
        </w:tc>
        <w:tc>
          <w:tcPr>
            <w:tcW w:w="1203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spacing w:beforeLines="0" w:afterLines="0"/>
              <w:jc w:val="center"/>
              <w:rPr>
                <w:rFonts w:hint="eastAsia" w:ascii="宋体" w:hAnsi="宋体" w:eastAsia="宋体" w:cs="宋体"/>
                <w:i w:val="0"/>
                <w:color w:val="000000"/>
                <w:sz w:val="20"/>
                <w:szCs w:val="20"/>
                <w:u w:val="none"/>
              </w:rPr>
            </w:pPr>
          </w:p>
        </w:tc>
        <w:tc>
          <w:tcPr>
            <w:tcW w:w="6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Lines="0" w:afterLines="0"/>
              <w:jc w:val="center"/>
              <w:textAlignment w:val="center"/>
              <w:rPr>
                <w:rFonts w:hint="default" w:ascii="仿宋" w:hAnsi="仿宋" w:eastAsia="仿宋" w:cs="仿宋"/>
                <w:i w:val="0"/>
                <w:color w:val="000000"/>
                <w:sz w:val="20"/>
                <w:szCs w:val="20"/>
                <w:u w:val="none"/>
              </w:rPr>
            </w:pPr>
            <w:r>
              <w:rPr>
                <w:rFonts w:hint="default" w:ascii="仿宋" w:hAnsi="仿宋" w:eastAsia="仿宋" w:cs="仿宋"/>
                <w:i w:val="0"/>
                <w:color w:val="000000"/>
                <w:kern w:val="0"/>
                <w:sz w:val="20"/>
                <w:szCs w:val="20"/>
                <w:u w:val="none"/>
                <w:lang w:val="en-US" w:eastAsia="zh-CN" w:bidi="ar"/>
              </w:rPr>
              <w:t>83.58</w:t>
            </w:r>
          </w:p>
        </w:tc>
      </w:tr>
    </w:tbl>
    <w:p>
      <w:pPr>
        <w:pStyle w:val="18"/>
        <w:spacing w:beforeLines="0" w:afterLines="0"/>
        <w:rPr>
          <w:highlight w:val="none"/>
        </w:rPr>
      </w:pPr>
    </w:p>
    <w:sectPr>
      <w:footerReference r:id="rId7" w:type="default"/>
      <w:pgSz w:w="16838" w:h="11906" w:orient="landscape"/>
      <w:pgMar w:top="1800" w:right="1440" w:bottom="1800" w:left="1440" w:header="851" w:footer="992" w:gutter="0"/>
      <w:pgBorders w:offsetFrom="page">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cs="Times New Roman"/>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cs="Times New Roman"/>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Times New Roman" w:hAnsi="Times New Roman" w:cs="Times New Roman"/>
        <w:sz w:val="22"/>
        <w:szCs w:val="2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2"/>
        <w:szCs w:val="22"/>
      </w:rPr>
    </w:pPr>
    <w:r>
      <w:rPr>
        <w:sz w:val="22"/>
      </w:rPr>
      <mc:AlternateContent>
        <mc:Choice Requires="wps">
          <w:drawing>
            <wp:anchor distT="0" distB="0" distL="114300" distR="114300" simplePos="0" relativeHeight="251660288" behindDoc="0" locked="0" layoutInCell="1" allowOverlap="1">
              <wp:simplePos x="0" y="0"/>
              <wp:positionH relativeFrom="margin">
                <wp:posOffset>2605405</wp:posOffset>
              </wp:positionH>
              <wp:positionV relativeFrom="paragraph">
                <wp:posOffset>0</wp:posOffset>
              </wp:positionV>
              <wp:extent cx="180340" cy="241935"/>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0340" cy="24193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22"/>
                              <w:szCs w:val="32"/>
                            </w:rPr>
                          </w:pPr>
                          <w:r>
                            <w:rPr>
                              <w:sz w:val="22"/>
                              <w:szCs w:val="32"/>
                            </w:rPr>
                            <w:fldChar w:fldCharType="begin"/>
                          </w:r>
                          <w:r>
                            <w:rPr>
                              <w:sz w:val="22"/>
                              <w:szCs w:val="32"/>
                            </w:rPr>
                            <w:instrText xml:space="preserve"> PAGE  \* MERGEFORMAT </w:instrText>
                          </w:r>
                          <w:r>
                            <w:rPr>
                              <w:sz w:val="22"/>
                              <w:szCs w:val="32"/>
                            </w:rPr>
                            <w:fldChar w:fldCharType="separate"/>
                          </w:r>
                          <w:r>
                            <w:rPr>
                              <w:sz w:val="22"/>
                              <w:szCs w:val="32"/>
                            </w:rPr>
                            <w:t>5</w:t>
                          </w:r>
                          <w:r>
                            <w:rPr>
                              <w:sz w:val="22"/>
                              <w:szCs w:val="32"/>
                            </w:rPr>
                            <w:fldChar w:fldCharType="end"/>
                          </w:r>
                        </w:p>
                      </w:txbxContent>
                    </wps:txbx>
                    <wps:bodyPr rot="0" spcFirstLastPara="0" vertOverflow="overflow" horzOverflow="overflow" vert="horz" wrap="square" lIns="0" tIns="0" rIns="0" bIns="0" numCol="1" spcCol="0" rtlCol="0" fromWordArt="0" anchor="t" anchorCtr="0" forceAA="0" upright="0" compatLnSpc="1">
                      <a:noAutofit/>
                    </wps:bodyPr>
                  </wps:wsp>
                </a:graphicData>
              </a:graphic>
            </wp:anchor>
          </w:drawing>
        </mc:Choice>
        <mc:Fallback>
          <w:pict>
            <v:shape id="_x0000_s1026" o:spid="_x0000_s1026" o:spt="202" type="#_x0000_t202" style="position:absolute;left:0pt;margin-left:205.15pt;margin-top:0pt;height:19.05pt;width:14.2pt;mso-position-horizontal-relative:margin;z-index:251660288;mso-width-relative:page;mso-height-relative:page;" filled="f" stroked="f" coordsize="21600,21600" o:gfxdata="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Pklo0zWAAAABwEAAA8AAAAAAAAAAQAgAAAAIgAAAGRycy9kb3ducmV2&#10;LnhtbFBLAQIUABQAAAAIAIdO4kACi5bqNwIAAGEEAAAOAAAAAAAAAAEAIAAAACUBAABkcnMvZTJv&#10;RG9jLnhtbFBLBQYAAAAABgAGAFkBAADOBQAAAAA=&#10;">
              <v:fill on="f" focussize="0,0"/>
              <v:stroke on="f" weight="0.5pt"/>
              <v:imagedata o:title=""/>
              <o:lock v:ext="edit" aspectratio="f"/>
              <v:textbox inset="0mm,0mm,0mm,0mm">
                <w:txbxContent>
                  <w:p>
                    <w:pPr>
                      <w:snapToGrid w:val="0"/>
                      <w:rPr>
                        <w:sz w:val="22"/>
                        <w:szCs w:val="32"/>
                      </w:rPr>
                    </w:pPr>
                    <w:r>
                      <w:rPr>
                        <w:sz w:val="22"/>
                        <w:szCs w:val="32"/>
                      </w:rPr>
                      <w:fldChar w:fldCharType="begin"/>
                    </w:r>
                    <w:r>
                      <w:rPr>
                        <w:sz w:val="22"/>
                        <w:szCs w:val="32"/>
                      </w:rPr>
                      <w:instrText xml:space="preserve"> PAGE  \* MERGEFORMAT </w:instrText>
                    </w:r>
                    <w:r>
                      <w:rPr>
                        <w:sz w:val="22"/>
                        <w:szCs w:val="32"/>
                      </w:rPr>
                      <w:fldChar w:fldCharType="separate"/>
                    </w:r>
                    <w:r>
                      <w:rPr>
                        <w:sz w:val="22"/>
                        <w:szCs w:val="32"/>
                      </w:rPr>
                      <w:t>5</w:t>
                    </w:r>
                    <w:r>
                      <w:rPr>
                        <w:sz w:val="22"/>
                        <w:szCs w:val="32"/>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sz w:val="22"/>
        <w:szCs w:val="22"/>
      </w:rPr>
    </w:pPr>
    <w:r>
      <w:rPr>
        <w:sz w:val="2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27</w:t>
                          </w:r>
                          <w:r>
                            <w:rPr>
                              <w:sz w:val="1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snapToGrid w:val="0"/>
                      <w:rPr>
                        <w:sz w:val="18"/>
                      </w:rPr>
                    </w:pPr>
                    <w:r>
                      <w:rPr>
                        <w:sz w:val="18"/>
                      </w:rPr>
                      <w:fldChar w:fldCharType="begin"/>
                    </w:r>
                    <w:r>
                      <w:rPr>
                        <w:sz w:val="18"/>
                      </w:rPr>
                      <w:instrText xml:space="preserve"> PAGE  \* MERGEFORMAT </w:instrText>
                    </w:r>
                    <w:r>
                      <w:rPr>
                        <w:sz w:val="18"/>
                      </w:rPr>
                      <w:fldChar w:fldCharType="separate"/>
                    </w:r>
                    <w:r>
                      <w:rPr>
                        <w:sz w:val="18"/>
                      </w:rPr>
                      <w:t>27</w:t>
                    </w:r>
                    <w:r>
                      <w:rPr>
                        <w:sz w:val="18"/>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54B91C"/>
    <w:multiLevelType w:val="singleLevel"/>
    <w:tmpl w:val="2C54B91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IwNjRkNTUxYTY0YzFjYWY5MWQxMGMwZDRhZjcwODgifQ=="/>
  </w:docVars>
  <w:rsids>
    <w:rsidRoot w:val="003062A6"/>
    <w:rsid w:val="00002A76"/>
    <w:rsid w:val="00005295"/>
    <w:rsid w:val="00005AFE"/>
    <w:rsid w:val="00014CF0"/>
    <w:rsid w:val="00017290"/>
    <w:rsid w:val="00030B23"/>
    <w:rsid w:val="00033FD9"/>
    <w:rsid w:val="000344F9"/>
    <w:rsid w:val="00037D10"/>
    <w:rsid w:val="000412C8"/>
    <w:rsid w:val="00043BDD"/>
    <w:rsid w:val="00045044"/>
    <w:rsid w:val="00045AAC"/>
    <w:rsid w:val="00045CA7"/>
    <w:rsid w:val="0006292F"/>
    <w:rsid w:val="0006376F"/>
    <w:rsid w:val="00063A37"/>
    <w:rsid w:val="00063F7E"/>
    <w:rsid w:val="00065AFF"/>
    <w:rsid w:val="000761F5"/>
    <w:rsid w:val="00085709"/>
    <w:rsid w:val="00085B4D"/>
    <w:rsid w:val="00087B69"/>
    <w:rsid w:val="000967D0"/>
    <w:rsid w:val="000A0BEE"/>
    <w:rsid w:val="000A0EA5"/>
    <w:rsid w:val="000A337A"/>
    <w:rsid w:val="000A6692"/>
    <w:rsid w:val="000B0F36"/>
    <w:rsid w:val="000B1545"/>
    <w:rsid w:val="000B3E42"/>
    <w:rsid w:val="000B4C07"/>
    <w:rsid w:val="000B5F20"/>
    <w:rsid w:val="000C0243"/>
    <w:rsid w:val="000C2244"/>
    <w:rsid w:val="000C35F8"/>
    <w:rsid w:val="000C5A5F"/>
    <w:rsid w:val="000C7BE3"/>
    <w:rsid w:val="000D25B6"/>
    <w:rsid w:val="000D39DC"/>
    <w:rsid w:val="000D52FE"/>
    <w:rsid w:val="000D547C"/>
    <w:rsid w:val="000E1B1E"/>
    <w:rsid w:val="000E5B47"/>
    <w:rsid w:val="000E6673"/>
    <w:rsid w:val="000F699A"/>
    <w:rsid w:val="000F7496"/>
    <w:rsid w:val="00106C33"/>
    <w:rsid w:val="00115CC6"/>
    <w:rsid w:val="00116445"/>
    <w:rsid w:val="001222A1"/>
    <w:rsid w:val="00123AB6"/>
    <w:rsid w:val="00123E41"/>
    <w:rsid w:val="00127A44"/>
    <w:rsid w:val="00131057"/>
    <w:rsid w:val="001320C4"/>
    <w:rsid w:val="00136AD2"/>
    <w:rsid w:val="00136BE1"/>
    <w:rsid w:val="0014067C"/>
    <w:rsid w:val="001411F5"/>
    <w:rsid w:val="00150689"/>
    <w:rsid w:val="001638FA"/>
    <w:rsid w:val="00166BBA"/>
    <w:rsid w:val="00190813"/>
    <w:rsid w:val="001911FC"/>
    <w:rsid w:val="00196AA7"/>
    <w:rsid w:val="001B5694"/>
    <w:rsid w:val="001B758E"/>
    <w:rsid w:val="001C067F"/>
    <w:rsid w:val="001C4DE7"/>
    <w:rsid w:val="001C4DF1"/>
    <w:rsid w:val="001C7028"/>
    <w:rsid w:val="001D09FA"/>
    <w:rsid w:val="001D0AB8"/>
    <w:rsid w:val="001D0F93"/>
    <w:rsid w:val="001D2A37"/>
    <w:rsid w:val="001E3AC6"/>
    <w:rsid w:val="001E7DA2"/>
    <w:rsid w:val="001F11AF"/>
    <w:rsid w:val="001F402C"/>
    <w:rsid w:val="002000E9"/>
    <w:rsid w:val="00204ABF"/>
    <w:rsid w:val="00205BCB"/>
    <w:rsid w:val="00220317"/>
    <w:rsid w:val="00221B9A"/>
    <w:rsid w:val="00223523"/>
    <w:rsid w:val="00236259"/>
    <w:rsid w:val="0024524A"/>
    <w:rsid w:val="00246A40"/>
    <w:rsid w:val="002475C0"/>
    <w:rsid w:val="002543DB"/>
    <w:rsid w:val="002546EB"/>
    <w:rsid w:val="00262610"/>
    <w:rsid w:val="00266833"/>
    <w:rsid w:val="00266884"/>
    <w:rsid w:val="00266F36"/>
    <w:rsid w:val="00274D10"/>
    <w:rsid w:val="00282258"/>
    <w:rsid w:val="002834C1"/>
    <w:rsid w:val="00285C0B"/>
    <w:rsid w:val="002872BA"/>
    <w:rsid w:val="00295CEB"/>
    <w:rsid w:val="002A74C4"/>
    <w:rsid w:val="002A7B77"/>
    <w:rsid w:val="002B23E9"/>
    <w:rsid w:val="002B3B6C"/>
    <w:rsid w:val="002C2B5E"/>
    <w:rsid w:val="002C6597"/>
    <w:rsid w:val="002D005A"/>
    <w:rsid w:val="002D0D8F"/>
    <w:rsid w:val="002D37F1"/>
    <w:rsid w:val="002D670C"/>
    <w:rsid w:val="002E2A3C"/>
    <w:rsid w:val="002F167F"/>
    <w:rsid w:val="002F4407"/>
    <w:rsid w:val="00304AFB"/>
    <w:rsid w:val="003062A6"/>
    <w:rsid w:val="003110B7"/>
    <w:rsid w:val="00312D5A"/>
    <w:rsid w:val="00325304"/>
    <w:rsid w:val="00326FBB"/>
    <w:rsid w:val="003331A2"/>
    <w:rsid w:val="00343503"/>
    <w:rsid w:val="00347DE6"/>
    <w:rsid w:val="003646B6"/>
    <w:rsid w:val="0037482E"/>
    <w:rsid w:val="003851DD"/>
    <w:rsid w:val="00386D9B"/>
    <w:rsid w:val="00386EC7"/>
    <w:rsid w:val="0038780C"/>
    <w:rsid w:val="00391AA8"/>
    <w:rsid w:val="00397B49"/>
    <w:rsid w:val="003A2EBD"/>
    <w:rsid w:val="003A3B45"/>
    <w:rsid w:val="003B4FD5"/>
    <w:rsid w:val="003C22DF"/>
    <w:rsid w:val="003C720A"/>
    <w:rsid w:val="003D176A"/>
    <w:rsid w:val="003D1A5B"/>
    <w:rsid w:val="003D6A75"/>
    <w:rsid w:val="003E417F"/>
    <w:rsid w:val="003E7E37"/>
    <w:rsid w:val="003E7FFB"/>
    <w:rsid w:val="003F6D64"/>
    <w:rsid w:val="00404750"/>
    <w:rsid w:val="00404986"/>
    <w:rsid w:val="0040529C"/>
    <w:rsid w:val="00406285"/>
    <w:rsid w:val="00410E3F"/>
    <w:rsid w:val="00411B6D"/>
    <w:rsid w:val="00414DD9"/>
    <w:rsid w:val="0042197A"/>
    <w:rsid w:val="00424672"/>
    <w:rsid w:val="00437FC4"/>
    <w:rsid w:val="00441628"/>
    <w:rsid w:val="00451C2F"/>
    <w:rsid w:val="00460217"/>
    <w:rsid w:val="00460AFB"/>
    <w:rsid w:val="0047480C"/>
    <w:rsid w:val="00476475"/>
    <w:rsid w:val="0048233C"/>
    <w:rsid w:val="00482CA1"/>
    <w:rsid w:val="00486E0D"/>
    <w:rsid w:val="0049462C"/>
    <w:rsid w:val="004A2449"/>
    <w:rsid w:val="004A253D"/>
    <w:rsid w:val="004A2B34"/>
    <w:rsid w:val="004A39E3"/>
    <w:rsid w:val="004B08D5"/>
    <w:rsid w:val="004B1976"/>
    <w:rsid w:val="004B2137"/>
    <w:rsid w:val="004B5B5C"/>
    <w:rsid w:val="004B6507"/>
    <w:rsid w:val="004C48C6"/>
    <w:rsid w:val="004C49B2"/>
    <w:rsid w:val="004D2906"/>
    <w:rsid w:val="004D35B3"/>
    <w:rsid w:val="004D7B96"/>
    <w:rsid w:val="004E18EB"/>
    <w:rsid w:val="004E7224"/>
    <w:rsid w:val="00502C19"/>
    <w:rsid w:val="00510827"/>
    <w:rsid w:val="00513B15"/>
    <w:rsid w:val="005342E0"/>
    <w:rsid w:val="005378F6"/>
    <w:rsid w:val="005433B7"/>
    <w:rsid w:val="00545B61"/>
    <w:rsid w:val="00555450"/>
    <w:rsid w:val="00570B2B"/>
    <w:rsid w:val="0057259E"/>
    <w:rsid w:val="00572D30"/>
    <w:rsid w:val="00573453"/>
    <w:rsid w:val="005A02B5"/>
    <w:rsid w:val="005A620E"/>
    <w:rsid w:val="005A6ED6"/>
    <w:rsid w:val="005B1E24"/>
    <w:rsid w:val="005B3F0C"/>
    <w:rsid w:val="005B54A8"/>
    <w:rsid w:val="005D2257"/>
    <w:rsid w:val="005D6DB8"/>
    <w:rsid w:val="005E0DB6"/>
    <w:rsid w:val="005E6A65"/>
    <w:rsid w:val="00611CFD"/>
    <w:rsid w:val="00615AEC"/>
    <w:rsid w:val="006228F3"/>
    <w:rsid w:val="00627886"/>
    <w:rsid w:val="0063217E"/>
    <w:rsid w:val="00632764"/>
    <w:rsid w:val="00642654"/>
    <w:rsid w:val="00645CF4"/>
    <w:rsid w:val="00646FFD"/>
    <w:rsid w:val="00650933"/>
    <w:rsid w:val="00653607"/>
    <w:rsid w:val="00662366"/>
    <w:rsid w:val="00664002"/>
    <w:rsid w:val="00666A7B"/>
    <w:rsid w:val="00672A84"/>
    <w:rsid w:val="00673E30"/>
    <w:rsid w:val="00680630"/>
    <w:rsid w:val="006862FC"/>
    <w:rsid w:val="00694C98"/>
    <w:rsid w:val="006950C4"/>
    <w:rsid w:val="00696391"/>
    <w:rsid w:val="00697ACE"/>
    <w:rsid w:val="006A0141"/>
    <w:rsid w:val="006B44A0"/>
    <w:rsid w:val="006C10A2"/>
    <w:rsid w:val="006C1C41"/>
    <w:rsid w:val="006C4544"/>
    <w:rsid w:val="006D2F47"/>
    <w:rsid w:val="006F0FE9"/>
    <w:rsid w:val="006F6D80"/>
    <w:rsid w:val="006F73D0"/>
    <w:rsid w:val="00700087"/>
    <w:rsid w:val="00701F6C"/>
    <w:rsid w:val="007037BF"/>
    <w:rsid w:val="007059EC"/>
    <w:rsid w:val="00710AAB"/>
    <w:rsid w:val="007124F3"/>
    <w:rsid w:val="00712E63"/>
    <w:rsid w:val="00713F33"/>
    <w:rsid w:val="007149D2"/>
    <w:rsid w:val="007159CB"/>
    <w:rsid w:val="00715A8B"/>
    <w:rsid w:val="00723C37"/>
    <w:rsid w:val="007270D3"/>
    <w:rsid w:val="00731CE8"/>
    <w:rsid w:val="00736B8B"/>
    <w:rsid w:val="0075045B"/>
    <w:rsid w:val="00752E54"/>
    <w:rsid w:val="00754EA7"/>
    <w:rsid w:val="007576CA"/>
    <w:rsid w:val="0076710B"/>
    <w:rsid w:val="0077190E"/>
    <w:rsid w:val="00772A6B"/>
    <w:rsid w:val="00776308"/>
    <w:rsid w:val="00776908"/>
    <w:rsid w:val="00777E06"/>
    <w:rsid w:val="00786F67"/>
    <w:rsid w:val="007901BD"/>
    <w:rsid w:val="007A4FC3"/>
    <w:rsid w:val="007B302D"/>
    <w:rsid w:val="007C3BFE"/>
    <w:rsid w:val="007C4E07"/>
    <w:rsid w:val="007D2C74"/>
    <w:rsid w:val="007D53B8"/>
    <w:rsid w:val="007D5F21"/>
    <w:rsid w:val="007E0691"/>
    <w:rsid w:val="007E7B50"/>
    <w:rsid w:val="007F27F5"/>
    <w:rsid w:val="007F6B1C"/>
    <w:rsid w:val="00802C78"/>
    <w:rsid w:val="00810961"/>
    <w:rsid w:val="00814582"/>
    <w:rsid w:val="0081529F"/>
    <w:rsid w:val="008172DE"/>
    <w:rsid w:val="00822C33"/>
    <w:rsid w:val="0083067D"/>
    <w:rsid w:val="0083167F"/>
    <w:rsid w:val="00832A72"/>
    <w:rsid w:val="008362AB"/>
    <w:rsid w:val="00836356"/>
    <w:rsid w:val="00836CE2"/>
    <w:rsid w:val="00840AC9"/>
    <w:rsid w:val="00853B1B"/>
    <w:rsid w:val="00857B6F"/>
    <w:rsid w:val="008619BE"/>
    <w:rsid w:val="008832B8"/>
    <w:rsid w:val="008A0470"/>
    <w:rsid w:val="008A422B"/>
    <w:rsid w:val="008A43CC"/>
    <w:rsid w:val="008B1081"/>
    <w:rsid w:val="008B2D03"/>
    <w:rsid w:val="008C3D50"/>
    <w:rsid w:val="008C476D"/>
    <w:rsid w:val="008C57BC"/>
    <w:rsid w:val="008C6365"/>
    <w:rsid w:val="008D71F2"/>
    <w:rsid w:val="008D74F5"/>
    <w:rsid w:val="008E75DD"/>
    <w:rsid w:val="008F68E0"/>
    <w:rsid w:val="0090158C"/>
    <w:rsid w:val="0090341B"/>
    <w:rsid w:val="00905FF2"/>
    <w:rsid w:val="00912A81"/>
    <w:rsid w:val="009130EA"/>
    <w:rsid w:val="00914C63"/>
    <w:rsid w:val="00926404"/>
    <w:rsid w:val="00937C9C"/>
    <w:rsid w:val="009410B1"/>
    <w:rsid w:val="0094345E"/>
    <w:rsid w:val="00952B32"/>
    <w:rsid w:val="00957094"/>
    <w:rsid w:val="009626B3"/>
    <w:rsid w:val="00974956"/>
    <w:rsid w:val="00975417"/>
    <w:rsid w:val="00977CDD"/>
    <w:rsid w:val="00981E1C"/>
    <w:rsid w:val="009824DE"/>
    <w:rsid w:val="00985A6F"/>
    <w:rsid w:val="00986930"/>
    <w:rsid w:val="00990F47"/>
    <w:rsid w:val="00991493"/>
    <w:rsid w:val="009A02B3"/>
    <w:rsid w:val="009A0E0F"/>
    <w:rsid w:val="009A3689"/>
    <w:rsid w:val="009A70F5"/>
    <w:rsid w:val="009B1215"/>
    <w:rsid w:val="009B1FB8"/>
    <w:rsid w:val="009B28EE"/>
    <w:rsid w:val="009B2F57"/>
    <w:rsid w:val="009C0ED6"/>
    <w:rsid w:val="009C3E10"/>
    <w:rsid w:val="009C534E"/>
    <w:rsid w:val="009D13E6"/>
    <w:rsid w:val="009D277F"/>
    <w:rsid w:val="009D3234"/>
    <w:rsid w:val="009D4D0E"/>
    <w:rsid w:val="009D4DED"/>
    <w:rsid w:val="009E0CC1"/>
    <w:rsid w:val="009E2E2B"/>
    <w:rsid w:val="009E50C5"/>
    <w:rsid w:val="009F387D"/>
    <w:rsid w:val="009F5C02"/>
    <w:rsid w:val="009F5FFF"/>
    <w:rsid w:val="009F7C84"/>
    <w:rsid w:val="00A0070B"/>
    <w:rsid w:val="00A12E4D"/>
    <w:rsid w:val="00A1427C"/>
    <w:rsid w:val="00A21CCE"/>
    <w:rsid w:val="00A23227"/>
    <w:rsid w:val="00A30CED"/>
    <w:rsid w:val="00A315E2"/>
    <w:rsid w:val="00A31EFD"/>
    <w:rsid w:val="00A428BF"/>
    <w:rsid w:val="00A45E1B"/>
    <w:rsid w:val="00A54F24"/>
    <w:rsid w:val="00A56806"/>
    <w:rsid w:val="00A64418"/>
    <w:rsid w:val="00A71BC4"/>
    <w:rsid w:val="00A72E9A"/>
    <w:rsid w:val="00A73052"/>
    <w:rsid w:val="00A73F21"/>
    <w:rsid w:val="00A7568E"/>
    <w:rsid w:val="00A75713"/>
    <w:rsid w:val="00A86923"/>
    <w:rsid w:val="00A9566F"/>
    <w:rsid w:val="00A961F3"/>
    <w:rsid w:val="00AA0D07"/>
    <w:rsid w:val="00AA5F51"/>
    <w:rsid w:val="00AA60F3"/>
    <w:rsid w:val="00AB5FC0"/>
    <w:rsid w:val="00AB743F"/>
    <w:rsid w:val="00AC23D5"/>
    <w:rsid w:val="00AC36EF"/>
    <w:rsid w:val="00AC37F5"/>
    <w:rsid w:val="00AC5357"/>
    <w:rsid w:val="00AE3807"/>
    <w:rsid w:val="00AE5D61"/>
    <w:rsid w:val="00AE63D9"/>
    <w:rsid w:val="00AF0D1A"/>
    <w:rsid w:val="00AF6EDA"/>
    <w:rsid w:val="00B1023D"/>
    <w:rsid w:val="00B149FA"/>
    <w:rsid w:val="00B23FC2"/>
    <w:rsid w:val="00B30D60"/>
    <w:rsid w:val="00B313CE"/>
    <w:rsid w:val="00B32D6F"/>
    <w:rsid w:val="00B35AE4"/>
    <w:rsid w:val="00B37706"/>
    <w:rsid w:val="00B4300F"/>
    <w:rsid w:val="00B5317F"/>
    <w:rsid w:val="00B5361F"/>
    <w:rsid w:val="00B56510"/>
    <w:rsid w:val="00B56880"/>
    <w:rsid w:val="00B57071"/>
    <w:rsid w:val="00B57AD6"/>
    <w:rsid w:val="00B65E5D"/>
    <w:rsid w:val="00B811C6"/>
    <w:rsid w:val="00B9716A"/>
    <w:rsid w:val="00BA4C96"/>
    <w:rsid w:val="00BB1A97"/>
    <w:rsid w:val="00BB54FE"/>
    <w:rsid w:val="00BB5CDA"/>
    <w:rsid w:val="00BC060B"/>
    <w:rsid w:val="00BC11BA"/>
    <w:rsid w:val="00BC269A"/>
    <w:rsid w:val="00BC386B"/>
    <w:rsid w:val="00BE2894"/>
    <w:rsid w:val="00BE33B1"/>
    <w:rsid w:val="00BE5671"/>
    <w:rsid w:val="00BE6734"/>
    <w:rsid w:val="00BE69C5"/>
    <w:rsid w:val="00BF142B"/>
    <w:rsid w:val="00BF4E1E"/>
    <w:rsid w:val="00BF66EA"/>
    <w:rsid w:val="00C00092"/>
    <w:rsid w:val="00C00FC7"/>
    <w:rsid w:val="00C131AE"/>
    <w:rsid w:val="00C14387"/>
    <w:rsid w:val="00C15444"/>
    <w:rsid w:val="00C20D83"/>
    <w:rsid w:val="00C245B9"/>
    <w:rsid w:val="00C324FC"/>
    <w:rsid w:val="00C32BDE"/>
    <w:rsid w:val="00C41076"/>
    <w:rsid w:val="00C5016F"/>
    <w:rsid w:val="00C549C8"/>
    <w:rsid w:val="00C61CAC"/>
    <w:rsid w:val="00C64821"/>
    <w:rsid w:val="00C72CBC"/>
    <w:rsid w:val="00C74452"/>
    <w:rsid w:val="00C810B0"/>
    <w:rsid w:val="00C82D58"/>
    <w:rsid w:val="00CA036A"/>
    <w:rsid w:val="00CA3E95"/>
    <w:rsid w:val="00CA5F17"/>
    <w:rsid w:val="00CB0442"/>
    <w:rsid w:val="00CB4C48"/>
    <w:rsid w:val="00CC2A26"/>
    <w:rsid w:val="00CD338E"/>
    <w:rsid w:val="00CD47D2"/>
    <w:rsid w:val="00CD517D"/>
    <w:rsid w:val="00CD6545"/>
    <w:rsid w:val="00CE4D8D"/>
    <w:rsid w:val="00CF07C1"/>
    <w:rsid w:val="00CF4DEA"/>
    <w:rsid w:val="00CF7086"/>
    <w:rsid w:val="00D00782"/>
    <w:rsid w:val="00D01637"/>
    <w:rsid w:val="00D07B47"/>
    <w:rsid w:val="00D12C35"/>
    <w:rsid w:val="00D242CF"/>
    <w:rsid w:val="00D253C8"/>
    <w:rsid w:val="00D35AF5"/>
    <w:rsid w:val="00D36EE8"/>
    <w:rsid w:val="00D450F2"/>
    <w:rsid w:val="00D45E76"/>
    <w:rsid w:val="00D50554"/>
    <w:rsid w:val="00D56513"/>
    <w:rsid w:val="00D67964"/>
    <w:rsid w:val="00D71671"/>
    <w:rsid w:val="00D72015"/>
    <w:rsid w:val="00D72588"/>
    <w:rsid w:val="00D72E1E"/>
    <w:rsid w:val="00D748D6"/>
    <w:rsid w:val="00D7634C"/>
    <w:rsid w:val="00D800E0"/>
    <w:rsid w:val="00D84BEA"/>
    <w:rsid w:val="00D90DFD"/>
    <w:rsid w:val="00D9556E"/>
    <w:rsid w:val="00DA0799"/>
    <w:rsid w:val="00DA5E61"/>
    <w:rsid w:val="00DA5E8B"/>
    <w:rsid w:val="00DA672F"/>
    <w:rsid w:val="00DB1B9D"/>
    <w:rsid w:val="00DB2245"/>
    <w:rsid w:val="00DB4275"/>
    <w:rsid w:val="00DC0C98"/>
    <w:rsid w:val="00DC7D6E"/>
    <w:rsid w:val="00DD2DDF"/>
    <w:rsid w:val="00DE1C02"/>
    <w:rsid w:val="00DF2421"/>
    <w:rsid w:val="00DF2901"/>
    <w:rsid w:val="00DF2E71"/>
    <w:rsid w:val="00DF322B"/>
    <w:rsid w:val="00DF6477"/>
    <w:rsid w:val="00DF790B"/>
    <w:rsid w:val="00E005F0"/>
    <w:rsid w:val="00E01C97"/>
    <w:rsid w:val="00E1631D"/>
    <w:rsid w:val="00E23644"/>
    <w:rsid w:val="00E260E4"/>
    <w:rsid w:val="00E40541"/>
    <w:rsid w:val="00E4229B"/>
    <w:rsid w:val="00E45A41"/>
    <w:rsid w:val="00E5196B"/>
    <w:rsid w:val="00E51B23"/>
    <w:rsid w:val="00E51CB5"/>
    <w:rsid w:val="00E5284B"/>
    <w:rsid w:val="00E56438"/>
    <w:rsid w:val="00E60601"/>
    <w:rsid w:val="00E61DDD"/>
    <w:rsid w:val="00E640C6"/>
    <w:rsid w:val="00E665FD"/>
    <w:rsid w:val="00E75BA9"/>
    <w:rsid w:val="00E77DC7"/>
    <w:rsid w:val="00E77DF7"/>
    <w:rsid w:val="00E8146C"/>
    <w:rsid w:val="00E850CB"/>
    <w:rsid w:val="00E85992"/>
    <w:rsid w:val="00E87D92"/>
    <w:rsid w:val="00EA169F"/>
    <w:rsid w:val="00EB3CA1"/>
    <w:rsid w:val="00EB656C"/>
    <w:rsid w:val="00EB6BE8"/>
    <w:rsid w:val="00EC5A3E"/>
    <w:rsid w:val="00ED13A0"/>
    <w:rsid w:val="00ED344A"/>
    <w:rsid w:val="00EE1B73"/>
    <w:rsid w:val="00EE71C0"/>
    <w:rsid w:val="00EF0580"/>
    <w:rsid w:val="00EF1516"/>
    <w:rsid w:val="00EF1B6F"/>
    <w:rsid w:val="00EF306C"/>
    <w:rsid w:val="00F00CF9"/>
    <w:rsid w:val="00F02F60"/>
    <w:rsid w:val="00F05723"/>
    <w:rsid w:val="00F10C6C"/>
    <w:rsid w:val="00F11435"/>
    <w:rsid w:val="00F20559"/>
    <w:rsid w:val="00F22B9E"/>
    <w:rsid w:val="00F2363D"/>
    <w:rsid w:val="00F268C8"/>
    <w:rsid w:val="00F27BDD"/>
    <w:rsid w:val="00F47D3E"/>
    <w:rsid w:val="00F52D0C"/>
    <w:rsid w:val="00F542A9"/>
    <w:rsid w:val="00F5584D"/>
    <w:rsid w:val="00F5604E"/>
    <w:rsid w:val="00F602C7"/>
    <w:rsid w:val="00F624B2"/>
    <w:rsid w:val="00F625E2"/>
    <w:rsid w:val="00F7302E"/>
    <w:rsid w:val="00F73133"/>
    <w:rsid w:val="00F76BEC"/>
    <w:rsid w:val="00F80737"/>
    <w:rsid w:val="00F80F02"/>
    <w:rsid w:val="00F8178E"/>
    <w:rsid w:val="00F840E0"/>
    <w:rsid w:val="00F84E6A"/>
    <w:rsid w:val="00F935BC"/>
    <w:rsid w:val="00FB3545"/>
    <w:rsid w:val="00FB4320"/>
    <w:rsid w:val="00FB6510"/>
    <w:rsid w:val="00FB7C7C"/>
    <w:rsid w:val="00FC042A"/>
    <w:rsid w:val="00FC0E90"/>
    <w:rsid w:val="00FC0F63"/>
    <w:rsid w:val="00FC3D03"/>
    <w:rsid w:val="00FD06A2"/>
    <w:rsid w:val="00FD6FA2"/>
    <w:rsid w:val="00FE10C4"/>
    <w:rsid w:val="00FF36C0"/>
    <w:rsid w:val="00FF597F"/>
    <w:rsid w:val="023207B4"/>
    <w:rsid w:val="06422D44"/>
    <w:rsid w:val="19E42714"/>
    <w:rsid w:val="30C47C02"/>
    <w:rsid w:val="42EA7495"/>
    <w:rsid w:val="4E8A0975"/>
    <w:rsid w:val="4FEE6130"/>
    <w:rsid w:val="4FEEEBAB"/>
    <w:rsid w:val="592349CF"/>
    <w:rsid w:val="6BFDA08B"/>
    <w:rsid w:val="6F2A7B51"/>
    <w:rsid w:val="6F5E54C0"/>
    <w:rsid w:val="79F27B4D"/>
    <w:rsid w:val="CE7B1827"/>
    <w:rsid w:val="FFF67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4"/>
    <w:qFormat/>
    <w:uiPriority w:val="9"/>
    <w:pPr>
      <w:keepNext/>
      <w:keepLines/>
      <w:spacing w:before="340" w:after="330" w:line="578" w:lineRule="auto"/>
      <w:outlineLvl w:val="0"/>
    </w:pPr>
    <w:rPr>
      <w:b/>
      <w:bCs/>
      <w:kern w:val="44"/>
      <w:sz w:val="44"/>
      <w:szCs w:val="44"/>
    </w:rPr>
  </w:style>
  <w:style w:type="character" w:default="1" w:styleId="11">
    <w:name w:val="Default Paragraph Font"/>
    <w:unhideWhenUsed/>
    <w:qFormat/>
    <w:uiPriority w:val="1"/>
  </w:style>
  <w:style w:type="table" w:default="1" w:styleId="9">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toc 3"/>
    <w:basedOn w:val="1"/>
    <w:next w:val="1"/>
    <w:unhideWhenUsed/>
    <w:qFormat/>
    <w:uiPriority w:val="39"/>
    <w:pPr>
      <w:ind w:left="840" w:leftChars="400"/>
    </w:p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toc 2"/>
    <w:basedOn w:val="1"/>
    <w:next w:val="1"/>
    <w:unhideWhenUsed/>
    <w:qFormat/>
    <w:uiPriority w:val="39"/>
    <w:pPr>
      <w:ind w:left="420" w:leftChars="200"/>
    </w:p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Hyperlink"/>
    <w:basedOn w:val="11"/>
    <w:unhideWhenUsed/>
    <w:qFormat/>
    <w:uiPriority w:val="99"/>
    <w:rPr>
      <w:color w:val="0563C1" w:themeColor="hyperlink"/>
      <w:u w:val="single"/>
      <w14:textFill>
        <w14:solidFill>
          <w14:schemeClr w14:val="hlink"/>
        </w14:solidFill>
      </w14:textFill>
    </w:rPr>
  </w:style>
  <w:style w:type="character" w:styleId="13">
    <w:name w:val="annotation reference"/>
    <w:basedOn w:val="11"/>
    <w:unhideWhenUsed/>
    <w:qFormat/>
    <w:uiPriority w:val="99"/>
    <w:rPr>
      <w:sz w:val="21"/>
      <w:szCs w:val="21"/>
    </w:rPr>
  </w:style>
  <w:style w:type="character" w:customStyle="1" w:styleId="14">
    <w:name w:val="标题 1 字符"/>
    <w:basedOn w:val="11"/>
    <w:link w:val="2"/>
    <w:qFormat/>
    <w:uiPriority w:val="9"/>
    <w:rPr>
      <w:b/>
      <w:bCs/>
      <w:kern w:val="44"/>
      <w:sz w:val="44"/>
      <w:szCs w:val="44"/>
    </w:rPr>
  </w:style>
  <w:style w:type="paragraph" w:customStyle="1" w:styleId="15">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6">
    <w:name w:val="页眉 字符"/>
    <w:basedOn w:val="11"/>
    <w:link w:val="6"/>
    <w:qFormat/>
    <w:uiPriority w:val="99"/>
    <w:rPr>
      <w:sz w:val="18"/>
      <w:szCs w:val="18"/>
    </w:rPr>
  </w:style>
  <w:style w:type="character" w:customStyle="1" w:styleId="17">
    <w:name w:val="页脚 字符"/>
    <w:basedOn w:val="11"/>
    <w:link w:val="5"/>
    <w:qFormat/>
    <w:uiPriority w:val="99"/>
    <w:rPr>
      <w:sz w:val="18"/>
      <w:szCs w:val="18"/>
    </w:rPr>
  </w:style>
  <w:style w:type="paragraph" w:customStyle="1" w:styleId="18">
    <w:name w:val="正文鸭"/>
    <w:basedOn w:val="1"/>
    <w:link w:val="20"/>
    <w:qFormat/>
    <w:uiPriority w:val="0"/>
    <w:pPr>
      <w:spacing w:line="360" w:lineRule="auto"/>
      <w:ind w:firstLine="640" w:firstLineChars="200"/>
    </w:pPr>
    <w:rPr>
      <w:rFonts w:ascii="Times New Roman" w:hAnsi="Times New Roman" w:eastAsia="仿宋_GB2312" w:cs="仿宋_GB2312"/>
      <w:sz w:val="32"/>
      <w:szCs w:val="32"/>
    </w:rPr>
  </w:style>
  <w:style w:type="table" w:customStyle="1" w:styleId="19">
    <w:name w:val="网格型1"/>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
    <w:name w:val="正文鸭 字符"/>
    <w:basedOn w:val="11"/>
    <w:link w:val="18"/>
    <w:qFormat/>
    <w:uiPriority w:val="0"/>
    <w:rPr>
      <w:rFonts w:ascii="Times New Roman" w:hAnsi="Times New Roman" w:eastAsia="仿宋_GB2312" w:cs="仿宋_GB2312"/>
      <w:sz w:val="32"/>
      <w:szCs w:val="32"/>
    </w:rPr>
  </w:style>
  <w:style w:type="paragraph" w:customStyle="1" w:styleId="21">
    <w:name w:val="No Spacing"/>
    <w:qFormat/>
    <w:uiPriority w:val="1"/>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3">
    <w:name w:val="font81"/>
    <w:basedOn w:val="11"/>
    <w:qFormat/>
    <w:uiPriority w:val="0"/>
    <w:rPr>
      <w:rFonts w:hint="default" w:ascii="仿宋" w:hAnsi="仿宋" w:eastAsia="仿宋" w:cs="仿宋"/>
      <w:color w:val="000000"/>
      <w:sz w:val="20"/>
      <w:szCs w:val="20"/>
      <w:u w:val="none"/>
    </w:rPr>
  </w:style>
  <w:style w:type="character" w:customStyle="1" w:styleId="24">
    <w:name w:val="font121"/>
    <w:basedOn w:val="11"/>
    <w:qFormat/>
    <w:uiPriority w:val="0"/>
    <w:rPr>
      <w:rFonts w:hint="eastAsia" w:ascii="宋体" w:hAnsi="宋体" w:eastAsia="宋体" w:cs="宋体"/>
      <w:color w:val="000000"/>
      <w:sz w:val="18"/>
      <w:szCs w:val="18"/>
      <w:u w:val="none"/>
    </w:rPr>
  </w:style>
  <w:style w:type="character" w:customStyle="1" w:styleId="25">
    <w:name w:val="font51"/>
    <w:basedOn w:val="11"/>
    <w:qFormat/>
    <w:uiPriority w:val="0"/>
    <w:rPr>
      <w:rFonts w:hint="default" w:ascii="仿宋" w:hAnsi="仿宋" w:eastAsia="仿宋" w:cs="仿宋"/>
      <w:color w:val="000000"/>
      <w:sz w:val="20"/>
      <w:szCs w:val="20"/>
      <w:u w:val="none"/>
    </w:rPr>
  </w:style>
  <w:style w:type="character" w:customStyle="1" w:styleId="26">
    <w:name w:val="font01"/>
    <w:basedOn w:val="11"/>
    <w:qFormat/>
    <w:uiPriority w:val="0"/>
    <w:rPr>
      <w:rFonts w:hint="eastAsia" w:ascii="宋体" w:hAnsi="宋体" w:eastAsia="宋体" w:cs="宋体"/>
      <w:color w:val="000000"/>
      <w:sz w:val="20"/>
      <w:szCs w:val="20"/>
      <w:u w:val="none"/>
    </w:rPr>
  </w:style>
  <w:style w:type="character" w:customStyle="1" w:styleId="27">
    <w:name w:val="font61"/>
    <w:basedOn w:val="11"/>
    <w:qFormat/>
    <w:uiPriority w:val="0"/>
    <w:rPr>
      <w:rFonts w:hint="default" w:ascii="仿宋" w:hAnsi="仿宋" w:eastAsia="仿宋" w:cs="仿宋"/>
      <w:color w:val="000000"/>
      <w:sz w:val="20"/>
      <w:szCs w:val="20"/>
      <w:u w:val="none"/>
    </w:rPr>
  </w:style>
  <w:style w:type="character" w:customStyle="1" w:styleId="28">
    <w:name w:val="font111"/>
    <w:basedOn w:val="11"/>
    <w:qFormat/>
    <w:uiPriority w:val="0"/>
    <w:rPr>
      <w:rFonts w:ascii="仿宋_GB2312" w:eastAsia="仿宋_GB2312" w:cs="仿宋_GB2312"/>
      <w:color w:val="000000"/>
      <w:sz w:val="20"/>
      <w:szCs w:val="20"/>
      <w:u w:val="none"/>
    </w:rPr>
  </w:style>
  <w:style w:type="character" w:customStyle="1" w:styleId="29">
    <w:name w:val="font151"/>
    <w:basedOn w:val="11"/>
    <w:qFormat/>
    <w:uiPriority w:val="0"/>
    <w:rPr>
      <w:rFonts w:hint="default" w:ascii="仿宋_GB2312" w:eastAsia="仿宋_GB2312" w:cs="仿宋_GB2312"/>
      <w:color w:val="000000"/>
      <w:sz w:val="20"/>
      <w:szCs w:val="20"/>
      <w:u w:val="none"/>
    </w:rPr>
  </w:style>
  <w:style w:type="character" w:customStyle="1" w:styleId="30">
    <w:name w:val="font31"/>
    <w:basedOn w:val="11"/>
    <w:qFormat/>
    <w:uiPriority w:val="0"/>
    <w:rPr>
      <w:rFonts w:hint="default" w:ascii="Times New Roman" w:hAnsi="Times New Roman" w:cs="Times New Roman"/>
      <w:color w:val="000000"/>
      <w:sz w:val="20"/>
      <w:szCs w:val="20"/>
      <w:u w:val="none"/>
    </w:rPr>
  </w:style>
  <w:style w:type="character" w:customStyle="1" w:styleId="31">
    <w:name w:val="font141"/>
    <w:basedOn w:val="11"/>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35</Pages>
  <Words>13968</Words>
  <Characters>14934</Characters>
  <Lines>97</Lines>
  <Paragraphs>27</Paragraphs>
  <TotalTime>1</TotalTime>
  <ScaleCrop>false</ScaleCrop>
  <LinksUpToDate>false</LinksUpToDate>
  <CharactersWithSpaces>15098</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2021-12-17T14:08:00Z</dcterms:created>
  <dc:creator>张 亚辉</dc:creator>
  <cp:lastModifiedBy>Administrator</cp:lastModifiedBy>
  <dcterms:modified xsi:type="dcterms:W3CDTF">2023-06-26T06:02:25Z</dcterms:modified>
  <cp:revision>850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A5EF8E9CFDDB4460893B10A5E2DE3874</vt:lpwstr>
  </property>
</Properties>
</file>