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716" w:beforeLines="550" w:after="780" w:afterLines="250" w:line="360" w:lineRule="auto"/>
        <w:jc w:val="center"/>
        <w:rPr>
          <w:rFonts w:ascii="方正小标宋简体" w:hAnsi="Times New Roman" w:eastAsia="方正小标宋简体" w:cs="Times New Roman"/>
          <w:bCs/>
          <w:sz w:val="48"/>
          <w:szCs w:val="48"/>
        </w:rPr>
      </w:pPr>
      <w:bookmarkStart w:id="0" w:name="_Hlk90563034"/>
      <w:r>
        <w:rPr>
          <w:rFonts w:hint="eastAsia" w:ascii="方正小标宋简体" w:hAnsi="Times New Roman" w:eastAsia="方正小标宋简体" w:cs="Times New Roman"/>
          <w:bCs/>
          <w:sz w:val="48"/>
          <w:szCs w:val="48"/>
        </w:rPr>
        <w:t>基层公共文化服务补助资金项目</w:t>
      </w:r>
    </w:p>
    <w:bookmarkEnd w:id="0"/>
    <w:p>
      <w:pPr>
        <w:spacing w:after="2964" w:afterLines="950" w:line="360" w:lineRule="auto"/>
        <w:jc w:val="center"/>
        <w:rPr>
          <w:rFonts w:ascii="方正小标宋简体" w:hAnsi="Times New Roman" w:eastAsia="方正小标宋简体" w:cs="Times New Roman"/>
          <w:b/>
          <w:sz w:val="56"/>
          <w:szCs w:val="56"/>
        </w:rPr>
      </w:pPr>
      <w:r>
        <w:rPr>
          <w:rFonts w:hint="eastAsia" w:ascii="方正小标宋简体" w:hAnsi="Times New Roman" w:eastAsia="方正小标宋简体" w:cs="Times New Roman"/>
          <w:bCs/>
          <w:sz w:val="48"/>
          <w:szCs w:val="48"/>
        </w:rPr>
        <w:t>绩效评价报告</w:t>
      </w:r>
    </w:p>
    <w:p>
      <w:pPr>
        <w:spacing w:before="312" w:beforeLines="100" w:after="3120" w:afterLines="1000" w:line="360" w:lineRule="auto"/>
        <w:ind w:right="178" w:rightChars="85"/>
        <w:jc w:val="center"/>
        <w:rPr>
          <w:rFonts w:ascii="方正小标宋简体" w:hAnsi="Times New Roman" w:eastAsia="方正小标宋简体" w:cs="Times New Roman"/>
          <w:bCs/>
          <w:sz w:val="52"/>
          <w:szCs w:val="52"/>
        </w:rPr>
      </w:pPr>
    </w:p>
    <w:p>
      <w:pPr>
        <w:jc w:val="center"/>
        <w:rPr>
          <w:rFonts w:ascii="方正小标宋简体" w:hAnsi="Times New Roman" w:eastAsia="方正小标宋简体" w:cs="Times New Roman"/>
          <w:bCs/>
          <w:sz w:val="36"/>
          <w:szCs w:val="36"/>
        </w:rPr>
      </w:pPr>
      <w:r>
        <w:rPr>
          <w:rFonts w:hint="eastAsia" w:ascii="方正小标宋简体" w:hAnsi="Times New Roman" w:eastAsia="方正小标宋简体" w:cs="Times New Roman"/>
          <w:bCs/>
          <w:sz w:val="36"/>
          <w:szCs w:val="36"/>
        </w:rPr>
        <w:t>天津丞明会计师事务所（普通合伙）</w:t>
      </w:r>
    </w:p>
    <w:p>
      <w:pPr>
        <w:jc w:val="center"/>
        <w:rPr>
          <w:rFonts w:ascii="方正小标宋简体" w:hAnsi="Times New Roman" w:eastAsia="方正小标宋简体" w:cs="Times New Roman"/>
          <w:bCs/>
          <w:sz w:val="36"/>
          <w:szCs w:val="36"/>
        </w:rPr>
      </w:pPr>
      <w:r>
        <w:rPr>
          <w:rFonts w:hint="eastAsia" w:ascii="方正小标宋简体" w:hAnsi="Times New Roman" w:eastAsia="方正小标宋简体" w:cs="Times New Roman"/>
          <w:bCs/>
          <w:sz w:val="36"/>
          <w:szCs w:val="36"/>
        </w:rPr>
        <w:t>2021年12月</w:t>
      </w:r>
    </w:p>
    <w:p>
      <w:pPr>
        <w:rPr>
          <w:rFonts w:ascii="方正小标宋简体" w:hAnsi="Times New Roman" w:eastAsia="方正小标宋简体" w:cs="Times New Roman"/>
          <w:bCs/>
          <w:sz w:val="36"/>
          <w:szCs w:val="36"/>
        </w:rPr>
      </w:pPr>
    </w:p>
    <w:p>
      <w:pPr>
        <w:jc w:val="center"/>
        <w:rPr>
          <w:rFonts w:ascii="方正小标宋简体" w:hAnsi="Times New Roman" w:eastAsia="方正小标宋简体" w:cs="Times New Roman"/>
          <w:bCs/>
          <w:sz w:val="36"/>
          <w:szCs w:val="36"/>
        </w:rPr>
        <w:sectPr>
          <w:pgSz w:w="11906" w:h="16838"/>
          <w:pgMar w:top="1440" w:right="1800" w:bottom="1440" w:left="1800" w:header="851" w:footer="992" w:gutter="0"/>
          <w:cols w:space="425" w:num="1"/>
          <w:docGrid w:type="lines" w:linePitch="312" w:charSpace="0"/>
        </w:sectPr>
      </w:pPr>
    </w:p>
    <w:p>
      <w:pPr>
        <w:jc w:val="center"/>
        <w:rPr>
          <w:rFonts w:ascii="Times New Roman" w:hAnsi="Times New Roman" w:eastAsia="仿宋_GB2312" w:cs="Times New Roman"/>
          <w:b/>
          <w:bCs/>
          <w:kern w:val="0"/>
          <w:sz w:val="32"/>
          <w:szCs w:val="32"/>
          <w:lang w:val="zh-CN"/>
        </w:rPr>
      </w:pPr>
      <w:r>
        <w:rPr>
          <w:rFonts w:hint="eastAsia" w:ascii="Times New Roman" w:hAnsi="Times New Roman" w:eastAsia="仿宋_GB2312" w:cs="Times New Roman"/>
          <w:b/>
          <w:bCs/>
          <w:kern w:val="0"/>
          <w:sz w:val="32"/>
          <w:szCs w:val="32"/>
          <w:lang w:val="zh-CN"/>
        </w:rPr>
        <w:t xml:space="preserve">目 </w:t>
      </w:r>
      <w:r>
        <w:rPr>
          <w:rFonts w:ascii="Times New Roman" w:hAnsi="Times New Roman" w:eastAsia="仿宋_GB2312" w:cs="Times New Roman"/>
          <w:b/>
          <w:bCs/>
          <w:kern w:val="0"/>
          <w:sz w:val="32"/>
          <w:szCs w:val="32"/>
          <w:lang w:val="zh-CN"/>
        </w:rPr>
        <w:t xml:space="preserve"> </w:t>
      </w:r>
      <w:r>
        <w:rPr>
          <w:rFonts w:hint="eastAsia" w:ascii="Times New Roman" w:hAnsi="Times New Roman" w:eastAsia="仿宋_GB2312" w:cs="Times New Roman"/>
          <w:b/>
          <w:bCs/>
          <w:kern w:val="0"/>
          <w:sz w:val="32"/>
          <w:szCs w:val="32"/>
          <w:lang w:val="zh-CN"/>
        </w:rPr>
        <w:t>录</w:t>
      </w:r>
    </w:p>
    <w:sdt>
      <w:sdtPr>
        <w:rPr>
          <w:lang w:val="zh-CN"/>
        </w:rPr>
        <w:id w:val="1240213343"/>
        <w:docPartObj>
          <w:docPartGallery w:val="Table of Contents"/>
          <w:docPartUnique/>
        </w:docPartObj>
      </w:sdtPr>
      <w:sdtEndPr>
        <w:rPr>
          <w:b/>
          <w:bCs/>
          <w:sz w:val="32"/>
          <w:szCs w:val="32"/>
          <w:lang w:val="zh-CN"/>
        </w:rPr>
      </w:sdtEndPr>
      <w:sdtContent>
        <w:p>
          <w:pPr>
            <w:pStyle w:val="7"/>
            <w:tabs>
              <w:tab w:val="right" w:leader="dot" w:pos="8296"/>
            </w:tabs>
          </w:pPr>
          <w:r>
            <w:rPr>
              <w:sz w:val="32"/>
              <w:szCs w:val="32"/>
            </w:rPr>
            <w:fldChar w:fldCharType="begin"/>
          </w:r>
          <w:r>
            <w:rPr>
              <w:sz w:val="32"/>
              <w:szCs w:val="32"/>
            </w:rPr>
            <w:instrText xml:space="preserve"> TOC \o "1-3" \h \z \u </w:instrText>
          </w:r>
          <w:r>
            <w:rPr>
              <w:sz w:val="32"/>
              <w:szCs w:val="32"/>
            </w:rPr>
            <w:fldChar w:fldCharType="separate"/>
          </w:r>
          <w:r>
            <w:fldChar w:fldCharType="begin"/>
          </w:r>
          <w:r>
            <w:instrText xml:space="preserve"> HYPERLINK \l "_Toc92287193" </w:instrText>
          </w:r>
          <w:r>
            <w:fldChar w:fldCharType="separate"/>
          </w:r>
          <w:r>
            <w:rPr>
              <w:rStyle w:val="12"/>
              <w:rFonts w:hint="eastAsia" w:ascii="Times New Roman" w:hAnsi="黑体" w:eastAsia="黑体" w:cs="黑体"/>
            </w:rPr>
            <w:t>一、基本情况</w:t>
          </w:r>
          <w:r>
            <w:tab/>
          </w:r>
          <w:r>
            <w:fldChar w:fldCharType="begin"/>
          </w:r>
          <w:r>
            <w:instrText xml:space="preserve"> PAGEREF _Toc92287193 \h </w:instrText>
          </w:r>
          <w:r>
            <w:fldChar w:fldCharType="separate"/>
          </w:r>
          <w:r>
            <w:t>1</w:t>
          </w:r>
          <w:r>
            <w:fldChar w:fldCharType="end"/>
          </w:r>
          <w:r>
            <w:fldChar w:fldCharType="end"/>
          </w:r>
        </w:p>
        <w:p>
          <w:pPr>
            <w:pStyle w:val="8"/>
            <w:tabs>
              <w:tab w:val="right" w:leader="dot" w:pos="8296"/>
            </w:tabs>
          </w:pPr>
          <w:r>
            <w:fldChar w:fldCharType="begin"/>
          </w:r>
          <w:r>
            <w:instrText xml:space="preserve"> HYPERLINK \l "_Toc92287194" </w:instrText>
          </w:r>
          <w:r>
            <w:fldChar w:fldCharType="separate"/>
          </w:r>
          <w:r>
            <w:rPr>
              <w:rStyle w:val="12"/>
              <w:rFonts w:hint="eastAsia" w:ascii="楷体_GB2312" w:hAnsi="Times New Roman" w:eastAsia="楷体_GB2312" w:cs="仿宋_GB2312"/>
            </w:rPr>
            <w:t>（一）项目概况</w:t>
          </w:r>
          <w:r>
            <w:tab/>
          </w:r>
          <w:r>
            <w:fldChar w:fldCharType="begin"/>
          </w:r>
          <w:r>
            <w:instrText xml:space="preserve"> PAGEREF _Toc92287194 \h </w:instrText>
          </w:r>
          <w:r>
            <w:fldChar w:fldCharType="separate"/>
          </w:r>
          <w:r>
            <w:t>1</w:t>
          </w:r>
          <w:r>
            <w:fldChar w:fldCharType="end"/>
          </w:r>
          <w:r>
            <w:fldChar w:fldCharType="end"/>
          </w:r>
        </w:p>
        <w:p>
          <w:pPr>
            <w:pStyle w:val="3"/>
            <w:tabs>
              <w:tab w:val="right" w:leader="dot" w:pos="8296"/>
            </w:tabs>
          </w:pPr>
          <w:r>
            <w:fldChar w:fldCharType="begin"/>
          </w:r>
          <w:r>
            <w:instrText xml:space="preserve"> HYPERLINK \l "_Toc92287195" </w:instrText>
          </w:r>
          <w:r>
            <w:fldChar w:fldCharType="separate"/>
          </w:r>
          <w:r>
            <w:rPr>
              <w:rStyle w:val="12"/>
              <w:rFonts w:ascii="Times New Roman" w:hAnsi="Times New Roman" w:eastAsia="仿宋_GB2312" w:cs="仿宋_GB2312"/>
            </w:rPr>
            <w:t>1.</w:t>
          </w:r>
          <w:r>
            <w:rPr>
              <w:rStyle w:val="12"/>
              <w:rFonts w:hint="eastAsia" w:ascii="Times New Roman" w:hAnsi="Times New Roman" w:eastAsia="仿宋_GB2312" w:cs="仿宋_GB2312"/>
            </w:rPr>
            <w:t>项目背景</w:t>
          </w:r>
          <w:r>
            <w:tab/>
          </w:r>
          <w:r>
            <w:fldChar w:fldCharType="begin"/>
          </w:r>
          <w:r>
            <w:instrText xml:space="preserve"> PAGEREF _Toc92287195 \h </w:instrText>
          </w:r>
          <w:r>
            <w:fldChar w:fldCharType="separate"/>
          </w:r>
          <w:r>
            <w:t>1</w:t>
          </w:r>
          <w:r>
            <w:fldChar w:fldCharType="end"/>
          </w:r>
          <w:r>
            <w:fldChar w:fldCharType="end"/>
          </w:r>
        </w:p>
        <w:p>
          <w:pPr>
            <w:pStyle w:val="3"/>
            <w:tabs>
              <w:tab w:val="right" w:leader="dot" w:pos="8296"/>
            </w:tabs>
          </w:pPr>
          <w:r>
            <w:fldChar w:fldCharType="begin"/>
          </w:r>
          <w:r>
            <w:instrText xml:space="preserve"> HYPERLINK \l "_Toc92287196" </w:instrText>
          </w:r>
          <w:r>
            <w:fldChar w:fldCharType="separate"/>
          </w:r>
          <w:r>
            <w:rPr>
              <w:rStyle w:val="12"/>
              <w:rFonts w:ascii="Times New Roman" w:hAnsi="Times New Roman" w:eastAsia="仿宋_GB2312" w:cs="仿宋_GB2312"/>
            </w:rPr>
            <w:t>2.</w:t>
          </w:r>
          <w:r>
            <w:rPr>
              <w:rStyle w:val="12"/>
              <w:rFonts w:hint="eastAsia" w:ascii="Times New Roman" w:hAnsi="Times New Roman" w:eastAsia="仿宋_GB2312" w:cs="仿宋_GB2312"/>
            </w:rPr>
            <w:t>主要内容及实施情况</w:t>
          </w:r>
          <w:r>
            <w:tab/>
          </w:r>
          <w:r>
            <w:fldChar w:fldCharType="begin"/>
          </w:r>
          <w:r>
            <w:instrText xml:space="preserve"> PAGEREF _Toc92287196 \h </w:instrText>
          </w:r>
          <w:r>
            <w:fldChar w:fldCharType="separate"/>
          </w:r>
          <w:r>
            <w:t>2</w:t>
          </w:r>
          <w:r>
            <w:fldChar w:fldCharType="end"/>
          </w:r>
          <w:r>
            <w:fldChar w:fldCharType="end"/>
          </w:r>
        </w:p>
        <w:p>
          <w:pPr>
            <w:pStyle w:val="3"/>
            <w:tabs>
              <w:tab w:val="right" w:leader="dot" w:pos="8296"/>
            </w:tabs>
          </w:pPr>
          <w:r>
            <w:fldChar w:fldCharType="begin"/>
          </w:r>
          <w:r>
            <w:instrText xml:space="preserve"> HYPERLINK \l "_Toc92287197" </w:instrText>
          </w:r>
          <w:r>
            <w:fldChar w:fldCharType="separate"/>
          </w:r>
          <w:r>
            <w:rPr>
              <w:rStyle w:val="12"/>
              <w:rFonts w:ascii="Times New Roman" w:hAnsi="Times New Roman" w:eastAsia="仿宋_GB2312" w:cs="仿宋_GB2312"/>
            </w:rPr>
            <w:t>3.</w:t>
          </w:r>
          <w:r>
            <w:rPr>
              <w:rStyle w:val="12"/>
              <w:rFonts w:hint="eastAsia" w:ascii="Times New Roman" w:hAnsi="Times New Roman" w:eastAsia="仿宋_GB2312" w:cs="仿宋_GB2312"/>
            </w:rPr>
            <w:t>资金投入和使用情况</w:t>
          </w:r>
          <w:r>
            <w:tab/>
          </w:r>
          <w:r>
            <w:fldChar w:fldCharType="begin"/>
          </w:r>
          <w:r>
            <w:instrText xml:space="preserve"> PAGEREF _Toc92287197 \h </w:instrText>
          </w:r>
          <w:r>
            <w:fldChar w:fldCharType="separate"/>
          </w:r>
          <w:r>
            <w:t>3</w:t>
          </w:r>
          <w:r>
            <w:fldChar w:fldCharType="end"/>
          </w:r>
          <w:r>
            <w:fldChar w:fldCharType="end"/>
          </w:r>
        </w:p>
        <w:p>
          <w:pPr>
            <w:pStyle w:val="8"/>
            <w:tabs>
              <w:tab w:val="right" w:leader="dot" w:pos="8296"/>
            </w:tabs>
          </w:pPr>
          <w:r>
            <w:fldChar w:fldCharType="begin"/>
          </w:r>
          <w:r>
            <w:instrText xml:space="preserve"> HYPERLINK \l "_Toc92287198" </w:instrText>
          </w:r>
          <w:r>
            <w:fldChar w:fldCharType="separate"/>
          </w:r>
          <w:r>
            <w:rPr>
              <w:rStyle w:val="12"/>
              <w:rFonts w:hint="eastAsia" w:ascii="楷体_GB2312" w:hAnsi="Times New Roman" w:eastAsia="楷体_GB2312" w:cs="仿宋_GB2312"/>
            </w:rPr>
            <w:t>（二）项目绩效目标</w:t>
          </w:r>
          <w:r>
            <w:tab/>
          </w:r>
          <w:r>
            <w:fldChar w:fldCharType="begin"/>
          </w:r>
          <w:r>
            <w:instrText xml:space="preserve"> PAGEREF _Toc92287198 \h </w:instrText>
          </w:r>
          <w:r>
            <w:fldChar w:fldCharType="separate"/>
          </w:r>
          <w:r>
            <w:t>3</w:t>
          </w:r>
          <w:r>
            <w:fldChar w:fldCharType="end"/>
          </w:r>
          <w:r>
            <w:fldChar w:fldCharType="end"/>
          </w:r>
        </w:p>
        <w:p>
          <w:pPr>
            <w:pStyle w:val="7"/>
            <w:tabs>
              <w:tab w:val="right" w:leader="dot" w:pos="8296"/>
            </w:tabs>
          </w:pPr>
          <w:r>
            <w:fldChar w:fldCharType="begin"/>
          </w:r>
          <w:r>
            <w:instrText xml:space="preserve"> HYPERLINK \l "_Toc92287199" </w:instrText>
          </w:r>
          <w:r>
            <w:fldChar w:fldCharType="separate"/>
          </w:r>
          <w:r>
            <w:rPr>
              <w:rStyle w:val="12"/>
              <w:rFonts w:hint="eastAsia" w:ascii="Times New Roman" w:hAnsi="黑体" w:eastAsia="黑体" w:cs="黑体"/>
            </w:rPr>
            <w:t>二、绩效评价工作开展情况</w:t>
          </w:r>
          <w:r>
            <w:tab/>
          </w:r>
          <w:r>
            <w:fldChar w:fldCharType="begin"/>
          </w:r>
          <w:r>
            <w:instrText xml:space="preserve"> PAGEREF _Toc92287199 \h </w:instrText>
          </w:r>
          <w:r>
            <w:fldChar w:fldCharType="separate"/>
          </w:r>
          <w:r>
            <w:t>4</w:t>
          </w:r>
          <w:r>
            <w:fldChar w:fldCharType="end"/>
          </w:r>
          <w:r>
            <w:fldChar w:fldCharType="end"/>
          </w:r>
        </w:p>
        <w:p>
          <w:pPr>
            <w:pStyle w:val="8"/>
            <w:tabs>
              <w:tab w:val="right" w:leader="dot" w:pos="8296"/>
            </w:tabs>
          </w:pPr>
          <w:r>
            <w:fldChar w:fldCharType="begin"/>
          </w:r>
          <w:r>
            <w:instrText xml:space="preserve"> HYPERLINK \l "_Toc92287200" </w:instrText>
          </w:r>
          <w:r>
            <w:fldChar w:fldCharType="separate"/>
          </w:r>
          <w:r>
            <w:rPr>
              <w:rStyle w:val="12"/>
              <w:rFonts w:hint="eastAsia" w:ascii="楷体_GB2312" w:hAnsi="Times New Roman" w:eastAsia="楷体_GB2312" w:cs="仿宋_GB2312"/>
            </w:rPr>
            <w:t>（一）绩效评价目的、对象和范围</w:t>
          </w:r>
          <w:r>
            <w:tab/>
          </w:r>
          <w:r>
            <w:fldChar w:fldCharType="begin"/>
          </w:r>
          <w:r>
            <w:instrText xml:space="preserve"> PAGEREF _Toc92287200 \h </w:instrText>
          </w:r>
          <w:r>
            <w:fldChar w:fldCharType="separate"/>
          </w:r>
          <w:r>
            <w:t>4</w:t>
          </w:r>
          <w:r>
            <w:fldChar w:fldCharType="end"/>
          </w:r>
          <w:r>
            <w:fldChar w:fldCharType="end"/>
          </w:r>
        </w:p>
        <w:p>
          <w:pPr>
            <w:pStyle w:val="3"/>
            <w:tabs>
              <w:tab w:val="right" w:leader="dot" w:pos="8296"/>
            </w:tabs>
          </w:pPr>
          <w:r>
            <w:fldChar w:fldCharType="begin"/>
          </w:r>
          <w:r>
            <w:instrText xml:space="preserve"> HYPERLINK \l "_Toc92287201" </w:instrText>
          </w:r>
          <w:r>
            <w:fldChar w:fldCharType="separate"/>
          </w:r>
          <w:r>
            <w:rPr>
              <w:rStyle w:val="12"/>
              <w:rFonts w:ascii="Times New Roman" w:hAnsi="Times New Roman" w:eastAsia="仿宋_GB2312" w:cs="仿宋_GB2312"/>
            </w:rPr>
            <w:t>1.</w:t>
          </w:r>
          <w:r>
            <w:rPr>
              <w:rStyle w:val="12"/>
              <w:rFonts w:hint="eastAsia" w:ascii="Times New Roman" w:hAnsi="Times New Roman" w:eastAsia="仿宋_GB2312" w:cs="仿宋_GB2312"/>
            </w:rPr>
            <w:t>绩效评价目的</w:t>
          </w:r>
          <w:r>
            <w:tab/>
          </w:r>
          <w:r>
            <w:fldChar w:fldCharType="begin"/>
          </w:r>
          <w:r>
            <w:instrText xml:space="preserve"> PAGEREF _Toc92287201 \h </w:instrText>
          </w:r>
          <w:r>
            <w:fldChar w:fldCharType="separate"/>
          </w:r>
          <w:r>
            <w:t>4</w:t>
          </w:r>
          <w:r>
            <w:fldChar w:fldCharType="end"/>
          </w:r>
          <w:r>
            <w:fldChar w:fldCharType="end"/>
          </w:r>
        </w:p>
        <w:p>
          <w:pPr>
            <w:pStyle w:val="3"/>
            <w:tabs>
              <w:tab w:val="right" w:leader="dot" w:pos="8296"/>
            </w:tabs>
          </w:pPr>
          <w:r>
            <w:fldChar w:fldCharType="begin"/>
          </w:r>
          <w:r>
            <w:instrText xml:space="preserve"> HYPERLINK \l "_Toc92287202" </w:instrText>
          </w:r>
          <w:r>
            <w:fldChar w:fldCharType="separate"/>
          </w:r>
          <w:r>
            <w:rPr>
              <w:rStyle w:val="12"/>
              <w:rFonts w:ascii="Times New Roman" w:hAnsi="Times New Roman" w:eastAsia="仿宋_GB2312" w:cs="仿宋_GB2312"/>
            </w:rPr>
            <w:t>2.</w:t>
          </w:r>
          <w:r>
            <w:rPr>
              <w:rStyle w:val="12"/>
              <w:rFonts w:hint="eastAsia" w:ascii="Times New Roman" w:hAnsi="Times New Roman" w:eastAsia="仿宋_GB2312" w:cs="仿宋_GB2312"/>
            </w:rPr>
            <w:t>绩效评价对象</w:t>
          </w:r>
          <w:r>
            <w:tab/>
          </w:r>
          <w:r>
            <w:fldChar w:fldCharType="begin"/>
          </w:r>
          <w:r>
            <w:instrText xml:space="preserve"> PAGEREF _Toc92287202 \h </w:instrText>
          </w:r>
          <w:r>
            <w:fldChar w:fldCharType="separate"/>
          </w:r>
          <w:r>
            <w:t>4</w:t>
          </w:r>
          <w:r>
            <w:fldChar w:fldCharType="end"/>
          </w:r>
          <w:r>
            <w:fldChar w:fldCharType="end"/>
          </w:r>
        </w:p>
        <w:p>
          <w:pPr>
            <w:pStyle w:val="3"/>
            <w:tabs>
              <w:tab w:val="right" w:leader="dot" w:pos="8296"/>
            </w:tabs>
          </w:pPr>
          <w:r>
            <w:fldChar w:fldCharType="begin"/>
          </w:r>
          <w:r>
            <w:instrText xml:space="preserve"> HYPERLINK \l "_Toc92287203" </w:instrText>
          </w:r>
          <w:r>
            <w:fldChar w:fldCharType="separate"/>
          </w:r>
          <w:r>
            <w:rPr>
              <w:rStyle w:val="12"/>
              <w:rFonts w:ascii="Times New Roman" w:hAnsi="Times New Roman" w:eastAsia="仿宋_GB2312" w:cs="仿宋_GB2312"/>
            </w:rPr>
            <w:t>3.</w:t>
          </w:r>
          <w:r>
            <w:rPr>
              <w:rStyle w:val="12"/>
              <w:rFonts w:hint="eastAsia" w:ascii="Times New Roman" w:hAnsi="Times New Roman" w:eastAsia="仿宋_GB2312" w:cs="仿宋_GB2312"/>
            </w:rPr>
            <w:t>绩效评价范围</w:t>
          </w:r>
          <w:r>
            <w:tab/>
          </w:r>
          <w:r>
            <w:fldChar w:fldCharType="begin"/>
          </w:r>
          <w:r>
            <w:instrText xml:space="preserve"> PAGEREF _Toc92287203 \h </w:instrText>
          </w:r>
          <w:r>
            <w:fldChar w:fldCharType="separate"/>
          </w:r>
          <w:r>
            <w:t>4</w:t>
          </w:r>
          <w:r>
            <w:fldChar w:fldCharType="end"/>
          </w:r>
          <w:r>
            <w:fldChar w:fldCharType="end"/>
          </w:r>
        </w:p>
        <w:p>
          <w:pPr>
            <w:pStyle w:val="8"/>
            <w:tabs>
              <w:tab w:val="right" w:leader="dot" w:pos="8296"/>
            </w:tabs>
          </w:pPr>
          <w:r>
            <w:fldChar w:fldCharType="begin"/>
          </w:r>
          <w:r>
            <w:instrText xml:space="preserve"> HYPERLINK \l "_Toc92287204" </w:instrText>
          </w:r>
          <w:r>
            <w:fldChar w:fldCharType="separate"/>
          </w:r>
          <w:r>
            <w:rPr>
              <w:rStyle w:val="12"/>
              <w:rFonts w:hint="eastAsia" w:ascii="楷体_GB2312" w:hAnsi="Times New Roman" w:eastAsia="楷体_GB2312" w:cs="仿宋_GB2312"/>
            </w:rPr>
            <w:t>（二）绩效评价原则、评价指标体系、评价方法与标准</w:t>
          </w:r>
          <w:r>
            <w:tab/>
          </w:r>
          <w:r>
            <w:fldChar w:fldCharType="begin"/>
          </w:r>
          <w:r>
            <w:instrText xml:space="preserve"> PAGEREF _Toc92287204 \h </w:instrText>
          </w:r>
          <w:r>
            <w:fldChar w:fldCharType="separate"/>
          </w:r>
          <w:r>
            <w:t>5</w:t>
          </w:r>
          <w:r>
            <w:fldChar w:fldCharType="end"/>
          </w:r>
          <w:r>
            <w:fldChar w:fldCharType="end"/>
          </w:r>
        </w:p>
        <w:p>
          <w:pPr>
            <w:pStyle w:val="3"/>
            <w:tabs>
              <w:tab w:val="right" w:leader="dot" w:pos="8296"/>
            </w:tabs>
          </w:pPr>
          <w:r>
            <w:fldChar w:fldCharType="begin"/>
          </w:r>
          <w:r>
            <w:instrText xml:space="preserve"> HYPERLINK \l "_Toc92287205" </w:instrText>
          </w:r>
          <w:r>
            <w:fldChar w:fldCharType="separate"/>
          </w:r>
          <w:r>
            <w:rPr>
              <w:rStyle w:val="12"/>
              <w:rFonts w:ascii="Times New Roman" w:hAnsi="Times New Roman" w:eastAsia="仿宋_GB2312" w:cs="仿宋_GB2312"/>
            </w:rPr>
            <w:t>1.</w:t>
          </w:r>
          <w:r>
            <w:rPr>
              <w:rStyle w:val="12"/>
              <w:rFonts w:hint="eastAsia" w:ascii="Times New Roman" w:hAnsi="Times New Roman" w:eastAsia="仿宋_GB2312" w:cs="仿宋_GB2312"/>
            </w:rPr>
            <w:t>绩效评价原则</w:t>
          </w:r>
          <w:r>
            <w:tab/>
          </w:r>
          <w:r>
            <w:fldChar w:fldCharType="begin"/>
          </w:r>
          <w:r>
            <w:instrText xml:space="preserve"> PAGEREF _Toc92287205 \h </w:instrText>
          </w:r>
          <w:r>
            <w:fldChar w:fldCharType="separate"/>
          </w:r>
          <w:r>
            <w:t>5</w:t>
          </w:r>
          <w:r>
            <w:fldChar w:fldCharType="end"/>
          </w:r>
          <w:r>
            <w:fldChar w:fldCharType="end"/>
          </w:r>
        </w:p>
        <w:p>
          <w:pPr>
            <w:pStyle w:val="3"/>
            <w:tabs>
              <w:tab w:val="right" w:leader="dot" w:pos="8296"/>
            </w:tabs>
          </w:pPr>
          <w:r>
            <w:fldChar w:fldCharType="begin"/>
          </w:r>
          <w:r>
            <w:instrText xml:space="preserve"> HYPERLINK \l "_Toc92287206" </w:instrText>
          </w:r>
          <w:r>
            <w:fldChar w:fldCharType="separate"/>
          </w:r>
          <w:r>
            <w:rPr>
              <w:rStyle w:val="12"/>
              <w:rFonts w:ascii="Times New Roman" w:hAnsi="Times New Roman" w:eastAsia="仿宋_GB2312" w:cs="仿宋_GB2312"/>
            </w:rPr>
            <w:t>2.</w:t>
          </w:r>
          <w:r>
            <w:rPr>
              <w:rStyle w:val="12"/>
              <w:rFonts w:hint="eastAsia" w:ascii="Times New Roman" w:hAnsi="Times New Roman" w:eastAsia="仿宋_GB2312" w:cs="仿宋_GB2312"/>
            </w:rPr>
            <w:t>绩效评价指标体系</w:t>
          </w:r>
          <w:r>
            <w:tab/>
          </w:r>
          <w:r>
            <w:fldChar w:fldCharType="begin"/>
          </w:r>
          <w:r>
            <w:instrText xml:space="preserve"> PAGEREF _Toc92287206 \h </w:instrText>
          </w:r>
          <w:r>
            <w:fldChar w:fldCharType="separate"/>
          </w:r>
          <w:r>
            <w:t>6</w:t>
          </w:r>
          <w:r>
            <w:fldChar w:fldCharType="end"/>
          </w:r>
          <w:r>
            <w:fldChar w:fldCharType="end"/>
          </w:r>
        </w:p>
        <w:p>
          <w:pPr>
            <w:pStyle w:val="3"/>
            <w:tabs>
              <w:tab w:val="right" w:leader="dot" w:pos="8296"/>
            </w:tabs>
          </w:pPr>
          <w:r>
            <w:fldChar w:fldCharType="begin"/>
          </w:r>
          <w:r>
            <w:instrText xml:space="preserve"> HYPERLINK \l "_Toc92287207" </w:instrText>
          </w:r>
          <w:r>
            <w:fldChar w:fldCharType="separate"/>
          </w:r>
          <w:r>
            <w:rPr>
              <w:rStyle w:val="12"/>
              <w:rFonts w:ascii="Times New Roman" w:hAnsi="Times New Roman" w:eastAsia="仿宋_GB2312" w:cs="仿宋_GB2312"/>
            </w:rPr>
            <w:t>3.</w:t>
          </w:r>
          <w:r>
            <w:rPr>
              <w:rStyle w:val="12"/>
              <w:rFonts w:hint="eastAsia" w:ascii="Times New Roman" w:hAnsi="Times New Roman" w:eastAsia="仿宋_GB2312" w:cs="仿宋_GB2312"/>
            </w:rPr>
            <w:t>绩效评价方法与标准</w:t>
          </w:r>
          <w:r>
            <w:tab/>
          </w:r>
          <w:r>
            <w:fldChar w:fldCharType="begin"/>
          </w:r>
          <w:r>
            <w:instrText xml:space="preserve"> PAGEREF _Toc92287207 \h </w:instrText>
          </w:r>
          <w:r>
            <w:fldChar w:fldCharType="separate"/>
          </w:r>
          <w:r>
            <w:t>10</w:t>
          </w:r>
          <w:r>
            <w:fldChar w:fldCharType="end"/>
          </w:r>
          <w:r>
            <w:fldChar w:fldCharType="end"/>
          </w:r>
        </w:p>
        <w:p>
          <w:pPr>
            <w:pStyle w:val="8"/>
            <w:tabs>
              <w:tab w:val="right" w:leader="dot" w:pos="8296"/>
            </w:tabs>
          </w:pPr>
          <w:r>
            <w:fldChar w:fldCharType="begin"/>
          </w:r>
          <w:r>
            <w:instrText xml:space="preserve"> HYPERLINK \l "_Toc92287208" </w:instrText>
          </w:r>
          <w:r>
            <w:fldChar w:fldCharType="separate"/>
          </w:r>
          <w:r>
            <w:rPr>
              <w:rStyle w:val="12"/>
              <w:rFonts w:hint="eastAsia" w:ascii="楷体_GB2312" w:hAnsi="Times New Roman" w:eastAsia="楷体_GB2312" w:cs="仿宋_GB2312"/>
            </w:rPr>
            <w:t>（三）绩效评价工作过程</w:t>
          </w:r>
          <w:r>
            <w:tab/>
          </w:r>
          <w:r>
            <w:fldChar w:fldCharType="begin"/>
          </w:r>
          <w:r>
            <w:instrText xml:space="preserve"> PAGEREF _Toc92287208 \h </w:instrText>
          </w:r>
          <w:r>
            <w:fldChar w:fldCharType="separate"/>
          </w:r>
          <w:r>
            <w:t>11</w:t>
          </w:r>
          <w:r>
            <w:fldChar w:fldCharType="end"/>
          </w:r>
          <w:r>
            <w:fldChar w:fldCharType="end"/>
          </w:r>
        </w:p>
        <w:p>
          <w:pPr>
            <w:pStyle w:val="3"/>
            <w:tabs>
              <w:tab w:val="right" w:leader="dot" w:pos="8296"/>
            </w:tabs>
          </w:pPr>
          <w:r>
            <w:fldChar w:fldCharType="begin"/>
          </w:r>
          <w:r>
            <w:instrText xml:space="preserve"> HYPERLINK \l "_Toc92287209" </w:instrText>
          </w:r>
          <w:r>
            <w:fldChar w:fldCharType="separate"/>
          </w:r>
          <w:r>
            <w:rPr>
              <w:rStyle w:val="12"/>
              <w:rFonts w:ascii="Times New Roman" w:hAnsi="Times New Roman" w:eastAsia="仿宋_GB2312" w:cs="仿宋_GB2312"/>
            </w:rPr>
            <w:t>1.</w:t>
          </w:r>
          <w:r>
            <w:rPr>
              <w:rStyle w:val="12"/>
              <w:rFonts w:hint="eastAsia" w:ascii="Times New Roman" w:hAnsi="Times New Roman" w:eastAsia="仿宋_GB2312" w:cs="仿宋_GB2312"/>
            </w:rPr>
            <w:t>评价工作准备阶段</w:t>
          </w:r>
          <w:r>
            <w:tab/>
          </w:r>
          <w:r>
            <w:fldChar w:fldCharType="begin"/>
          </w:r>
          <w:r>
            <w:instrText xml:space="preserve"> PAGEREF _Toc92287209 \h </w:instrText>
          </w:r>
          <w:r>
            <w:fldChar w:fldCharType="separate"/>
          </w:r>
          <w:r>
            <w:t>11</w:t>
          </w:r>
          <w:r>
            <w:fldChar w:fldCharType="end"/>
          </w:r>
          <w:r>
            <w:fldChar w:fldCharType="end"/>
          </w:r>
        </w:p>
        <w:p>
          <w:pPr>
            <w:pStyle w:val="3"/>
            <w:tabs>
              <w:tab w:val="right" w:leader="dot" w:pos="8296"/>
            </w:tabs>
          </w:pPr>
          <w:r>
            <w:fldChar w:fldCharType="begin"/>
          </w:r>
          <w:r>
            <w:instrText xml:space="preserve"> HYPERLINK \l "_Toc92287210" </w:instrText>
          </w:r>
          <w:r>
            <w:fldChar w:fldCharType="separate"/>
          </w:r>
          <w:r>
            <w:rPr>
              <w:rStyle w:val="12"/>
              <w:rFonts w:ascii="Times New Roman" w:hAnsi="Times New Roman" w:eastAsia="仿宋_GB2312" w:cs="仿宋_GB2312"/>
            </w:rPr>
            <w:t>2.</w:t>
          </w:r>
          <w:r>
            <w:rPr>
              <w:rStyle w:val="12"/>
              <w:rFonts w:hint="eastAsia" w:ascii="Times New Roman" w:hAnsi="Times New Roman" w:eastAsia="仿宋_GB2312" w:cs="仿宋_GB2312"/>
            </w:rPr>
            <w:t>评价工作实施阶段</w:t>
          </w:r>
          <w:r>
            <w:tab/>
          </w:r>
          <w:r>
            <w:fldChar w:fldCharType="begin"/>
          </w:r>
          <w:r>
            <w:instrText xml:space="preserve"> PAGEREF _Toc92287210 \h </w:instrText>
          </w:r>
          <w:r>
            <w:fldChar w:fldCharType="separate"/>
          </w:r>
          <w:r>
            <w:t>12</w:t>
          </w:r>
          <w:r>
            <w:fldChar w:fldCharType="end"/>
          </w:r>
          <w:r>
            <w:fldChar w:fldCharType="end"/>
          </w:r>
        </w:p>
        <w:p>
          <w:pPr>
            <w:pStyle w:val="7"/>
            <w:tabs>
              <w:tab w:val="right" w:leader="dot" w:pos="8296"/>
            </w:tabs>
          </w:pPr>
          <w:r>
            <w:fldChar w:fldCharType="begin"/>
          </w:r>
          <w:r>
            <w:instrText xml:space="preserve"> HYPERLINK \l "_Toc92287211" </w:instrText>
          </w:r>
          <w:r>
            <w:fldChar w:fldCharType="separate"/>
          </w:r>
          <w:r>
            <w:rPr>
              <w:rStyle w:val="12"/>
              <w:rFonts w:hint="eastAsia" w:ascii="Times New Roman" w:hAnsi="黑体" w:eastAsia="黑体" w:cs="黑体"/>
            </w:rPr>
            <w:t>三、综合评价情况及评价结论</w:t>
          </w:r>
          <w:r>
            <w:tab/>
          </w:r>
          <w:r>
            <w:fldChar w:fldCharType="begin"/>
          </w:r>
          <w:r>
            <w:instrText xml:space="preserve"> PAGEREF _Toc92287211 \h </w:instrText>
          </w:r>
          <w:r>
            <w:fldChar w:fldCharType="separate"/>
          </w:r>
          <w:r>
            <w:t>13</w:t>
          </w:r>
          <w:r>
            <w:fldChar w:fldCharType="end"/>
          </w:r>
          <w:r>
            <w:fldChar w:fldCharType="end"/>
          </w:r>
        </w:p>
        <w:p>
          <w:pPr>
            <w:pStyle w:val="8"/>
            <w:tabs>
              <w:tab w:val="right" w:leader="dot" w:pos="8296"/>
            </w:tabs>
          </w:pPr>
          <w:r>
            <w:fldChar w:fldCharType="begin"/>
          </w:r>
          <w:r>
            <w:instrText xml:space="preserve"> HYPERLINK \l "_Toc92287212" </w:instrText>
          </w:r>
          <w:r>
            <w:fldChar w:fldCharType="separate"/>
          </w:r>
          <w:r>
            <w:rPr>
              <w:rStyle w:val="12"/>
              <w:rFonts w:hint="eastAsia" w:ascii="楷体_GB2312" w:hAnsi="Times New Roman" w:eastAsia="楷体_GB2312" w:cs="仿宋_GB2312"/>
            </w:rPr>
            <w:t>（一）项目决策情况</w:t>
          </w:r>
          <w:r>
            <w:tab/>
          </w:r>
          <w:r>
            <w:fldChar w:fldCharType="begin"/>
          </w:r>
          <w:r>
            <w:instrText xml:space="preserve"> PAGEREF _Toc92287212 \h </w:instrText>
          </w:r>
          <w:r>
            <w:fldChar w:fldCharType="separate"/>
          </w:r>
          <w:r>
            <w:t>13</w:t>
          </w:r>
          <w:r>
            <w:fldChar w:fldCharType="end"/>
          </w:r>
          <w:r>
            <w:fldChar w:fldCharType="end"/>
          </w:r>
        </w:p>
        <w:p>
          <w:pPr>
            <w:pStyle w:val="3"/>
            <w:tabs>
              <w:tab w:val="right" w:leader="dot" w:pos="8296"/>
            </w:tabs>
          </w:pPr>
          <w:r>
            <w:fldChar w:fldCharType="begin"/>
          </w:r>
          <w:r>
            <w:instrText xml:space="preserve"> HYPERLINK \l "_Toc92287213" </w:instrText>
          </w:r>
          <w:r>
            <w:fldChar w:fldCharType="separate"/>
          </w:r>
          <w:r>
            <w:rPr>
              <w:rStyle w:val="12"/>
              <w:rFonts w:ascii="Times New Roman" w:hAnsi="Times New Roman" w:eastAsia="仿宋_GB2312" w:cs="仿宋_GB2312"/>
            </w:rPr>
            <w:t>1.</w:t>
          </w:r>
          <w:r>
            <w:rPr>
              <w:rStyle w:val="12"/>
              <w:rFonts w:hint="eastAsia" w:ascii="Times New Roman" w:hAnsi="Times New Roman" w:eastAsia="仿宋_GB2312" w:cs="仿宋_GB2312"/>
            </w:rPr>
            <w:t>项目立项</w:t>
          </w:r>
          <w:r>
            <w:tab/>
          </w:r>
          <w:r>
            <w:fldChar w:fldCharType="begin"/>
          </w:r>
          <w:r>
            <w:instrText xml:space="preserve"> PAGEREF _Toc92287213 \h </w:instrText>
          </w:r>
          <w:r>
            <w:fldChar w:fldCharType="separate"/>
          </w:r>
          <w:r>
            <w:t>13</w:t>
          </w:r>
          <w:r>
            <w:fldChar w:fldCharType="end"/>
          </w:r>
          <w:r>
            <w:fldChar w:fldCharType="end"/>
          </w:r>
        </w:p>
        <w:p>
          <w:pPr>
            <w:pStyle w:val="3"/>
            <w:tabs>
              <w:tab w:val="right" w:leader="dot" w:pos="8296"/>
            </w:tabs>
          </w:pPr>
          <w:r>
            <w:fldChar w:fldCharType="begin"/>
          </w:r>
          <w:r>
            <w:instrText xml:space="preserve"> HYPERLINK \l "_Toc92287214" </w:instrText>
          </w:r>
          <w:r>
            <w:fldChar w:fldCharType="separate"/>
          </w:r>
          <w:r>
            <w:rPr>
              <w:rStyle w:val="12"/>
              <w:rFonts w:ascii="Times New Roman" w:hAnsi="Times New Roman" w:eastAsia="仿宋_GB2312" w:cs="仿宋_GB2312"/>
            </w:rPr>
            <w:t>2.</w:t>
          </w:r>
          <w:r>
            <w:rPr>
              <w:rStyle w:val="12"/>
              <w:rFonts w:hint="eastAsia" w:ascii="Times New Roman" w:hAnsi="Times New Roman" w:eastAsia="仿宋_GB2312" w:cs="仿宋_GB2312"/>
            </w:rPr>
            <w:t>绩效目标</w:t>
          </w:r>
          <w:r>
            <w:tab/>
          </w:r>
          <w:r>
            <w:fldChar w:fldCharType="begin"/>
          </w:r>
          <w:r>
            <w:instrText xml:space="preserve"> PAGEREF _Toc92287214 \h </w:instrText>
          </w:r>
          <w:r>
            <w:fldChar w:fldCharType="separate"/>
          </w:r>
          <w:r>
            <w:t>14</w:t>
          </w:r>
          <w:r>
            <w:fldChar w:fldCharType="end"/>
          </w:r>
          <w:r>
            <w:fldChar w:fldCharType="end"/>
          </w:r>
        </w:p>
        <w:p>
          <w:pPr>
            <w:pStyle w:val="3"/>
            <w:tabs>
              <w:tab w:val="right" w:leader="dot" w:pos="8296"/>
            </w:tabs>
          </w:pPr>
          <w:r>
            <w:fldChar w:fldCharType="begin"/>
          </w:r>
          <w:r>
            <w:instrText xml:space="preserve"> HYPERLINK \l "_Toc92287215" </w:instrText>
          </w:r>
          <w:r>
            <w:fldChar w:fldCharType="separate"/>
          </w:r>
          <w:r>
            <w:rPr>
              <w:rStyle w:val="12"/>
              <w:rFonts w:ascii="Times New Roman" w:hAnsi="Times New Roman" w:eastAsia="仿宋_GB2312" w:cs="仿宋_GB2312"/>
            </w:rPr>
            <w:t>3.</w:t>
          </w:r>
          <w:r>
            <w:rPr>
              <w:rStyle w:val="12"/>
              <w:rFonts w:hint="eastAsia" w:ascii="Times New Roman" w:hAnsi="Times New Roman" w:eastAsia="仿宋_GB2312" w:cs="仿宋_GB2312"/>
            </w:rPr>
            <w:t>资金投入</w:t>
          </w:r>
          <w:r>
            <w:tab/>
          </w:r>
          <w:r>
            <w:fldChar w:fldCharType="begin"/>
          </w:r>
          <w:r>
            <w:instrText xml:space="preserve"> PAGEREF _Toc92287215 \h </w:instrText>
          </w:r>
          <w:r>
            <w:fldChar w:fldCharType="separate"/>
          </w:r>
          <w:r>
            <w:t>15</w:t>
          </w:r>
          <w:r>
            <w:fldChar w:fldCharType="end"/>
          </w:r>
          <w:r>
            <w:fldChar w:fldCharType="end"/>
          </w:r>
        </w:p>
        <w:p>
          <w:pPr>
            <w:pStyle w:val="8"/>
            <w:tabs>
              <w:tab w:val="right" w:leader="dot" w:pos="8296"/>
            </w:tabs>
          </w:pPr>
          <w:r>
            <w:fldChar w:fldCharType="begin"/>
          </w:r>
          <w:r>
            <w:instrText xml:space="preserve"> HYPERLINK \l "_Toc92287216" </w:instrText>
          </w:r>
          <w:r>
            <w:fldChar w:fldCharType="separate"/>
          </w:r>
          <w:r>
            <w:rPr>
              <w:rStyle w:val="12"/>
              <w:rFonts w:hint="eastAsia" w:ascii="楷体_GB2312" w:hAnsi="Times New Roman" w:eastAsia="楷体_GB2312" w:cs="仿宋_GB2312"/>
            </w:rPr>
            <w:t>（二）项目过程情况</w:t>
          </w:r>
          <w:r>
            <w:tab/>
          </w:r>
          <w:r>
            <w:fldChar w:fldCharType="begin"/>
          </w:r>
          <w:r>
            <w:instrText xml:space="preserve"> PAGEREF _Toc92287216 \h </w:instrText>
          </w:r>
          <w:r>
            <w:fldChar w:fldCharType="separate"/>
          </w:r>
          <w:r>
            <w:t>16</w:t>
          </w:r>
          <w:r>
            <w:fldChar w:fldCharType="end"/>
          </w:r>
          <w:r>
            <w:fldChar w:fldCharType="end"/>
          </w:r>
        </w:p>
        <w:p>
          <w:pPr>
            <w:pStyle w:val="3"/>
            <w:tabs>
              <w:tab w:val="right" w:leader="dot" w:pos="8296"/>
            </w:tabs>
          </w:pPr>
          <w:r>
            <w:fldChar w:fldCharType="begin"/>
          </w:r>
          <w:r>
            <w:instrText xml:space="preserve"> HYPERLINK \l "_Toc92287217" </w:instrText>
          </w:r>
          <w:r>
            <w:fldChar w:fldCharType="separate"/>
          </w:r>
          <w:r>
            <w:rPr>
              <w:rStyle w:val="12"/>
              <w:rFonts w:ascii="Times New Roman" w:hAnsi="Times New Roman" w:eastAsia="仿宋_GB2312" w:cs="仿宋_GB2312"/>
            </w:rPr>
            <w:t>1.</w:t>
          </w:r>
          <w:r>
            <w:rPr>
              <w:rStyle w:val="12"/>
              <w:rFonts w:hint="eastAsia" w:ascii="Times New Roman" w:hAnsi="Times New Roman" w:eastAsia="仿宋_GB2312" w:cs="仿宋_GB2312"/>
            </w:rPr>
            <w:t>资金管理</w:t>
          </w:r>
          <w:r>
            <w:tab/>
          </w:r>
          <w:r>
            <w:fldChar w:fldCharType="begin"/>
          </w:r>
          <w:r>
            <w:instrText xml:space="preserve"> PAGEREF _Toc92287217 \h </w:instrText>
          </w:r>
          <w:r>
            <w:fldChar w:fldCharType="separate"/>
          </w:r>
          <w:r>
            <w:t>16</w:t>
          </w:r>
          <w:r>
            <w:fldChar w:fldCharType="end"/>
          </w:r>
          <w:r>
            <w:fldChar w:fldCharType="end"/>
          </w:r>
        </w:p>
        <w:p>
          <w:pPr>
            <w:pStyle w:val="3"/>
            <w:tabs>
              <w:tab w:val="right" w:leader="dot" w:pos="8296"/>
            </w:tabs>
          </w:pPr>
          <w:r>
            <w:fldChar w:fldCharType="begin"/>
          </w:r>
          <w:r>
            <w:instrText xml:space="preserve"> HYPERLINK \l "_Toc92287218" </w:instrText>
          </w:r>
          <w:r>
            <w:fldChar w:fldCharType="separate"/>
          </w:r>
          <w:r>
            <w:rPr>
              <w:rStyle w:val="12"/>
              <w:rFonts w:ascii="Times New Roman" w:hAnsi="Times New Roman" w:eastAsia="仿宋_GB2312" w:cs="仿宋_GB2312"/>
            </w:rPr>
            <w:t>2.</w:t>
          </w:r>
          <w:r>
            <w:rPr>
              <w:rStyle w:val="12"/>
              <w:rFonts w:hint="eastAsia" w:ascii="Times New Roman" w:hAnsi="Times New Roman" w:eastAsia="仿宋_GB2312" w:cs="仿宋_GB2312"/>
            </w:rPr>
            <w:t>组织实施</w:t>
          </w:r>
          <w:r>
            <w:tab/>
          </w:r>
          <w:r>
            <w:fldChar w:fldCharType="begin"/>
          </w:r>
          <w:r>
            <w:instrText xml:space="preserve"> PAGEREF _Toc92287218 \h </w:instrText>
          </w:r>
          <w:r>
            <w:fldChar w:fldCharType="separate"/>
          </w:r>
          <w:r>
            <w:t>18</w:t>
          </w:r>
          <w:r>
            <w:fldChar w:fldCharType="end"/>
          </w:r>
          <w:r>
            <w:fldChar w:fldCharType="end"/>
          </w:r>
        </w:p>
        <w:p>
          <w:pPr>
            <w:pStyle w:val="8"/>
            <w:tabs>
              <w:tab w:val="right" w:leader="dot" w:pos="8296"/>
            </w:tabs>
          </w:pPr>
          <w:r>
            <w:fldChar w:fldCharType="begin"/>
          </w:r>
          <w:r>
            <w:instrText xml:space="preserve"> HYPERLINK \l "_Toc92287219" </w:instrText>
          </w:r>
          <w:r>
            <w:fldChar w:fldCharType="separate"/>
          </w:r>
          <w:r>
            <w:rPr>
              <w:rStyle w:val="12"/>
              <w:rFonts w:hint="eastAsia" w:ascii="楷体_GB2312" w:hAnsi="Times New Roman" w:eastAsia="楷体_GB2312" w:cs="仿宋_GB2312"/>
            </w:rPr>
            <w:t>（三）项目产出情况</w:t>
          </w:r>
          <w:r>
            <w:tab/>
          </w:r>
          <w:r>
            <w:fldChar w:fldCharType="begin"/>
          </w:r>
          <w:r>
            <w:instrText xml:space="preserve"> PAGEREF _Toc92287219 \h </w:instrText>
          </w:r>
          <w:r>
            <w:fldChar w:fldCharType="separate"/>
          </w:r>
          <w:r>
            <w:t>18</w:t>
          </w:r>
          <w:r>
            <w:fldChar w:fldCharType="end"/>
          </w:r>
          <w:r>
            <w:fldChar w:fldCharType="end"/>
          </w:r>
        </w:p>
        <w:p>
          <w:pPr>
            <w:pStyle w:val="3"/>
            <w:tabs>
              <w:tab w:val="right" w:leader="dot" w:pos="8296"/>
            </w:tabs>
          </w:pPr>
          <w:r>
            <w:fldChar w:fldCharType="begin"/>
          </w:r>
          <w:r>
            <w:instrText xml:space="preserve"> HYPERLINK \l "_Toc92287220" </w:instrText>
          </w:r>
          <w:r>
            <w:fldChar w:fldCharType="separate"/>
          </w:r>
          <w:r>
            <w:rPr>
              <w:rStyle w:val="12"/>
              <w:rFonts w:ascii="Times New Roman" w:hAnsi="Times New Roman" w:eastAsia="仿宋_GB2312" w:cs="仿宋_GB2312"/>
            </w:rPr>
            <w:t>1.</w:t>
          </w:r>
          <w:r>
            <w:rPr>
              <w:rStyle w:val="12"/>
              <w:rFonts w:hint="eastAsia" w:ascii="Times New Roman" w:hAnsi="Times New Roman" w:eastAsia="仿宋_GB2312" w:cs="仿宋_GB2312"/>
            </w:rPr>
            <w:t>产出数量</w:t>
          </w:r>
          <w:r>
            <w:tab/>
          </w:r>
          <w:r>
            <w:fldChar w:fldCharType="begin"/>
          </w:r>
          <w:r>
            <w:instrText xml:space="preserve"> PAGEREF _Toc92287220 \h </w:instrText>
          </w:r>
          <w:r>
            <w:fldChar w:fldCharType="separate"/>
          </w:r>
          <w:r>
            <w:t>18</w:t>
          </w:r>
          <w:r>
            <w:fldChar w:fldCharType="end"/>
          </w:r>
          <w:r>
            <w:fldChar w:fldCharType="end"/>
          </w:r>
        </w:p>
        <w:p>
          <w:pPr>
            <w:pStyle w:val="3"/>
            <w:tabs>
              <w:tab w:val="right" w:leader="dot" w:pos="8296"/>
            </w:tabs>
          </w:pPr>
          <w:r>
            <w:fldChar w:fldCharType="begin"/>
          </w:r>
          <w:r>
            <w:instrText xml:space="preserve"> HYPERLINK \l "_Toc92287221" </w:instrText>
          </w:r>
          <w:r>
            <w:fldChar w:fldCharType="separate"/>
          </w:r>
          <w:r>
            <w:rPr>
              <w:rStyle w:val="12"/>
              <w:rFonts w:ascii="Times New Roman" w:hAnsi="Times New Roman" w:eastAsia="仿宋_GB2312" w:cs="仿宋_GB2312"/>
            </w:rPr>
            <w:t>2.</w:t>
          </w:r>
          <w:r>
            <w:rPr>
              <w:rStyle w:val="12"/>
              <w:rFonts w:hint="eastAsia" w:ascii="Times New Roman" w:hAnsi="Times New Roman" w:eastAsia="仿宋_GB2312" w:cs="仿宋_GB2312"/>
            </w:rPr>
            <w:t>产出质量</w:t>
          </w:r>
          <w:r>
            <w:tab/>
          </w:r>
          <w:r>
            <w:fldChar w:fldCharType="begin"/>
          </w:r>
          <w:r>
            <w:instrText xml:space="preserve"> PAGEREF _Toc92287221 \h </w:instrText>
          </w:r>
          <w:r>
            <w:fldChar w:fldCharType="separate"/>
          </w:r>
          <w:r>
            <w:t>20</w:t>
          </w:r>
          <w:r>
            <w:fldChar w:fldCharType="end"/>
          </w:r>
          <w:r>
            <w:fldChar w:fldCharType="end"/>
          </w:r>
        </w:p>
        <w:p>
          <w:pPr>
            <w:pStyle w:val="3"/>
            <w:tabs>
              <w:tab w:val="right" w:leader="dot" w:pos="8296"/>
            </w:tabs>
          </w:pPr>
          <w:r>
            <w:fldChar w:fldCharType="begin"/>
          </w:r>
          <w:r>
            <w:instrText xml:space="preserve"> HYPERLINK \l "_Toc92287222" </w:instrText>
          </w:r>
          <w:r>
            <w:fldChar w:fldCharType="separate"/>
          </w:r>
          <w:r>
            <w:rPr>
              <w:rStyle w:val="12"/>
              <w:rFonts w:ascii="Times New Roman" w:hAnsi="Times New Roman" w:eastAsia="仿宋_GB2312" w:cs="仿宋_GB2312"/>
            </w:rPr>
            <w:t>3.</w:t>
          </w:r>
          <w:r>
            <w:rPr>
              <w:rStyle w:val="12"/>
              <w:rFonts w:hint="eastAsia" w:ascii="Times New Roman" w:hAnsi="Times New Roman" w:eastAsia="仿宋_GB2312" w:cs="仿宋_GB2312"/>
            </w:rPr>
            <w:t>产出时效</w:t>
          </w:r>
          <w:r>
            <w:tab/>
          </w:r>
          <w:r>
            <w:fldChar w:fldCharType="begin"/>
          </w:r>
          <w:r>
            <w:instrText xml:space="preserve"> PAGEREF _Toc92287222 \h </w:instrText>
          </w:r>
          <w:r>
            <w:fldChar w:fldCharType="separate"/>
          </w:r>
          <w:r>
            <w:t>20</w:t>
          </w:r>
          <w:r>
            <w:fldChar w:fldCharType="end"/>
          </w:r>
          <w:r>
            <w:fldChar w:fldCharType="end"/>
          </w:r>
        </w:p>
        <w:p>
          <w:pPr>
            <w:pStyle w:val="3"/>
            <w:tabs>
              <w:tab w:val="right" w:leader="dot" w:pos="8296"/>
            </w:tabs>
          </w:pPr>
          <w:r>
            <w:fldChar w:fldCharType="begin"/>
          </w:r>
          <w:r>
            <w:instrText xml:space="preserve"> HYPERLINK \l "_Toc92287223" </w:instrText>
          </w:r>
          <w:r>
            <w:fldChar w:fldCharType="separate"/>
          </w:r>
          <w:r>
            <w:rPr>
              <w:rStyle w:val="12"/>
              <w:rFonts w:ascii="Times New Roman" w:hAnsi="Times New Roman" w:eastAsia="仿宋_GB2312" w:cs="仿宋_GB2312"/>
            </w:rPr>
            <w:t>4.</w:t>
          </w:r>
          <w:r>
            <w:rPr>
              <w:rStyle w:val="12"/>
              <w:rFonts w:hint="eastAsia" w:ascii="Times New Roman" w:hAnsi="Times New Roman" w:eastAsia="仿宋_GB2312" w:cs="仿宋_GB2312"/>
            </w:rPr>
            <w:t>产出成本</w:t>
          </w:r>
          <w:r>
            <w:tab/>
          </w:r>
          <w:r>
            <w:fldChar w:fldCharType="begin"/>
          </w:r>
          <w:r>
            <w:instrText xml:space="preserve"> PAGEREF _Toc92287223 \h </w:instrText>
          </w:r>
          <w:r>
            <w:fldChar w:fldCharType="separate"/>
          </w:r>
          <w:r>
            <w:t>20</w:t>
          </w:r>
          <w:r>
            <w:fldChar w:fldCharType="end"/>
          </w:r>
          <w:r>
            <w:fldChar w:fldCharType="end"/>
          </w:r>
        </w:p>
        <w:p>
          <w:pPr>
            <w:pStyle w:val="8"/>
            <w:tabs>
              <w:tab w:val="right" w:leader="dot" w:pos="8296"/>
            </w:tabs>
          </w:pPr>
          <w:r>
            <w:fldChar w:fldCharType="begin"/>
          </w:r>
          <w:r>
            <w:instrText xml:space="preserve"> HYPERLINK \l "_Toc92287224" </w:instrText>
          </w:r>
          <w:r>
            <w:fldChar w:fldCharType="separate"/>
          </w:r>
          <w:r>
            <w:rPr>
              <w:rStyle w:val="12"/>
              <w:rFonts w:hint="eastAsia" w:ascii="楷体_GB2312" w:hAnsi="Times New Roman" w:eastAsia="楷体_GB2312" w:cs="仿宋_GB2312"/>
            </w:rPr>
            <w:t>（四）项目效益情况</w:t>
          </w:r>
          <w:r>
            <w:tab/>
          </w:r>
          <w:r>
            <w:fldChar w:fldCharType="begin"/>
          </w:r>
          <w:r>
            <w:instrText xml:space="preserve"> PAGEREF _Toc92287224 \h </w:instrText>
          </w:r>
          <w:r>
            <w:fldChar w:fldCharType="separate"/>
          </w:r>
          <w:r>
            <w:t>20</w:t>
          </w:r>
          <w:r>
            <w:fldChar w:fldCharType="end"/>
          </w:r>
          <w:r>
            <w:fldChar w:fldCharType="end"/>
          </w:r>
        </w:p>
        <w:p>
          <w:pPr>
            <w:pStyle w:val="3"/>
            <w:tabs>
              <w:tab w:val="right" w:leader="dot" w:pos="8296"/>
            </w:tabs>
          </w:pPr>
          <w:r>
            <w:fldChar w:fldCharType="begin"/>
          </w:r>
          <w:r>
            <w:instrText xml:space="preserve"> HYPERLINK \l "_Toc92287225" </w:instrText>
          </w:r>
          <w:r>
            <w:fldChar w:fldCharType="separate"/>
          </w:r>
          <w:r>
            <w:rPr>
              <w:rStyle w:val="12"/>
              <w:rFonts w:ascii="Times New Roman" w:hAnsi="Times New Roman" w:eastAsia="仿宋_GB2312" w:cs="仿宋_GB2312"/>
            </w:rPr>
            <w:t>1.</w:t>
          </w:r>
          <w:r>
            <w:rPr>
              <w:rStyle w:val="12"/>
              <w:rFonts w:hint="eastAsia" w:ascii="Times New Roman" w:hAnsi="Times New Roman" w:eastAsia="仿宋_GB2312" w:cs="仿宋_GB2312"/>
            </w:rPr>
            <w:t>项目效益</w:t>
          </w:r>
          <w:r>
            <w:tab/>
          </w:r>
          <w:r>
            <w:fldChar w:fldCharType="begin"/>
          </w:r>
          <w:r>
            <w:instrText xml:space="preserve"> PAGEREF _Toc92287225 \h </w:instrText>
          </w:r>
          <w:r>
            <w:fldChar w:fldCharType="separate"/>
          </w:r>
          <w:r>
            <w:t>21</w:t>
          </w:r>
          <w:r>
            <w:fldChar w:fldCharType="end"/>
          </w:r>
          <w:r>
            <w:fldChar w:fldCharType="end"/>
          </w:r>
        </w:p>
        <w:p>
          <w:pPr>
            <w:pStyle w:val="7"/>
            <w:tabs>
              <w:tab w:val="right" w:leader="dot" w:pos="8296"/>
            </w:tabs>
          </w:pPr>
          <w:r>
            <w:fldChar w:fldCharType="begin"/>
          </w:r>
          <w:r>
            <w:instrText xml:space="preserve"> HYPERLINK \l "_Toc92287226" </w:instrText>
          </w:r>
          <w:r>
            <w:fldChar w:fldCharType="separate"/>
          </w:r>
          <w:r>
            <w:rPr>
              <w:rStyle w:val="12"/>
              <w:rFonts w:hint="eastAsia" w:ascii="Times New Roman" w:hAnsi="黑体" w:eastAsia="黑体" w:cs="黑体"/>
            </w:rPr>
            <w:t>五、存在的问题</w:t>
          </w:r>
          <w:r>
            <w:tab/>
          </w:r>
          <w:r>
            <w:fldChar w:fldCharType="begin"/>
          </w:r>
          <w:r>
            <w:instrText xml:space="preserve"> PAGEREF _Toc92287226 \h </w:instrText>
          </w:r>
          <w:r>
            <w:fldChar w:fldCharType="separate"/>
          </w:r>
          <w:r>
            <w:t>21</w:t>
          </w:r>
          <w:r>
            <w:fldChar w:fldCharType="end"/>
          </w:r>
          <w:r>
            <w:fldChar w:fldCharType="end"/>
          </w:r>
        </w:p>
        <w:p>
          <w:pPr>
            <w:pStyle w:val="8"/>
            <w:tabs>
              <w:tab w:val="right" w:leader="dot" w:pos="8296"/>
            </w:tabs>
          </w:pPr>
          <w:r>
            <w:fldChar w:fldCharType="begin"/>
          </w:r>
          <w:r>
            <w:instrText xml:space="preserve"> HYPERLINK \l "_Toc92287227" </w:instrText>
          </w:r>
          <w:r>
            <w:fldChar w:fldCharType="separate"/>
          </w:r>
          <w:r>
            <w:rPr>
              <w:rStyle w:val="12"/>
              <w:rFonts w:hint="eastAsia" w:ascii="楷体_GB2312" w:hAnsi="Times New Roman" w:eastAsia="楷体_GB2312" w:cs="仿宋_GB2312"/>
            </w:rPr>
            <w:t>（一）项目立项程序不规范</w:t>
          </w:r>
          <w:r>
            <w:tab/>
          </w:r>
          <w:r>
            <w:fldChar w:fldCharType="begin"/>
          </w:r>
          <w:r>
            <w:instrText xml:space="preserve"> PAGEREF _Toc92287227 \h </w:instrText>
          </w:r>
          <w:r>
            <w:fldChar w:fldCharType="separate"/>
          </w:r>
          <w:r>
            <w:t>21</w:t>
          </w:r>
          <w:r>
            <w:fldChar w:fldCharType="end"/>
          </w:r>
          <w:r>
            <w:fldChar w:fldCharType="end"/>
          </w:r>
        </w:p>
        <w:p>
          <w:pPr>
            <w:pStyle w:val="8"/>
            <w:tabs>
              <w:tab w:val="right" w:leader="dot" w:pos="8296"/>
            </w:tabs>
          </w:pPr>
          <w:r>
            <w:fldChar w:fldCharType="begin"/>
          </w:r>
          <w:r>
            <w:instrText xml:space="preserve"> HYPERLINK \l "_Toc92287228" </w:instrText>
          </w:r>
          <w:r>
            <w:fldChar w:fldCharType="separate"/>
          </w:r>
          <w:r>
            <w:rPr>
              <w:rStyle w:val="12"/>
              <w:rFonts w:hint="eastAsia" w:ascii="楷体_GB2312" w:hAnsi="Times New Roman" w:eastAsia="楷体_GB2312" w:cs="仿宋_GB2312"/>
            </w:rPr>
            <w:t>（二）项目绩效目标制定不合理</w:t>
          </w:r>
          <w:r>
            <w:tab/>
          </w:r>
          <w:r>
            <w:fldChar w:fldCharType="begin"/>
          </w:r>
          <w:r>
            <w:instrText xml:space="preserve"> PAGEREF _Toc92287228 \h </w:instrText>
          </w:r>
          <w:r>
            <w:fldChar w:fldCharType="separate"/>
          </w:r>
          <w:r>
            <w:t>22</w:t>
          </w:r>
          <w:r>
            <w:fldChar w:fldCharType="end"/>
          </w:r>
          <w:r>
            <w:fldChar w:fldCharType="end"/>
          </w:r>
        </w:p>
        <w:p>
          <w:pPr>
            <w:pStyle w:val="8"/>
            <w:tabs>
              <w:tab w:val="right" w:leader="dot" w:pos="8296"/>
            </w:tabs>
          </w:pPr>
          <w:r>
            <w:fldChar w:fldCharType="begin"/>
          </w:r>
          <w:r>
            <w:instrText xml:space="preserve"> HYPERLINK \l "_Toc92287229" </w:instrText>
          </w:r>
          <w:r>
            <w:fldChar w:fldCharType="separate"/>
          </w:r>
          <w:r>
            <w:rPr>
              <w:rStyle w:val="12"/>
              <w:rFonts w:hint="eastAsia" w:ascii="楷体_GB2312" w:hAnsi="Times New Roman" w:eastAsia="楷体_GB2312" w:cs="仿宋_GB2312"/>
            </w:rPr>
            <w:t>（三）项目绩效目标不明确</w:t>
          </w:r>
          <w:r>
            <w:tab/>
          </w:r>
          <w:r>
            <w:fldChar w:fldCharType="begin"/>
          </w:r>
          <w:r>
            <w:instrText xml:space="preserve"> PAGEREF _Toc92287229 \h </w:instrText>
          </w:r>
          <w:r>
            <w:fldChar w:fldCharType="separate"/>
          </w:r>
          <w:r>
            <w:t>22</w:t>
          </w:r>
          <w:r>
            <w:fldChar w:fldCharType="end"/>
          </w:r>
          <w:r>
            <w:fldChar w:fldCharType="end"/>
          </w:r>
        </w:p>
        <w:p>
          <w:pPr>
            <w:pStyle w:val="8"/>
            <w:tabs>
              <w:tab w:val="right" w:leader="dot" w:pos="8296"/>
            </w:tabs>
          </w:pPr>
          <w:r>
            <w:fldChar w:fldCharType="begin"/>
          </w:r>
          <w:r>
            <w:instrText xml:space="preserve"> HYPERLINK \l "_Toc92287230" </w:instrText>
          </w:r>
          <w:r>
            <w:fldChar w:fldCharType="separate"/>
          </w:r>
          <w:r>
            <w:rPr>
              <w:rStyle w:val="12"/>
              <w:rFonts w:hint="eastAsia" w:ascii="楷体_GB2312" w:hAnsi="Times New Roman" w:eastAsia="楷体_GB2312" w:cs="仿宋_GB2312"/>
            </w:rPr>
            <w:t>（四）项目结余资金用途不规范</w:t>
          </w:r>
          <w:r>
            <w:tab/>
          </w:r>
          <w:r>
            <w:fldChar w:fldCharType="begin"/>
          </w:r>
          <w:r>
            <w:instrText xml:space="preserve"> PAGEREF _Toc92287230 \h </w:instrText>
          </w:r>
          <w:r>
            <w:fldChar w:fldCharType="separate"/>
          </w:r>
          <w:r>
            <w:t>22</w:t>
          </w:r>
          <w:r>
            <w:fldChar w:fldCharType="end"/>
          </w:r>
          <w:r>
            <w:fldChar w:fldCharType="end"/>
          </w:r>
        </w:p>
        <w:p>
          <w:pPr>
            <w:pStyle w:val="7"/>
            <w:tabs>
              <w:tab w:val="right" w:leader="dot" w:pos="8296"/>
            </w:tabs>
          </w:pPr>
          <w:r>
            <w:fldChar w:fldCharType="begin"/>
          </w:r>
          <w:r>
            <w:instrText xml:space="preserve"> HYPERLINK \l "_Toc92287231" </w:instrText>
          </w:r>
          <w:r>
            <w:fldChar w:fldCharType="separate"/>
          </w:r>
          <w:r>
            <w:rPr>
              <w:rStyle w:val="12"/>
              <w:rFonts w:hint="eastAsia" w:ascii="Times New Roman" w:hAnsi="黑体" w:eastAsia="黑体" w:cs="黑体"/>
            </w:rPr>
            <w:t>六、有关建议</w:t>
          </w:r>
          <w:r>
            <w:tab/>
          </w:r>
          <w:r>
            <w:fldChar w:fldCharType="begin"/>
          </w:r>
          <w:r>
            <w:instrText xml:space="preserve"> PAGEREF _Toc92287231 \h </w:instrText>
          </w:r>
          <w:r>
            <w:fldChar w:fldCharType="separate"/>
          </w:r>
          <w:r>
            <w:t>22</w:t>
          </w:r>
          <w:r>
            <w:fldChar w:fldCharType="end"/>
          </w:r>
          <w:r>
            <w:fldChar w:fldCharType="end"/>
          </w:r>
        </w:p>
        <w:p>
          <w:pPr>
            <w:pStyle w:val="8"/>
            <w:tabs>
              <w:tab w:val="right" w:leader="dot" w:pos="8296"/>
            </w:tabs>
          </w:pPr>
          <w:r>
            <w:fldChar w:fldCharType="begin"/>
          </w:r>
          <w:r>
            <w:instrText xml:space="preserve"> HYPERLINK \l "_Toc92287232" </w:instrText>
          </w:r>
          <w:r>
            <w:fldChar w:fldCharType="separate"/>
          </w:r>
          <w:r>
            <w:rPr>
              <w:rStyle w:val="12"/>
              <w:rFonts w:hint="eastAsia" w:ascii="楷体_GB2312" w:hAnsi="Times New Roman" w:eastAsia="楷体_GB2312" w:cs="仿宋_GB2312"/>
            </w:rPr>
            <w:t>（一）完善立项申请批复流程</w:t>
          </w:r>
          <w:r>
            <w:tab/>
          </w:r>
          <w:r>
            <w:fldChar w:fldCharType="begin"/>
          </w:r>
          <w:r>
            <w:instrText xml:space="preserve"> PAGEREF _Toc92287232 \h </w:instrText>
          </w:r>
          <w:r>
            <w:fldChar w:fldCharType="separate"/>
          </w:r>
          <w:r>
            <w:t>22</w:t>
          </w:r>
          <w:r>
            <w:fldChar w:fldCharType="end"/>
          </w:r>
          <w:r>
            <w:fldChar w:fldCharType="end"/>
          </w:r>
        </w:p>
        <w:p>
          <w:pPr>
            <w:pStyle w:val="8"/>
            <w:tabs>
              <w:tab w:val="right" w:leader="dot" w:pos="8296"/>
            </w:tabs>
          </w:pPr>
          <w:r>
            <w:fldChar w:fldCharType="begin"/>
          </w:r>
          <w:r>
            <w:instrText xml:space="preserve"> HYPERLINK \l "_Toc92287233" </w:instrText>
          </w:r>
          <w:r>
            <w:fldChar w:fldCharType="separate"/>
          </w:r>
          <w:r>
            <w:rPr>
              <w:rStyle w:val="12"/>
              <w:rFonts w:hint="eastAsia" w:ascii="楷体_GB2312" w:hAnsi="Times New Roman" w:eastAsia="楷体_GB2312" w:cs="仿宋_GB2312"/>
            </w:rPr>
            <w:t>（二）加强项目绩效管理</w:t>
          </w:r>
          <w:r>
            <w:tab/>
          </w:r>
          <w:r>
            <w:fldChar w:fldCharType="begin"/>
          </w:r>
          <w:r>
            <w:instrText xml:space="preserve"> PAGEREF _Toc92287233 \h </w:instrText>
          </w:r>
          <w:r>
            <w:fldChar w:fldCharType="separate"/>
          </w:r>
          <w:r>
            <w:t>22</w:t>
          </w:r>
          <w:r>
            <w:fldChar w:fldCharType="end"/>
          </w:r>
          <w:r>
            <w:fldChar w:fldCharType="end"/>
          </w:r>
        </w:p>
        <w:p>
          <w:pPr>
            <w:pStyle w:val="8"/>
            <w:tabs>
              <w:tab w:val="right" w:leader="dot" w:pos="8296"/>
            </w:tabs>
          </w:pPr>
          <w:r>
            <w:fldChar w:fldCharType="begin"/>
          </w:r>
          <w:r>
            <w:instrText xml:space="preserve"> HYPERLINK \l "_Toc92287234" </w:instrText>
          </w:r>
          <w:r>
            <w:fldChar w:fldCharType="separate"/>
          </w:r>
          <w:r>
            <w:rPr>
              <w:rStyle w:val="12"/>
              <w:rFonts w:hint="eastAsia" w:ascii="楷体_GB2312" w:hAnsi="Times New Roman" w:eastAsia="楷体_GB2312" w:cs="仿宋_GB2312"/>
            </w:rPr>
            <w:t>（三）明确结余资金用途</w:t>
          </w:r>
          <w:r>
            <w:tab/>
          </w:r>
          <w:r>
            <w:fldChar w:fldCharType="begin"/>
          </w:r>
          <w:r>
            <w:instrText xml:space="preserve"> PAGEREF _Toc92287234 \h </w:instrText>
          </w:r>
          <w:r>
            <w:fldChar w:fldCharType="separate"/>
          </w:r>
          <w:r>
            <w:t>23</w:t>
          </w:r>
          <w:r>
            <w:fldChar w:fldCharType="end"/>
          </w:r>
          <w:r>
            <w:fldChar w:fldCharType="end"/>
          </w:r>
        </w:p>
        <w:p>
          <w:pPr>
            <w:pStyle w:val="7"/>
            <w:tabs>
              <w:tab w:val="right" w:leader="dot" w:pos="8296"/>
            </w:tabs>
          </w:pPr>
          <w:r>
            <w:fldChar w:fldCharType="begin"/>
          </w:r>
          <w:r>
            <w:instrText xml:space="preserve"> HYPERLINK \l "_Toc92287235" </w:instrText>
          </w:r>
          <w:r>
            <w:fldChar w:fldCharType="separate"/>
          </w:r>
          <w:r>
            <w:rPr>
              <w:rStyle w:val="12"/>
              <w:rFonts w:hint="eastAsia" w:ascii="Times New Roman" w:hAnsi="黑体" w:eastAsia="黑体" w:cs="黑体"/>
            </w:rPr>
            <w:t>七、其他需要说明的问题</w:t>
          </w:r>
          <w:r>
            <w:tab/>
          </w:r>
          <w:r>
            <w:fldChar w:fldCharType="begin"/>
          </w:r>
          <w:r>
            <w:instrText xml:space="preserve"> PAGEREF _Toc92287235 \h </w:instrText>
          </w:r>
          <w:r>
            <w:fldChar w:fldCharType="separate"/>
          </w:r>
          <w:r>
            <w:t>23</w:t>
          </w:r>
          <w:r>
            <w:fldChar w:fldCharType="end"/>
          </w:r>
          <w:r>
            <w:fldChar w:fldCharType="end"/>
          </w:r>
        </w:p>
        <w:p>
          <w:pPr>
            <w:pStyle w:val="7"/>
            <w:tabs>
              <w:tab w:val="right" w:leader="dot" w:pos="8296"/>
            </w:tabs>
            <w:rPr>
              <w:sz w:val="32"/>
              <w:szCs w:val="32"/>
            </w:rPr>
            <w:sectPr>
              <w:footerReference r:id="rId3" w:type="default"/>
              <w:pgSz w:w="11906" w:h="16838"/>
              <w:pgMar w:top="1440" w:right="1800" w:bottom="1440" w:left="1800" w:header="851" w:footer="992" w:gutter="0"/>
              <w:pgNumType w:fmt="upperRoman" w:start="1"/>
              <w:cols w:space="425" w:num="1"/>
              <w:docGrid w:type="lines" w:linePitch="312" w:charSpace="0"/>
            </w:sectPr>
          </w:pPr>
          <w:r>
            <w:rPr>
              <w:b/>
              <w:bCs/>
              <w:sz w:val="32"/>
              <w:szCs w:val="32"/>
              <w:lang w:val="zh-CN"/>
            </w:rPr>
            <w:fldChar w:fldCharType="end"/>
          </w:r>
        </w:p>
      </w:sdtContent>
    </w:sdt>
    <w:p>
      <w:pPr>
        <w:spacing w:after="312" w:afterLines="100" w:line="600" w:lineRule="exact"/>
        <w:jc w:val="center"/>
        <w:rPr>
          <w:rFonts w:ascii="方正小标宋简体" w:hAnsi="Times New Roman" w:eastAsia="方正小标宋简体" w:cs="方正小标宋简体"/>
          <w:sz w:val="44"/>
          <w:szCs w:val="44"/>
        </w:rPr>
      </w:pPr>
      <w:r>
        <w:rPr>
          <w:rFonts w:hint="eastAsia" w:ascii="方正小标宋简体" w:hAnsi="Times New Roman" w:eastAsia="方正小标宋简体" w:cs="方正小标宋简体"/>
          <w:sz w:val="44"/>
          <w:szCs w:val="44"/>
        </w:rPr>
        <w:t>基层公共文化服务补助资金项目</w:t>
      </w:r>
    </w:p>
    <w:p>
      <w:pPr>
        <w:spacing w:after="312" w:afterLines="100" w:line="600" w:lineRule="exact"/>
        <w:jc w:val="center"/>
        <w:rPr>
          <w:rFonts w:ascii="方正小标宋简体" w:hAnsi="Times New Roman" w:eastAsia="方正小标宋简体" w:cs="方正小标宋简体"/>
          <w:sz w:val="44"/>
          <w:szCs w:val="44"/>
        </w:rPr>
      </w:pPr>
      <w:r>
        <w:rPr>
          <w:rFonts w:hint="eastAsia" w:ascii="方正小标宋简体" w:hAnsi="Times New Roman" w:eastAsia="方正小标宋简体" w:cs="方正小标宋简体"/>
          <w:sz w:val="44"/>
          <w:szCs w:val="44"/>
        </w:rPr>
        <w:t>绩效评价报告</w:t>
      </w:r>
    </w:p>
    <w:p>
      <w:pPr>
        <w:spacing w:line="360" w:lineRule="auto"/>
        <w:ind w:firstLine="640" w:firstLineChars="200"/>
        <w:rPr>
          <w:rFonts w:ascii="Times New Roman" w:hAnsi="Times New Roman" w:eastAsia="仿宋_GB2312" w:cs="Times New Roman"/>
          <w:b/>
          <w:bCs/>
          <w:kern w:val="0"/>
          <w:sz w:val="32"/>
          <w:szCs w:val="32"/>
        </w:rPr>
      </w:pPr>
      <w:r>
        <w:rPr>
          <w:rFonts w:hint="eastAsia" w:ascii="Times New Roman" w:hAnsi="Times New Roman" w:eastAsia="仿宋_GB2312" w:cs="仿宋_GB2312"/>
          <w:sz w:val="32"/>
          <w:szCs w:val="32"/>
        </w:rPr>
        <w:t>为提高财政资金使用效益，合理配置公共财政资源，根据市委、市政府《关于全面推进预算绩效管理的实施方案》《天津市市级财政项目支出绩效评价管理办法》（津财绩效〔2020〕12号）等文件要求，天津市东丽区财政局引入第三方专业机构成立了绩效评价组，于2021年</w:t>
      </w:r>
      <w:r>
        <w:rPr>
          <w:rFonts w:ascii="Times New Roman" w:hAnsi="Times New Roman" w:eastAsia="仿宋_GB2312" w:cs="仿宋_GB2312"/>
          <w:sz w:val="32"/>
          <w:szCs w:val="32"/>
        </w:rPr>
        <w:t>12</w:t>
      </w:r>
      <w:r>
        <w:rPr>
          <w:rFonts w:hint="eastAsia" w:ascii="Times New Roman" w:hAnsi="Times New Roman" w:eastAsia="仿宋_GB2312" w:cs="仿宋_GB2312"/>
          <w:sz w:val="32"/>
          <w:szCs w:val="32"/>
        </w:rPr>
        <w:t>月，对基层公共文化服务补助资金项目开展了绩效评价。该项目评价结果为94.69分，评价等级为“优”，有关情况如下。</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1" w:name="_Toc92287193"/>
      <w:bookmarkStart w:id="2" w:name="_Toc66801440"/>
      <w:bookmarkStart w:id="3" w:name="_Toc92282962"/>
      <w:r>
        <w:rPr>
          <w:rFonts w:hint="eastAsia" w:ascii="Times New Roman" w:hAnsi="黑体" w:eastAsia="黑体" w:cs="黑体"/>
          <w:sz w:val="32"/>
          <w:szCs w:val="32"/>
        </w:rPr>
        <w:t>一、基本情况</w:t>
      </w:r>
      <w:bookmarkEnd w:id="1"/>
      <w:bookmarkEnd w:id="2"/>
      <w:bookmarkEnd w:id="3"/>
    </w:p>
    <w:p>
      <w:pPr>
        <w:spacing w:line="360" w:lineRule="auto"/>
        <w:ind w:firstLine="960" w:firstLineChars="300"/>
        <w:outlineLvl w:val="1"/>
        <w:rPr>
          <w:rFonts w:ascii="楷体_GB2312" w:hAnsi="Times New Roman" w:eastAsia="楷体_GB2312" w:cs="仿宋_GB2312"/>
          <w:sz w:val="32"/>
          <w:szCs w:val="32"/>
        </w:rPr>
      </w:pPr>
      <w:bookmarkStart w:id="4" w:name="_Toc92287194"/>
      <w:bookmarkStart w:id="5" w:name="_Toc92282963"/>
      <w:bookmarkStart w:id="6" w:name="_Toc66801441"/>
      <w:r>
        <w:rPr>
          <w:rFonts w:hint="eastAsia" w:ascii="楷体_GB2312" w:hAnsi="Times New Roman" w:eastAsia="楷体_GB2312" w:cs="仿宋_GB2312"/>
          <w:sz w:val="32"/>
          <w:szCs w:val="32"/>
        </w:rPr>
        <w:t>（一）项目概况</w:t>
      </w:r>
      <w:bookmarkEnd w:id="4"/>
      <w:bookmarkEnd w:id="5"/>
      <w:bookmarkEnd w:id="6"/>
    </w:p>
    <w:p>
      <w:pPr>
        <w:spacing w:line="360" w:lineRule="auto"/>
        <w:ind w:firstLine="640" w:firstLineChars="200"/>
        <w:outlineLvl w:val="2"/>
        <w:rPr>
          <w:rFonts w:ascii="Times New Roman" w:hAnsi="Times New Roman" w:eastAsia="仿宋_GB2312" w:cs="仿宋_GB2312"/>
          <w:sz w:val="32"/>
          <w:szCs w:val="32"/>
        </w:rPr>
      </w:pPr>
      <w:bookmarkStart w:id="7" w:name="_Toc92287195"/>
      <w:bookmarkStart w:id="8" w:name="_Toc92282964"/>
      <w:bookmarkStart w:id="9" w:name="_Toc66801442"/>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项目背景</w:t>
      </w:r>
      <w:bookmarkEnd w:id="7"/>
      <w:bookmarkEnd w:id="8"/>
      <w:bookmarkEnd w:id="9"/>
    </w:p>
    <w:p>
      <w:pPr>
        <w:spacing w:line="360" w:lineRule="auto"/>
        <w:ind w:firstLine="640" w:firstLineChars="200"/>
        <w:rPr>
          <w:rFonts w:ascii="仿宋_GB2312" w:hAnsi="Times New Roman" w:eastAsia="仿宋_GB2312" w:cs="仿宋_GB2312"/>
          <w:color w:val="000000" w:themeColor="text1"/>
          <w:sz w:val="32"/>
          <w:szCs w:val="32"/>
          <w14:textFill>
            <w14:solidFill>
              <w14:schemeClr w14:val="tx1"/>
            </w14:solidFill>
          </w14:textFill>
        </w:rPr>
      </w:pPr>
      <w:bookmarkStart w:id="10" w:name="_Toc92282965"/>
      <w:bookmarkStart w:id="11" w:name="_Toc92283121"/>
      <w:r>
        <w:rPr>
          <w:rFonts w:hint="eastAsia" w:ascii="仿宋_GB2312" w:hAnsi="Times New Roman" w:eastAsia="仿宋_GB2312" w:cs="仿宋_GB2312"/>
          <w:color w:val="000000" w:themeColor="text1"/>
          <w:sz w:val="32"/>
          <w:szCs w:val="32"/>
          <w14:textFill>
            <w14:solidFill>
              <w14:schemeClr w14:val="tx1"/>
            </w14:solidFill>
          </w14:textFill>
        </w:rPr>
        <w:t>公共文化服务体系建设是满足人民群众基本精神文化需求的主要途径，是建设社会主义文化强国的基础工程，是全面建成小康社会的重要内容。党的十八大以来，以习近平同志为</w:t>
      </w:r>
      <w:r>
        <w:rPr>
          <w:rFonts w:hint="eastAsia" w:ascii="仿宋_GB2312" w:hAnsi="Times New Roman" w:eastAsia="仿宋_GB2312" w:cs="仿宋_GB2312"/>
          <w:color w:val="000000" w:themeColor="text1"/>
          <w:sz w:val="32"/>
          <w:szCs w:val="32"/>
          <w:lang w:eastAsia="zh-CN"/>
          <w14:textFill>
            <w14:solidFill>
              <w14:schemeClr w14:val="tx1"/>
            </w14:solidFill>
          </w14:textFill>
        </w:rPr>
        <w:t>核心</w:t>
      </w:r>
      <w:bookmarkStart w:id="123" w:name="_GoBack"/>
      <w:bookmarkEnd w:id="123"/>
      <w:r>
        <w:rPr>
          <w:rFonts w:hint="eastAsia" w:ascii="仿宋_GB2312" w:hAnsi="Times New Roman" w:eastAsia="仿宋_GB2312" w:cs="仿宋_GB2312"/>
          <w:color w:val="000000" w:themeColor="text1"/>
          <w:sz w:val="32"/>
          <w:szCs w:val="32"/>
          <w14:textFill>
            <w14:solidFill>
              <w14:schemeClr w14:val="tx1"/>
            </w14:solidFill>
          </w14:textFill>
        </w:rPr>
        <w:t>的党中央将加快构建现代公共文化服务体系纳入全面深化改革全局。在此背景下，东丽区认真贯彻中央决策部署，强化措施，扎实工作，按照建设社会主义文化强国的要求，紧紧围绕培育和践行社会主义核心价值观、保障人民群众基本文化权益，加快构建现代公共文化服务体系，加强公共文化体育设施网络建设和队伍建设，加大公共文化产品和服务供给力度，创新公共文化管理体制和运行机制，推进基本公共文化服务标准化、均等化、法制化，让人民群众享有更多更好的文化发展成果。为切实加强区内基层公共文化服务建设，构建城乡一体、区域均衡、人群均等的现代公共文化服务体系，提升公共文化服务设施的综合利用率，坚持设施建设和运行管理并重</w:t>
      </w:r>
      <w:r>
        <w:rPr>
          <w:rFonts w:ascii="仿宋_GB2312" w:hAnsi="Times New Roman" w:eastAsia="仿宋_GB2312" w:cs="仿宋_GB2312"/>
          <w:color w:val="000000" w:themeColor="text1"/>
          <w:sz w:val="32"/>
          <w:szCs w:val="32"/>
          <w14:textFill>
            <w14:solidFill>
              <w14:schemeClr w14:val="tx1"/>
            </w14:solidFill>
          </w14:textFill>
        </w:rPr>
        <w:t>,提升基层公共文化设施建设、管理和服务标准化水平，扶持基层文化发展，让基层群众共享公共文化成果，努力满足人民群众基本文化需求，推动基层文化不断繁荣发展，实现文化服务均等性</w:t>
      </w:r>
      <w:r>
        <w:rPr>
          <w:rFonts w:hint="eastAsia" w:ascii="仿宋_GB2312" w:hAnsi="Times New Roman" w:eastAsia="仿宋_GB2312" w:cs="仿宋_GB2312"/>
          <w:color w:val="000000" w:themeColor="text1"/>
          <w:sz w:val="32"/>
          <w:szCs w:val="32"/>
          <w14:textFill>
            <w14:solidFill>
              <w14:schemeClr w14:val="tx1"/>
            </w14:solidFill>
          </w14:textFill>
        </w:rPr>
        <w:t>，东丽区文化旅游体育局作为项目主体，组织落实了2</w:t>
      </w:r>
      <w:r>
        <w:rPr>
          <w:rFonts w:ascii="仿宋_GB2312" w:hAnsi="Times New Roman" w:eastAsia="仿宋_GB2312" w:cs="仿宋_GB2312"/>
          <w:color w:val="000000" w:themeColor="text1"/>
          <w:sz w:val="32"/>
          <w:szCs w:val="32"/>
          <w14:textFill>
            <w14:solidFill>
              <w14:schemeClr w14:val="tx1"/>
            </w14:solidFill>
          </w14:textFill>
        </w:rPr>
        <w:t>020</w:t>
      </w:r>
      <w:r>
        <w:rPr>
          <w:rFonts w:hint="eastAsia" w:ascii="仿宋_GB2312" w:hAnsi="Times New Roman" w:eastAsia="仿宋_GB2312" w:cs="仿宋_GB2312"/>
          <w:color w:val="000000" w:themeColor="text1"/>
          <w:sz w:val="32"/>
          <w:szCs w:val="32"/>
          <w14:textFill>
            <w14:solidFill>
              <w14:schemeClr w14:val="tx1"/>
            </w14:solidFill>
          </w14:textFill>
        </w:rPr>
        <w:t>年基层公共文化服务项目建设和运行，东丽区财政局2020</w:t>
      </w:r>
      <w:r>
        <w:rPr>
          <w:rFonts w:ascii="仿宋_GB2312" w:hAnsi="Times New Roman" w:eastAsia="仿宋_GB2312" w:cs="仿宋_GB2312"/>
          <w:color w:val="000000" w:themeColor="text1"/>
          <w:sz w:val="32"/>
          <w:szCs w:val="32"/>
          <w14:textFill>
            <w14:solidFill>
              <w14:schemeClr w14:val="tx1"/>
            </w14:solidFill>
          </w14:textFill>
        </w:rPr>
        <w:t>年度设立了</w:t>
      </w:r>
      <w:r>
        <w:rPr>
          <w:rFonts w:hint="eastAsia" w:ascii="仿宋_GB2312" w:hAnsi="Times New Roman" w:eastAsia="仿宋_GB2312" w:cs="仿宋_GB2312"/>
          <w:color w:val="000000" w:themeColor="text1"/>
          <w:sz w:val="32"/>
          <w:szCs w:val="32"/>
          <w14:textFill>
            <w14:solidFill>
              <w14:schemeClr w14:val="tx1"/>
            </w14:solidFill>
          </w14:textFill>
        </w:rPr>
        <w:t>2,307,200.00</w:t>
      </w:r>
      <w:r>
        <w:rPr>
          <w:rFonts w:ascii="仿宋_GB2312" w:hAnsi="Times New Roman" w:eastAsia="仿宋_GB2312" w:cs="仿宋_GB2312"/>
          <w:color w:val="000000" w:themeColor="text1"/>
          <w:sz w:val="32"/>
          <w:szCs w:val="32"/>
          <w14:textFill>
            <w14:solidFill>
              <w14:schemeClr w14:val="tx1"/>
            </w14:solidFill>
          </w14:textFill>
        </w:rPr>
        <w:t>元</w:t>
      </w:r>
      <w:r>
        <w:rPr>
          <w:rFonts w:hint="eastAsia" w:ascii="仿宋_GB2312" w:hAnsi="Times New Roman" w:eastAsia="仿宋_GB2312" w:cs="仿宋_GB2312"/>
          <w:color w:val="000000" w:themeColor="text1"/>
          <w:sz w:val="32"/>
          <w:szCs w:val="32"/>
          <w14:textFill>
            <w14:solidFill>
              <w14:schemeClr w14:val="tx1"/>
            </w14:solidFill>
          </w14:textFill>
        </w:rPr>
        <w:t>基层公共文化服务补助资金</w:t>
      </w:r>
      <w:r>
        <w:rPr>
          <w:rFonts w:ascii="仿宋_GB2312" w:hAnsi="Times New Roman" w:eastAsia="仿宋_GB2312" w:cs="仿宋_GB2312"/>
          <w:color w:val="000000" w:themeColor="text1"/>
          <w:sz w:val="32"/>
          <w:szCs w:val="32"/>
          <w14:textFill>
            <w14:solidFill>
              <w14:schemeClr w14:val="tx1"/>
            </w14:solidFill>
          </w14:textFill>
        </w:rPr>
        <w:t>，用于</w:t>
      </w:r>
      <w:r>
        <w:rPr>
          <w:rFonts w:hint="eastAsia" w:ascii="仿宋_GB2312" w:hAnsi="Times New Roman" w:eastAsia="仿宋_GB2312" w:cs="仿宋_GB2312"/>
          <w:color w:val="000000" w:themeColor="text1"/>
          <w:sz w:val="32"/>
          <w:szCs w:val="32"/>
          <w14:textFill>
            <w14:solidFill>
              <w14:schemeClr w14:val="tx1"/>
            </w14:solidFill>
          </w14:textFill>
        </w:rPr>
        <w:t>该项目</w:t>
      </w:r>
      <w:r>
        <w:rPr>
          <w:rFonts w:ascii="仿宋_GB2312" w:hAnsi="Times New Roman" w:eastAsia="仿宋_GB2312" w:cs="仿宋_GB2312"/>
          <w:color w:val="000000" w:themeColor="text1"/>
          <w:sz w:val="32"/>
          <w:szCs w:val="32"/>
          <w14:textFill>
            <w14:solidFill>
              <w14:schemeClr w14:val="tx1"/>
            </w14:solidFill>
          </w14:textFill>
        </w:rPr>
        <w:t>的支出。</w:t>
      </w:r>
      <w:bookmarkEnd w:id="10"/>
      <w:bookmarkEnd w:id="11"/>
    </w:p>
    <w:p>
      <w:pPr>
        <w:spacing w:line="360" w:lineRule="auto"/>
        <w:ind w:firstLine="640" w:firstLineChars="200"/>
        <w:outlineLvl w:val="2"/>
        <w:rPr>
          <w:rFonts w:ascii="Times New Roman" w:hAnsi="Times New Roman" w:eastAsia="仿宋_GB2312" w:cs="仿宋_GB2312"/>
          <w:sz w:val="32"/>
          <w:szCs w:val="32"/>
        </w:rPr>
      </w:pPr>
      <w:bookmarkStart w:id="12" w:name="_Toc66801443"/>
      <w:bookmarkStart w:id="13" w:name="_Toc92287196"/>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主要内容及实施情况</w:t>
      </w:r>
      <w:bookmarkEnd w:id="12"/>
      <w:bookmarkEnd w:id="13"/>
    </w:p>
    <w:p>
      <w:pPr>
        <w:spacing w:line="360" w:lineRule="auto"/>
        <w:ind w:firstLine="640" w:firstLineChars="200"/>
        <w:rPr>
          <w:rFonts w:ascii="仿宋_GB2312" w:hAnsi="Times New Roman" w:eastAsia="仿宋_GB2312" w:cs="仿宋_GB2312"/>
          <w:color w:val="000000" w:themeColor="text1"/>
          <w:sz w:val="32"/>
          <w:szCs w:val="32"/>
          <w14:textFill>
            <w14:solidFill>
              <w14:schemeClr w14:val="tx1"/>
            </w14:solidFill>
          </w14:textFill>
        </w:rPr>
      </w:pPr>
      <w:bookmarkStart w:id="14" w:name="_Toc92282967"/>
      <w:bookmarkStart w:id="15" w:name="_Toc92283123"/>
      <w:bookmarkStart w:id="16" w:name="_Toc66801444"/>
      <w:r>
        <w:rPr>
          <w:rFonts w:hint="eastAsia" w:ascii="仿宋_GB2312" w:hAnsi="Times New Roman" w:eastAsia="仿宋_GB2312" w:cs="仿宋_GB2312"/>
          <w:color w:val="000000" w:themeColor="text1"/>
          <w:sz w:val="32"/>
          <w:szCs w:val="32"/>
          <w14:textFill>
            <w14:solidFill>
              <w14:schemeClr w14:val="tx1"/>
            </w14:solidFill>
          </w14:textFill>
        </w:rPr>
        <w:t>为形成便捷高效、保基本、促公平的现代公共文化服务体系，区、街、社区三级公共文化设施网络全面覆盖，促使公共文化服务的内容和手段更加丰富，公共文化管理、运行和保障机制进一步完善，人民群众基本公共文化服务权益更为均等，东丽区文化旅游体育局组织实施了基层公共文化服务项目，主要包括街道文化站（中心）免费开放、街道公共文化服务、社区公共文化服务及</w:t>
      </w:r>
      <w:r>
        <w:rPr>
          <w:rFonts w:ascii="仿宋_GB2312" w:hAnsi="Times New Roman" w:eastAsia="仿宋_GB2312" w:cs="仿宋_GB2312"/>
          <w:color w:val="000000" w:themeColor="text1"/>
          <w:sz w:val="32"/>
          <w:szCs w:val="32"/>
          <w14:textFill>
            <w14:solidFill>
              <w14:schemeClr w14:val="tx1"/>
            </w14:solidFill>
          </w14:textFill>
        </w:rPr>
        <w:t>聘用文化管理员</w:t>
      </w:r>
      <w:r>
        <w:rPr>
          <w:rFonts w:hint="eastAsia" w:ascii="仿宋_GB2312" w:hAnsi="Times New Roman" w:eastAsia="仿宋_GB2312" w:cs="仿宋_GB2312"/>
          <w:color w:val="000000" w:themeColor="text1"/>
          <w:sz w:val="32"/>
          <w:szCs w:val="32"/>
          <w14:textFill>
            <w14:solidFill>
              <w14:schemeClr w14:val="tx1"/>
            </w14:solidFill>
          </w14:textFill>
        </w:rPr>
        <w:t>等各项工作。2</w:t>
      </w:r>
      <w:r>
        <w:rPr>
          <w:rFonts w:ascii="仿宋_GB2312" w:hAnsi="Times New Roman" w:eastAsia="仿宋_GB2312" w:cs="仿宋_GB2312"/>
          <w:color w:val="000000" w:themeColor="text1"/>
          <w:sz w:val="32"/>
          <w:szCs w:val="32"/>
          <w14:textFill>
            <w14:solidFill>
              <w14:schemeClr w14:val="tx1"/>
            </w14:solidFill>
          </w14:textFill>
        </w:rPr>
        <w:t>020</w:t>
      </w:r>
      <w:r>
        <w:rPr>
          <w:rFonts w:hint="eastAsia" w:ascii="仿宋_GB2312" w:hAnsi="Times New Roman" w:eastAsia="仿宋_GB2312" w:cs="仿宋_GB2312"/>
          <w:color w:val="000000" w:themeColor="text1"/>
          <w:sz w:val="32"/>
          <w:szCs w:val="32"/>
          <w14:textFill>
            <w14:solidFill>
              <w14:schemeClr w14:val="tx1"/>
            </w14:solidFill>
          </w14:textFill>
        </w:rPr>
        <w:t>年，上述工作均已实施完毕，服务人次大幅增加。</w:t>
      </w:r>
      <w:bookmarkEnd w:id="14"/>
      <w:bookmarkEnd w:id="15"/>
    </w:p>
    <w:p>
      <w:pPr>
        <w:spacing w:line="360" w:lineRule="auto"/>
        <w:ind w:firstLine="640" w:firstLineChars="200"/>
        <w:rPr>
          <w:rFonts w:ascii="仿宋_GB2312" w:hAnsi="Times New Roman" w:eastAsia="仿宋_GB2312" w:cs="仿宋_GB2312"/>
          <w:color w:val="000000" w:themeColor="text1"/>
          <w:sz w:val="32"/>
          <w:szCs w:val="32"/>
          <w14:textFill>
            <w14:solidFill>
              <w14:schemeClr w14:val="tx1"/>
            </w14:solidFill>
          </w14:textFill>
        </w:rPr>
      </w:pPr>
      <w:bookmarkStart w:id="17" w:name="_Toc92283124"/>
      <w:bookmarkStart w:id="18" w:name="_Toc92282968"/>
      <w:r>
        <w:rPr>
          <w:rFonts w:hint="eastAsia" w:ascii="仿宋_GB2312" w:hAnsi="Times New Roman" w:eastAsia="仿宋_GB2312" w:cs="仿宋_GB2312"/>
          <w:color w:val="000000" w:themeColor="text1"/>
          <w:sz w:val="32"/>
          <w:szCs w:val="32"/>
          <w14:textFill>
            <w14:solidFill>
              <w14:schemeClr w14:val="tx1"/>
            </w14:solidFill>
          </w14:textFill>
        </w:rPr>
        <w:t>本项目的运行，</w:t>
      </w:r>
      <w:r>
        <w:rPr>
          <w:rFonts w:ascii="仿宋_GB2312" w:hAnsi="Times New Roman" w:eastAsia="仿宋_GB2312" w:cs="仿宋_GB2312"/>
          <w:color w:val="000000" w:themeColor="text1"/>
          <w:sz w:val="32"/>
          <w:szCs w:val="32"/>
          <w14:textFill>
            <w14:solidFill>
              <w14:schemeClr w14:val="tx1"/>
            </w14:solidFill>
          </w14:textFill>
        </w:rPr>
        <w:t>统筹推进</w:t>
      </w:r>
      <w:r>
        <w:rPr>
          <w:rFonts w:hint="eastAsia" w:ascii="仿宋_GB2312" w:hAnsi="Times New Roman" w:eastAsia="仿宋_GB2312" w:cs="仿宋_GB2312"/>
          <w:color w:val="000000" w:themeColor="text1"/>
          <w:sz w:val="32"/>
          <w:szCs w:val="32"/>
          <w14:textFill>
            <w14:solidFill>
              <w14:schemeClr w14:val="tx1"/>
            </w14:solidFill>
          </w14:textFill>
        </w:rPr>
        <w:t>了</w:t>
      </w:r>
      <w:r>
        <w:rPr>
          <w:rFonts w:ascii="仿宋_GB2312" w:hAnsi="Times New Roman" w:eastAsia="仿宋_GB2312" w:cs="仿宋_GB2312"/>
          <w:color w:val="000000" w:themeColor="text1"/>
          <w:sz w:val="32"/>
          <w:szCs w:val="32"/>
          <w14:textFill>
            <w14:solidFill>
              <w14:schemeClr w14:val="tx1"/>
            </w14:solidFill>
          </w14:textFill>
        </w:rPr>
        <w:t>城乡基层公共文化设施网络建设，夯实</w:t>
      </w:r>
      <w:r>
        <w:rPr>
          <w:rFonts w:hint="eastAsia" w:ascii="仿宋_GB2312" w:hAnsi="Times New Roman" w:eastAsia="仿宋_GB2312" w:cs="仿宋_GB2312"/>
          <w:color w:val="000000" w:themeColor="text1"/>
          <w:sz w:val="32"/>
          <w:szCs w:val="32"/>
          <w14:textFill>
            <w14:solidFill>
              <w14:schemeClr w14:val="tx1"/>
            </w14:solidFill>
          </w14:textFill>
        </w:rPr>
        <w:t>了</w:t>
      </w:r>
      <w:r>
        <w:rPr>
          <w:rFonts w:ascii="仿宋_GB2312" w:hAnsi="Times New Roman" w:eastAsia="仿宋_GB2312" w:cs="仿宋_GB2312"/>
          <w:color w:val="000000" w:themeColor="text1"/>
          <w:sz w:val="32"/>
          <w:szCs w:val="32"/>
          <w14:textFill>
            <w14:solidFill>
              <w14:schemeClr w14:val="tx1"/>
            </w14:solidFill>
          </w14:textFill>
        </w:rPr>
        <w:t>公共文化服务体系根基</w:t>
      </w:r>
      <w:r>
        <w:rPr>
          <w:rFonts w:hint="eastAsia" w:ascii="仿宋_GB2312" w:hAnsi="Times New Roman" w:eastAsia="仿宋_GB2312" w:cs="仿宋_GB2312"/>
          <w:color w:val="000000" w:themeColor="text1"/>
          <w:sz w:val="32"/>
          <w:szCs w:val="32"/>
          <w14:textFill>
            <w14:solidFill>
              <w14:schemeClr w14:val="tx1"/>
            </w14:solidFill>
          </w14:textFill>
        </w:rPr>
        <w:t>，围绕着突出公益属性、强化服务功能、增强发展活力，不断推进体制机制改革创新。</w:t>
      </w:r>
      <w:bookmarkEnd w:id="17"/>
      <w:bookmarkEnd w:id="18"/>
    </w:p>
    <w:p>
      <w:pPr>
        <w:spacing w:line="360" w:lineRule="auto"/>
        <w:ind w:firstLine="640" w:firstLineChars="200"/>
        <w:rPr>
          <w:rFonts w:ascii="仿宋_GB2312" w:hAnsi="Times New Roman" w:eastAsia="仿宋_GB2312" w:cs="仿宋_GB2312"/>
          <w:color w:val="000000" w:themeColor="text1"/>
          <w:sz w:val="32"/>
          <w:szCs w:val="32"/>
          <w14:textFill>
            <w14:solidFill>
              <w14:schemeClr w14:val="tx1"/>
            </w14:solidFill>
          </w14:textFill>
        </w:rPr>
      </w:pPr>
      <w:bookmarkStart w:id="19" w:name="_Toc92283125"/>
      <w:bookmarkStart w:id="20" w:name="_Toc92282969"/>
      <w:r>
        <w:rPr>
          <w:rFonts w:hint="eastAsia" w:ascii="仿宋_GB2312" w:hAnsi="Times New Roman" w:eastAsia="仿宋_GB2312" w:cs="仿宋_GB2312"/>
          <w:color w:val="000000" w:themeColor="text1"/>
          <w:sz w:val="32"/>
          <w:szCs w:val="32"/>
          <w14:textFill>
            <w14:solidFill>
              <w14:schemeClr w14:val="tx1"/>
            </w14:solidFill>
          </w14:textFill>
        </w:rPr>
        <w:t>上述基层公共文化服务工作的落实，切实有效的增加了基层公共文化服务资源总量，本着坚持把重大文化惠民工程作为促进公共文化服务均等化的重要抓手，以基层为重点扎实推进的思想方针，本项目作为惠民工程的一部分，其有效运行与常态化实施，有效弥补了基层资源的不足，改善了基层公共文化服务条件。同时，聘请文化管理员也有效吸收了社会力量的参与，增强了公共文化服务发展动力，有效推动公共文化服务向优质服务转变。</w:t>
      </w:r>
      <w:r>
        <w:rPr>
          <w:rFonts w:ascii="仿宋_GB2312" w:hAnsi="Times New Roman" w:eastAsia="仿宋_GB2312" w:cs="仿宋_GB2312"/>
          <w:color w:val="000000" w:themeColor="text1"/>
          <w:sz w:val="32"/>
          <w:szCs w:val="32"/>
          <w14:textFill>
            <w14:solidFill>
              <w14:schemeClr w14:val="tx1"/>
            </w14:solidFill>
          </w14:textFill>
        </w:rPr>
        <w:t>公共文化服务体系建设取得</w:t>
      </w:r>
      <w:r>
        <w:rPr>
          <w:rFonts w:hint="eastAsia" w:ascii="仿宋_GB2312" w:hAnsi="Times New Roman" w:eastAsia="仿宋_GB2312" w:cs="仿宋_GB2312"/>
          <w:color w:val="000000" w:themeColor="text1"/>
          <w:sz w:val="32"/>
          <w:szCs w:val="32"/>
          <w14:textFill>
            <w14:solidFill>
              <w14:schemeClr w14:val="tx1"/>
            </w14:solidFill>
          </w14:textFill>
        </w:rPr>
        <w:t>较为</w:t>
      </w:r>
      <w:r>
        <w:rPr>
          <w:rFonts w:ascii="仿宋_GB2312" w:hAnsi="Times New Roman" w:eastAsia="仿宋_GB2312" w:cs="仿宋_GB2312"/>
          <w:color w:val="000000" w:themeColor="text1"/>
          <w:sz w:val="32"/>
          <w:szCs w:val="32"/>
          <w14:textFill>
            <w14:solidFill>
              <w14:schemeClr w14:val="tx1"/>
            </w14:solidFill>
          </w14:textFill>
        </w:rPr>
        <w:t>明显成效，对弘扬社会主义核心价值观、促进文化事业繁荣发展、保障和改善文化民生发挥了重要作用</w:t>
      </w:r>
      <w:r>
        <w:rPr>
          <w:rFonts w:hint="eastAsia" w:ascii="仿宋_GB2312" w:hAnsi="Times New Roman" w:eastAsia="仿宋_GB2312" w:cs="仿宋_GB2312"/>
          <w:color w:val="000000" w:themeColor="text1"/>
          <w:sz w:val="32"/>
          <w:szCs w:val="32"/>
          <w14:textFill>
            <w14:solidFill>
              <w14:schemeClr w14:val="tx1"/>
            </w14:solidFill>
          </w14:textFill>
        </w:rPr>
        <w:t>。</w:t>
      </w:r>
      <w:bookmarkEnd w:id="19"/>
      <w:bookmarkEnd w:id="20"/>
    </w:p>
    <w:p>
      <w:pPr>
        <w:spacing w:line="360" w:lineRule="auto"/>
        <w:ind w:firstLine="640" w:firstLineChars="200"/>
        <w:outlineLvl w:val="2"/>
        <w:rPr>
          <w:rFonts w:ascii="Times New Roman" w:hAnsi="Times New Roman" w:eastAsia="仿宋_GB2312" w:cs="仿宋_GB2312"/>
          <w:sz w:val="32"/>
          <w:szCs w:val="32"/>
        </w:rPr>
      </w:pPr>
      <w:bookmarkStart w:id="21" w:name="_Toc92287197"/>
      <w:r>
        <w:rPr>
          <w:rFonts w:hint="eastAsia" w:ascii="Times New Roman" w:hAnsi="Times New Roman" w:eastAsia="仿宋_GB2312" w:cs="仿宋_GB2312"/>
          <w:sz w:val="32"/>
          <w:szCs w:val="32"/>
        </w:rPr>
        <w:t>3.资金投入和使用情况</w:t>
      </w:r>
      <w:bookmarkEnd w:id="16"/>
      <w:bookmarkEnd w:id="21"/>
    </w:p>
    <w:p>
      <w:pPr>
        <w:pStyle w:val="17"/>
      </w:pPr>
      <w:bookmarkStart w:id="22" w:name="_Toc66801445"/>
      <w:bookmarkStart w:id="23" w:name="_Toc65847355"/>
      <w:r>
        <w:rPr>
          <w:rFonts w:hint="eastAsia"/>
        </w:rPr>
        <w:t>基层公共文化服务补助资金项目资金来源为天津市东丽区财政局下达的行政事业单位支出预算。截至2</w:t>
      </w:r>
      <w:r>
        <w:t>021</w:t>
      </w:r>
      <w:r>
        <w:rPr>
          <w:rFonts w:hint="eastAsia"/>
        </w:rPr>
        <w:t>年1</w:t>
      </w:r>
      <w:r>
        <w:t>2</w:t>
      </w:r>
      <w:r>
        <w:rPr>
          <w:rFonts w:hint="eastAsia"/>
        </w:rPr>
        <w:t>月31日，本项目预算金额为2,307,200.00</w:t>
      </w:r>
      <w:r>
        <w:t>元，实际支出资金为</w:t>
      </w:r>
      <w:r>
        <w:rPr>
          <w:rFonts w:hint="eastAsia"/>
        </w:rPr>
        <w:t>2,122,200.00</w:t>
      </w:r>
      <w:r>
        <w:t>元，</w:t>
      </w:r>
      <w:r>
        <w:rPr>
          <w:rFonts w:hint="eastAsia"/>
        </w:rPr>
        <w:t>项目结余资金185,000.00元。</w:t>
      </w:r>
    </w:p>
    <w:p>
      <w:pPr>
        <w:spacing w:line="360" w:lineRule="auto"/>
        <w:ind w:firstLine="640" w:firstLineChars="200"/>
        <w:outlineLvl w:val="1"/>
        <w:rPr>
          <w:rFonts w:ascii="楷体_GB2312" w:hAnsi="Times New Roman" w:eastAsia="楷体_GB2312" w:cs="仿宋_GB2312"/>
          <w:sz w:val="32"/>
          <w:szCs w:val="32"/>
        </w:rPr>
      </w:pPr>
      <w:bookmarkStart w:id="24" w:name="_Toc92287198"/>
      <w:r>
        <w:rPr>
          <w:rFonts w:hint="eastAsia" w:ascii="楷体_GB2312" w:hAnsi="Times New Roman" w:eastAsia="楷体_GB2312" w:cs="仿宋_GB2312"/>
          <w:sz w:val="32"/>
          <w:szCs w:val="32"/>
        </w:rPr>
        <w:t>（二）项目绩效目标</w:t>
      </w:r>
      <w:bookmarkEnd w:id="22"/>
      <w:bookmarkEnd w:id="23"/>
      <w:bookmarkEnd w:id="24"/>
    </w:p>
    <w:p>
      <w:pPr>
        <w:pStyle w:val="17"/>
      </w:pPr>
      <w:r>
        <w:rPr>
          <w:rFonts w:hint="eastAsia"/>
        </w:rPr>
        <w:t>本项目绩效目标为：</w:t>
      </w:r>
      <w:bookmarkStart w:id="25" w:name="_Toc65847358"/>
      <w:bookmarkStart w:id="26" w:name="_Toc66801448"/>
      <w:r>
        <w:rPr>
          <w:rFonts w:hint="eastAsia"/>
        </w:rPr>
        <w:t>扶持基层公共文化发展，提高基层公共文化服务水平，满足群众精神文化生活。</w:t>
      </w:r>
    </w:p>
    <w:p>
      <w:pPr>
        <w:pStyle w:val="17"/>
      </w:pP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27" w:name="_Toc92287199"/>
      <w:r>
        <w:rPr>
          <w:rFonts w:hint="eastAsia" w:ascii="Times New Roman" w:hAnsi="黑体" w:eastAsia="黑体" w:cs="黑体"/>
          <w:sz w:val="32"/>
          <w:szCs w:val="32"/>
        </w:rPr>
        <w:t>二、绩效评价工作开展情况</w:t>
      </w:r>
      <w:bookmarkEnd w:id="25"/>
      <w:bookmarkEnd w:id="26"/>
      <w:bookmarkEnd w:id="27"/>
    </w:p>
    <w:p>
      <w:pPr>
        <w:spacing w:line="360" w:lineRule="auto"/>
        <w:ind w:firstLine="640" w:firstLineChars="200"/>
        <w:outlineLvl w:val="1"/>
        <w:rPr>
          <w:rFonts w:ascii="楷体_GB2312" w:hAnsi="Times New Roman" w:eastAsia="楷体_GB2312" w:cs="仿宋_GB2312"/>
          <w:sz w:val="32"/>
          <w:szCs w:val="32"/>
        </w:rPr>
      </w:pPr>
      <w:bookmarkStart w:id="28" w:name="_Toc66801449"/>
      <w:bookmarkStart w:id="29" w:name="_Toc65847359"/>
      <w:bookmarkStart w:id="30" w:name="_Toc92287200"/>
      <w:r>
        <w:rPr>
          <w:rFonts w:hint="eastAsia" w:ascii="楷体_GB2312" w:hAnsi="Times New Roman" w:eastAsia="楷体_GB2312" w:cs="仿宋_GB2312"/>
          <w:sz w:val="32"/>
          <w:szCs w:val="32"/>
        </w:rPr>
        <w:t>（一）绩效评价目的、对象和范围</w:t>
      </w:r>
      <w:bookmarkEnd w:id="28"/>
      <w:bookmarkEnd w:id="29"/>
      <w:bookmarkEnd w:id="30"/>
    </w:p>
    <w:p>
      <w:pPr>
        <w:spacing w:line="360" w:lineRule="auto"/>
        <w:ind w:firstLine="640" w:firstLineChars="200"/>
        <w:outlineLvl w:val="2"/>
        <w:rPr>
          <w:rFonts w:ascii="Times New Roman" w:hAnsi="Times New Roman" w:eastAsia="仿宋_GB2312" w:cs="仿宋_GB2312"/>
          <w:sz w:val="32"/>
          <w:szCs w:val="32"/>
        </w:rPr>
      </w:pPr>
      <w:bookmarkStart w:id="31" w:name="_Toc66801450"/>
      <w:bookmarkStart w:id="32" w:name="_Toc65847360"/>
      <w:bookmarkStart w:id="33" w:name="_Toc92287201"/>
      <w:r>
        <w:rPr>
          <w:rFonts w:hint="eastAsia" w:ascii="Times New Roman" w:hAnsi="Times New Roman" w:eastAsia="仿宋_GB2312" w:cs="仿宋_GB2312"/>
          <w:sz w:val="32"/>
          <w:szCs w:val="32"/>
        </w:rPr>
        <w:t>1.绩效评价目的</w:t>
      </w:r>
      <w:bookmarkEnd w:id="31"/>
      <w:bookmarkEnd w:id="32"/>
      <w:bookmarkEnd w:id="33"/>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（1）为推进全面实施预算绩效管理，建立科学、合理的预算绩效评价管理体系，提高财政资金使用效益。</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通过对基层公共文化服务补助资金项目的绩效评价，了解和掌握项目实施的具体情况，评价其项目资金安排的科学性、合理性、规范性和资金使用成效，及时总结项目管理经验，完善项目管理办法，提高项目管理水平和资金的使用效益，切实提高整体及核心业务实施效果。</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促使项目承担部门根据绩效评价中发现的问题，将绩效结果与完善政策和改进管理挂钩，及时调整和完善部门的工作计划和绩效目标，加强绩效管理，提高管理水平，为项目后续资金投入、分配和管理提供决策依据。</w:t>
      </w:r>
    </w:p>
    <w:p>
      <w:pPr>
        <w:spacing w:line="360" w:lineRule="auto"/>
        <w:ind w:firstLine="640" w:firstLineChars="200"/>
        <w:outlineLvl w:val="2"/>
        <w:rPr>
          <w:rFonts w:ascii="Times New Roman" w:hAnsi="Times New Roman" w:eastAsia="仿宋_GB2312" w:cs="仿宋_GB2312"/>
          <w:sz w:val="32"/>
          <w:szCs w:val="32"/>
        </w:rPr>
      </w:pPr>
      <w:bookmarkStart w:id="34" w:name="_Toc66801451"/>
      <w:bookmarkStart w:id="35" w:name="_Toc65847361"/>
      <w:bookmarkStart w:id="36" w:name="_Toc92287202"/>
      <w:r>
        <w:rPr>
          <w:rFonts w:hint="eastAsia" w:ascii="Times New Roman" w:hAnsi="Times New Roman" w:eastAsia="仿宋_GB2312" w:cs="仿宋_GB2312"/>
          <w:sz w:val="32"/>
          <w:szCs w:val="32"/>
        </w:rPr>
        <w:t>2.绩效评价对象</w:t>
      </w:r>
      <w:bookmarkEnd w:id="34"/>
      <w:bookmarkEnd w:id="35"/>
      <w:bookmarkEnd w:id="36"/>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基层公共文化服务补助资金项目建设单位为天津市东丽区文化旅游体育局。</w:t>
      </w:r>
    </w:p>
    <w:p>
      <w:pPr>
        <w:spacing w:line="360" w:lineRule="auto"/>
        <w:ind w:firstLine="640" w:firstLineChars="200"/>
        <w:outlineLvl w:val="2"/>
        <w:rPr>
          <w:rFonts w:ascii="Times New Roman" w:hAnsi="Times New Roman" w:eastAsia="仿宋_GB2312" w:cs="仿宋_GB2312"/>
          <w:sz w:val="32"/>
          <w:szCs w:val="32"/>
        </w:rPr>
      </w:pPr>
      <w:bookmarkStart w:id="37" w:name="_Toc66801452"/>
      <w:bookmarkStart w:id="38" w:name="_Toc65847362"/>
      <w:bookmarkStart w:id="39" w:name="_Toc92287203"/>
      <w:r>
        <w:rPr>
          <w:rFonts w:hint="eastAsia" w:ascii="Times New Roman" w:hAnsi="Times New Roman" w:eastAsia="仿宋_GB2312" w:cs="仿宋_GB2312"/>
          <w:sz w:val="32"/>
          <w:szCs w:val="32"/>
        </w:rPr>
        <w:t>3.绩效评价范围</w:t>
      </w:r>
      <w:bookmarkEnd w:id="37"/>
      <w:bookmarkEnd w:id="38"/>
      <w:bookmarkEnd w:id="39"/>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本次绩效评价针对基层公共文化服务补助资金项目展开，主要评价内容及范围如下：</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（1）立项依据和立项程序情况；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（2）绩效目标和指标设定情况；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（3）预算编制和资金分配情况；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（4）资金管理和使用情况；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（5）相关制度办法的健全性及执行情况；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（6）实现的产出情况；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（7）取得的效益情况；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（8）其他相关内容。</w:t>
      </w:r>
    </w:p>
    <w:p>
      <w:pPr>
        <w:spacing w:line="360" w:lineRule="auto"/>
        <w:ind w:firstLine="640" w:firstLineChars="200"/>
        <w:outlineLvl w:val="1"/>
        <w:rPr>
          <w:rFonts w:ascii="楷体_GB2312" w:hAnsi="Times New Roman" w:eastAsia="楷体_GB2312" w:cs="仿宋_GB2312"/>
          <w:sz w:val="32"/>
          <w:szCs w:val="32"/>
        </w:rPr>
      </w:pPr>
      <w:bookmarkStart w:id="40" w:name="_Toc66801453"/>
      <w:bookmarkStart w:id="41" w:name="_Toc65847363"/>
      <w:bookmarkStart w:id="42" w:name="_Toc92287204"/>
      <w:r>
        <w:rPr>
          <w:rFonts w:hint="eastAsia" w:ascii="楷体_GB2312" w:hAnsi="Times New Roman" w:eastAsia="楷体_GB2312" w:cs="仿宋_GB2312"/>
          <w:sz w:val="32"/>
          <w:szCs w:val="32"/>
        </w:rPr>
        <w:t>（二）绩效评价原则、评价指标体系、评价方法与标准</w:t>
      </w:r>
      <w:bookmarkEnd w:id="40"/>
      <w:bookmarkEnd w:id="41"/>
      <w:bookmarkEnd w:id="42"/>
    </w:p>
    <w:p>
      <w:pPr>
        <w:spacing w:line="360" w:lineRule="auto"/>
        <w:ind w:firstLine="640" w:firstLineChars="200"/>
        <w:outlineLvl w:val="2"/>
        <w:rPr>
          <w:rFonts w:ascii="Times New Roman" w:hAnsi="Times New Roman" w:eastAsia="仿宋_GB2312" w:cs="仿宋_GB2312"/>
          <w:sz w:val="32"/>
          <w:szCs w:val="32"/>
        </w:rPr>
      </w:pPr>
      <w:bookmarkStart w:id="43" w:name="_Toc66801454"/>
      <w:bookmarkStart w:id="44" w:name="_Toc65847364"/>
      <w:bookmarkStart w:id="45" w:name="_Toc92287205"/>
      <w:r>
        <w:rPr>
          <w:rFonts w:hint="eastAsia" w:ascii="Times New Roman" w:hAnsi="Times New Roman" w:eastAsia="仿宋_GB2312" w:cs="仿宋_GB2312"/>
          <w:sz w:val="32"/>
          <w:szCs w:val="32"/>
        </w:rPr>
        <w:t>1.绩效评价原则</w:t>
      </w:r>
      <w:bookmarkEnd w:id="43"/>
      <w:bookmarkEnd w:id="44"/>
      <w:bookmarkEnd w:id="45"/>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（1）坚持科学规范的原则。此次绩效评价运用科学合理的评价指标体系和方法，按照规范的程序，对支出绩效进行客观、公正的反映。</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坚持统筹兼顾的原则。单位自评、部门评价和财政评价各方职责明确，各有侧重，互相衔接。按照“谁支出、谁自评”的原则，绩效自评由项目单位自主实施，市级部门对部门本级和所属单位的绩效自评结果负责。此次评价我方作为第三方受委托机构开展绩效评价工作。</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（3）坚持激励约束的原则。本次绩效评价结果可以作为预算安排、政策调整、改进管理的参考，绩效评价工作将体现奖优罚劣和激励相容导向，有效要安排、低效要压减、无效要问责。</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（4）坚持公开透明的原则。承诺绩效评价结果依法依规公开，自觉接受有关机构和社会监督。</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（5）坚持综合绩效评价，定量分析与定性分析相结合的原则。</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（6）坚持绩效相关的原则。此次绩效评价将针对具体支出及其产出绩效进行，评价结果将清晰反映支出和产出绩效之间的紧密对应关系。</w:t>
      </w:r>
    </w:p>
    <w:p>
      <w:pPr>
        <w:spacing w:line="360" w:lineRule="auto"/>
        <w:ind w:firstLine="640" w:firstLineChars="200"/>
        <w:outlineLvl w:val="2"/>
        <w:rPr>
          <w:rFonts w:ascii="Times New Roman" w:hAnsi="Times New Roman" w:eastAsia="仿宋_GB2312" w:cs="仿宋_GB2312"/>
          <w:sz w:val="32"/>
          <w:szCs w:val="32"/>
        </w:rPr>
      </w:pPr>
      <w:bookmarkStart w:id="46" w:name="_Toc65847365"/>
      <w:bookmarkStart w:id="47" w:name="_Toc92287206"/>
      <w:bookmarkStart w:id="48" w:name="_Toc66801455"/>
      <w:r>
        <w:rPr>
          <w:rFonts w:hint="eastAsia" w:ascii="Times New Roman" w:hAnsi="Times New Roman" w:eastAsia="仿宋_GB2312" w:cs="仿宋_GB2312"/>
          <w:sz w:val="32"/>
          <w:szCs w:val="32"/>
        </w:rPr>
        <w:t>2.绩效评价指标体系</w:t>
      </w:r>
      <w:bookmarkEnd w:id="46"/>
      <w:bookmarkEnd w:id="47"/>
      <w:bookmarkEnd w:id="48"/>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本项目绩效评价指标体系由决策、过程、产出及效益四部分指标构成，此体系满分100分（绩效评价指标体系详细见附件），其中：</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（1）决策指标（17分）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决策指标包括项目立项、绩效目标和资金投入3项二级指标、6项三级指标，总分合计17分。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①项目立项（4分）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立项依据充分性”、“立项程序规范性”2项三级指标。“立项依据充分性”指标评价项目立项是否符合国家法律法规、国民经济发展规划和相关政策，是否与部门职责范围相符，属于部门履职所需，是否属于公共财政支持范围；“立项程序规范性”指标评价项目是否按照规定的程序申请设立，审批文件、材料是否符合相关要求。</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②绩效目标（7分）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绩效目标合理性”、“绩效指标明确性”2项三级指标。“绩效目标合理性”指标评价项目是否有绩效目标（如未设定预算绩效目标，也可考核其他工作任务目标），项目绩效目标与实际工作内容是否具有相关性，项目预期产出效益和效果是否符合正常的业绩水平，是否与预算确定的项目投资额或资金量相匹配；“绩效指标明确性”指标评价项目是否将项目绩效目标细化分解为具体的绩效指标，是否通过清晰、可衡量的指标值予以体现，是否与项目目标任务数或计划数相对应。</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③资金投入（6分）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预算编制科学性”、“资金分配合理性”2项三级指标。“预算编制科学性”指标评价项目预算编制是否经过科学论证，预算内容与项目内容是否匹配，预算额度测算依据是否充分，是否按照标准编制，预算确定的项目投资额或资金量是否与工作任务相匹配；“资金分配合理性”指标评价项目预算资金分配依据是否充分，资金分配额度是否合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（2）过程指标（23分）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过程指标主要包括资金管理、组织管理2项二级指标，6项三级指标。</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①资金管理（16分）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资金到位率”、“资金到位及时率”、“预算执行率”、“资金使用合规性”4项三级指标。“资金到位率”指标通过实际到位资金与预算资金的比率考核资金落实情况；“资金到位及时率”指标通过及时到位资金与应到位资金的比率考核项目资金落实的及时性程度；“预算执行率”指标考核项目预算资金是否按照计划执行；“资金使用合规性”指标考核项目资金使用是否符合国家财经法规和财务管理制度以及有关专项资金管理办法的规定，资金的拨付是否有完整的审批程序和手续，是否符合项目预算批复或合同规定的用途，是否存在截留、挤占、挪用、虚列支出等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②组织实施（7分）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管理制度健全性”、“制度执行有效性”2项三级指标。“管理制度健全性”指标评价项目实施单位是否已制定或具有相应的财务和业务管理制度，与上位法要求是否相符，财务和业务管理制度是否合法、合规、完整；“制度执行有效性”指标评价项目实施是否遵守相关法律法规和相关管理规定，是否符合政府采购相关政策。</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（3）产出指标（40分）</w:t>
      </w:r>
    </w:p>
    <w:p>
      <w:pPr>
        <w:spacing w:line="360" w:lineRule="auto"/>
        <w:ind w:firstLine="640" w:firstLineChars="200"/>
        <w:rPr>
          <w:rFonts w:ascii="Times New Roman" w:hAnsi="Times New Roman" w:eastAsia="仿宋_GB2312" w:cs="仿宋_GB2312"/>
          <w:sz w:val="32"/>
          <w:szCs w:val="32"/>
        </w:rPr>
      </w:pPr>
      <w:bookmarkStart w:id="49" w:name="_Hlk64725945"/>
      <w:r>
        <w:rPr>
          <w:rFonts w:hint="eastAsia" w:ascii="Times New Roman" w:hAnsi="Times New Roman" w:eastAsia="仿宋_GB2312" w:cs="仿宋_GB2312"/>
          <w:sz w:val="32"/>
          <w:szCs w:val="32"/>
        </w:rPr>
        <w:t>产出指标主要包括产出数量、产出质量、产出时效、产出成本4项二级指标，6项三级指标。</w:t>
      </w:r>
    </w:p>
    <w:bookmarkEnd w:id="49"/>
    <w:p>
      <w:pPr>
        <w:spacing w:line="360" w:lineRule="auto"/>
        <w:ind w:firstLine="640" w:firstLineChars="200"/>
        <w:rPr>
          <w:rFonts w:ascii="Times New Roman" w:hAnsi="Times New Roman" w:eastAsia="仿宋_GB2312" w:cs="仿宋_GB2312"/>
          <w:sz w:val="32"/>
          <w:szCs w:val="32"/>
        </w:rPr>
      </w:pPr>
      <w:r>
        <w:rPr>
          <w:rFonts w:hint="eastAsia" w:ascii="仿宋" w:hAnsi="仿宋" w:eastAsia="仿宋" w:cs="仿宋_GB2312"/>
          <w:sz w:val="32"/>
          <w:szCs w:val="32"/>
        </w:rPr>
        <w:t>①</w:t>
      </w:r>
      <w:r>
        <w:rPr>
          <w:rFonts w:hint="eastAsia" w:ascii="Times New Roman" w:hAnsi="Times New Roman" w:eastAsia="仿宋_GB2312" w:cs="仿宋_GB2312"/>
          <w:sz w:val="32"/>
          <w:szCs w:val="32"/>
        </w:rPr>
        <w:t>产出数量（15分）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街道文化中心数量”、“社区综合性文化服务中心数量”、“文化管理员数量”3项三级指标。“街道文化中心数量”、“社区综合性文化服务中心数量”、“文化管理员数量”指服务工作的实际产出数与计划产出数的比率，用以反映和考核服务工作产出数量目标的实现程度。</w:t>
      </w:r>
    </w:p>
    <w:p>
      <w:pPr>
        <w:spacing w:line="360" w:lineRule="auto"/>
        <w:ind w:firstLine="640" w:firstLineChars="200"/>
        <w:rPr>
          <w:rFonts w:ascii="Times New Roman" w:hAnsi="Times New Roman" w:eastAsia="仿宋_GB2312" w:cs="仿宋_GB2312"/>
          <w:sz w:val="32"/>
          <w:szCs w:val="32"/>
        </w:rPr>
      </w:pPr>
      <w:r>
        <w:rPr>
          <w:rFonts w:hint="eastAsia" w:ascii="仿宋" w:hAnsi="仿宋" w:eastAsia="仿宋" w:cs="仿宋_GB2312"/>
          <w:sz w:val="32"/>
          <w:szCs w:val="32"/>
        </w:rPr>
        <w:t>②</w:t>
      </w:r>
      <w:r>
        <w:rPr>
          <w:rFonts w:hint="eastAsia" w:ascii="Times New Roman" w:hAnsi="Times New Roman" w:eastAsia="仿宋_GB2312" w:cs="仿宋_GB2312"/>
          <w:sz w:val="32"/>
          <w:szCs w:val="32"/>
        </w:rPr>
        <w:t>产出质量（15分）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该指标包含“服务工作质量达标率” 1项三级指标。</w:t>
      </w:r>
      <w:bookmarkStart w:id="50" w:name="_Hlk64725451"/>
      <w:r>
        <w:rPr>
          <w:rFonts w:hint="eastAsia" w:ascii="Times New Roman" w:hAnsi="Times New Roman" w:eastAsia="仿宋_GB2312" w:cs="仿宋_GB2312"/>
          <w:sz w:val="32"/>
          <w:szCs w:val="32"/>
        </w:rPr>
        <w:t>“服务工作质量达标率</w:t>
      </w:r>
      <w:bookmarkEnd w:id="50"/>
      <w:r>
        <w:rPr>
          <w:rFonts w:hint="eastAsia" w:ascii="Times New Roman" w:hAnsi="Times New Roman" w:eastAsia="仿宋_GB2312" w:cs="仿宋_GB2312"/>
          <w:sz w:val="32"/>
          <w:szCs w:val="32"/>
        </w:rPr>
        <w:t>”指服务工作产出的成果是否有媒体记录；服务对象是否对成果质量满意；服务工作产出的成果质量是否符合国家标准、行业标准或工作计划要求。</w:t>
      </w:r>
    </w:p>
    <w:p>
      <w:pPr>
        <w:spacing w:line="360" w:lineRule="auto"/>
        <w:ind w:firstLine="640" w:firstLineChars="200"/>
        <w:rPr>
          <w:rFonts w:ascii="Times New Roman" w:hAnsi="Times New Roman" w:eastAsia="仿宋_GB2312" w:cs="仿宋_GB2312"/>
          <w:sz w:val="32"/>
          <w:szCs w:val="32"/>
        </w:rPr>
      </w:pPr>
      <w:r>
        <w:rPr>
          <w:rFonts w:hint="eastAsia" w:ascii="仿宋" w:hAnsi="仿宋" w:eastAsia="仿宋" w:cs="仿宋_GB2312"/>
          <w:sz w:val="32"/>
          <w:szCs w:val="32"/>
        </w:rPr>
        <w:t>③</w:t>
      </w:r>
      <w:r>
        <w:rPr>
          <w:rFonts w:hint="eastAsia" w:ascii="Times New Roman" w:hAnsi="Times New Roman" w:eastAsia="仿宋_GB2312" w:cs="仿宋_GB2312"/>
          <w:sz w:val="32"/>
          <w:szCs w:val="32"/>
        </w:rPr>
        <w:t>产出时效（5分）</w:t>
      </w:r>
    </w:p>
    <w:p>
      <w:pPr>
        <w:spacing w:line="360" w:lineRule="auto"/>
        <w:ind w:firstLine="640" w:firstLineChars="200"/>
        <w:rPr>
          <w:rFonts w:ascii="Times New Roman" w:hAnsi="Times New Roman" w:eastAsia="仿宋_GB2312" w:cs="仿宋_GB2312"/>
          <w:sz w:val="32"/>
          <w:szCs w:val="32"/>
        </w:rPr>
      </w:pPr>
      <w:bookmarkStart w:id="51" w:name="_Hlk64726037"/>
      <w:r>
        <w:rPr>
          <w:rFonts w:hint="eastAsia" w:ascii="Times New Roman" w:hAnsi="Times New Roman" w:eastAsia="仿宋_GB2312" w:cs="仿宋_GB2312"/>
          <w:sz w:val="32"/>
          <w:szCs w:val="32"/>
        </w:rPr>
        <w:t>该指标包含“服务工作完成及时性” 1项三级指标。</w:t>
      </w:r>
      <w:bookmarkEnd w:id="51"/>
      <w:r>
        <w:rPr>
          <w:rFonts w:hint="eastAsia" w:ascii="Times New Roman" w:hAnsi="Times New Roman" w:eastAsia="仿宋_GB2312" w:cs="仿宋_GB2312"/>
          <w:sz w:val="32"/>
          <w:szCs w:val="32"/>
        </w:rPr>
        <w:t>“服务工作完成及时性”指服务工作是否在合同约定的工期内完成。</w:t>
      </w:r>
    </w:p>
    <w:p>
      <w:pPr>
        <w:spacing w:line="360" w:lineRule="auto"/>
        <w:ind w:firstLine="640" w:firstLineChars="200"/>
        <w:rPr>
          <w:rFonts w:ascii="Times New Roman" w:hAnsi="Times New Roman" w:eastAsia="仿宋_GB2312" w:cs="仿宋_GB2312"/>
          <w:sz w:val="32"/>
          <w:szCs w:val="32"/>
        </w:rPr>
      </w:pPr>
      <w:r>
        <w:rPr>
          <w:rFonts w:hint="eastAsia" w:ascii="仿宋" w:hAnsi="仿宋" w:eastAsia="仿宋" w:cs="仿宋_GB2312"/>
          <w:sz w:val="32"/>
          <w:szCs w:val="32"/>
        </w:rPr>
        <w:t>④</w:t>
      </w:r>
      <w:r>
        <w:rPr>
          <w:rFonts w:hint="eastAsia" w:ascii="Times New Roman" w:hAnsi="Times New Roman" w:eastAsia="仿宋_GB2312" w:cs="仿宋_GB2312"/>
          <w:sz w:val="32"/>
          <w:szCs w:val="32"/>
        </w:rPr>
        <w:t>产出成本（5分）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该指标包含“成本节约率”1项三级指标，反映项目成本节约程度。“成本节约率”指完成项目计划工作目标的实际节约成本与计划成本的比率，用以反映和考核项目的成本节约程度。</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（4）效益指标（20分）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该指标包含项目效益1项二级指标，3项三级指标。</w:t>
      </w:r>
    </w:p>
    <w:p>
      <w:pPr>
        <w:spacing w:line="360" w:lineRule="auto"/>
        <w:ind w:firstLine="640" w:firstLineChars="200"/>
        <w:rPr>
          <w:rFonts w:ascii="Times New Roman" w:hAnsi="Times New Roman" w:eastAsia="仿宋_GB2312" w:cs="仿宋_GB2312"/>
          <w:sz w:val="32"/>
          <w:szCs w:val="32"/>
        </w:rPr>
      </w:pPr>
      <w:r>
        <w:rPr>
          <w:rFonts w:hint="eastAsia" w:ascii="仿宋" w:hAnsi="仿宋" w:eastAsia="仿宋" w:cs="仿宋_GB2312"/>
          <w:sz w:val="32"/>
          <w:szCs w:val="32"/>
        </w:rPr>
        <w:t>①</w:t>
      </w:r>
      <w:r>
        <w:rPr>
          <w:rFonts w:hint="eastAsia" w:ascii="Times New Roman" w:hAnsi="Times New Roman" w:eastAsia="仿宋_GB2312" w:cs="仿宋_GB2312"/>
          <w:sz w:val="32"/>
          <w:szCs w:val="32"/>
        </w:rPr>
        <w:t>项目效益（20分）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 “社会效益”、“可持续影响”“服务对象满意度”3项三级指标。 “社会效益”指项目实施后所产生的社会影响，用以反映和考核项目实施是否对居民生活起到改善作用。“可持续影响”指项目实施后所产生的后续影响，是否满足群众精神文化生活。“受益群体满意度”指受益群体对项目实施效果的满意程度。一般采取问卷调查的方式。</w:t>
      </w:r>
    </w:p>
    <w:p>
      <w:pPr>
        <w:spacing w:line="360" w:lineRule="auto"/>
        <w:ind w:firstLine="640" w:firstLineChars="200"/>
        <w:outlineLvl w:val="2"/>
        <w:rPr>
          <w:rFonts w:ascii="Times New Roman" w:hAnsi="Times New Roman" w:eastAsia="仿宋_GB2312" w:cs="仿宋_GB2312"/>
          <w:sz w:val="32"/>
          <w:szCs w:val="32"/>
        </w:rPr>
      </w:pPr>
      <w:bookmarkStart w:id="52" w:name="_Toc66801456"/>
      <w:bookmarkStart w:id="53" w:name="_Toc65847366"/>
      <w:bookmarkStart w:id="54" w:name="_Toc92287207"/>
      <w:r>
        <w:rPr>
          <w:rFonts w:hint="eastAsia" w:ascii="Times New Roman" w:hAnsi="Times New Roman" w:eastAsia="仿宋_GB2312" w:cs="仿宋_GB2312"/>
          <w:sz w:val="32"/>
          <w:szCs w:val="32"/>
        </w:rPr>
        <w:t>3.绩效评价方法与标准</w:t>
      </w:r>
      <w:bookmarkEnd w:id="52"/>
      <w:bookmarkEnd w:id="53"/>
      <w:bookmarkEnd w:id="54"/>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（1）绩效评价方法</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方法主要包括成本效益分析法、比较法、因素分析法、最低成本法、公众评判法、标杆管理法等。根据评价对象的具体情况，可采用一种或多种方法进行绩效评价。本项目绩效评价方法主要采用成本效益分析法，将评价期内的投入与产出、效益进行关联性分析。主要工作方法包括资料收集与数据填报、实地调研、问卷调查等相结合的方法开展评价工作，具体如下。</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资料收集与数据填报：对项目资料进行收集整理，以现场或非现场方式，通过询问、实地踏勘等形式，核查项目资料是否真实、合理，从而对项目做出初步的判断和评价。</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实地调研：本项目为确保评价结果客观真实，评价机构将深入被评价单位，对评价对象的建设情况、施工质量、财务管理制度的建立和健全情况、项目管理责任制的建立和落实情况、资金的使用情况进行实地检查和核实。</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问卷调查法：发放问卷调查是确保有关定性指标真实、准确的基础，主要由评价人员亲自发放和收回，不得经由评价客体内部人员间接发放或收回。问卷调查表的发放范围和数量由评价机构根据评价工作的实际情况确定。</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（2）绩效评价标准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绩效评价标准通常包括计划标准、行业标准、历史标准、国际标准等，用于对绩效指标完成情况进行比较。</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计划标准。指以预先制定的目标、计划、预算、定额等作为评价标准。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行业标准。指参照国家公布的行业指标数据制定的评价标准。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历史标准。指参照历史数据制定的评价标准，为体现绩效改进的原则，在可实现的条件下应当确定相对较高的评价标准。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国际标准。指参照其他国家同期发展水平或国际先进标准确定的评价标准。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财政部门和预算部门确认或认可的其他标准。</w:t>
      </w:r>
    </w:p>
    <w:p>
      <w:pPr>
        <w:spacing w:line="360" w:lineRule="auto"/>
        <w:ind w:firstLine="640" w:firstLineChars="200"/>
        <w:outlineLvl w:val="1"/>
        <w:rPr>
          <w:rFonts w:ascii="楷体_GB2312" w:hAnsi="Times New Roman" w:eastAsia="楷体_GB2312" w:cs="仿宋_GB2312"/>
          <w:sz w:val="32"/>
          <w:szCs w:val="32"/>
        </w:rPr>
      </w:pPr>
      <w:bookmarkStart w:id="55" w:name="_Toc66801457"/>
      <w:bookmarkStart w:id="56" w:name="_Toc65847367"/>
      <w:bookmarkStart w:id="57" w:name="_Toc92287208"/>
      <w:r>
        <w:rPr>
          <w:rFonts w:hint="eastAsia" w:ascii="楷体_GB2312" w:hAnsi="Times New Roman" w:eastAsia="楷体_GB2312" w:cs="仿宋_GB2312"/>
          <w:sz w:val="32"/>
          <w:szCs w:val="32"/>
        </w:rPr>
        <w:t>（三）绩效评价工作过程</w:t>
      </w:r>
      <w:bookmarkEnd w:id="55"/>
      <w:bookmarkEnd w:id="56"/>
      <w:bookmarkEnd w:id="57"/>
    </w:p>
    <w:p>
      <w:pPr>
        <w:spacing w:line="360" w:lineRule="auto"/>
        <w:ind w:firstLine="640" w:firstLineChars="200"/>
        <w:outlineLvl w:val="2"/>
        <w:rPr>
          <w:rFonts w:ascii="Times New Roman" w:hAnsi="Times New Roman" w:eastAsia="仿宋_GB2312" w:cs="仿宋_GB2312"/>
          <w:sz w:val="32"/>
          <w:szCs w:val="32"/>
        </w:rPr>
      </w:pPr>
      <w:bookmarkStart w:id="58" w:name="_Toc66801458"/>
      <w:bookmarkStart w:id="59" w:name="_Toc65847368"/>
      <w:bookmarkStart w:id="60" w:name="_Toc92287209"/>
      <w:r>
        <w:rPr>
          <w:rFonts w:hint="eastAsia" w:ascii="Times New Roman" w:hAnsi="Times New Roman" w:eastAsia="仿宋_GB2312" w:cs="仿宋_GB2312"/>
          <w:sz w:val="32"/>
          <w:szCs w:val="32"/>
        </w:rPr>
        <w:t>1.评价工作准备阶段</w:t>
      </w:r>
      <w:bookmarkEnd w:id="58"/>
      <w:bookmarkEnd w:id="59"/>
      <w:bookmarkEnd w:id="60"/>
    </w:p>
    <w:p>
      <w:pPr>
        <w:spacing w:line="360" w:lineRule="auto"/>
        <w:ind w:firstLine="640" w:firstLineChars="200"/>
        <w:rPr>
          <w:rFonts w:ascii="Times New Roman" w:hAnsi="Times New Roman" w:eastAsia="仿宋_GB2312" w:cs="仿宋_GB2312"/>
          <w:sz w:val="32"/>
          <w:szCs w:val="32"/>
        </w:rPr>
      </w:pPr>
      <w:bookmarkStart w:id="61" w:name="_Hlk90830472"/>
      <w:r>
        <w:rPr>
          <w:rFonts w:hint="eastAsia" w:ascii="Times New Roman" w:hAnsi="Times New Roman" w:eastAsia="仿宋_GB2312" w:cs="仿宋_GB2312"/>
          <w:sz w:val="32"/>
          <w:szCs w:val="32"/>
        </w:rPr>
        <w:t>2021年</w:t>
      </w:r>
      <w:r>
        <w:rPr>
          <w:rFonts w:ascii="Times New Roman" w:hAnsi="Times New Roman" w:eastAsia="仿宋_GB2312" w:cs="仿宋_GB2312"/>
          <w:sz w:val="32"/>
          <w:szCs w:val="32"/>
        </w:rPr>
        <w:t>12</w:t>
      </w:r>
      <w:r>
        <w:rPr>
          <w:rFonts w:hint="eastAsia" w:ascii="Times New Roman" w:hAnsi="Times New Roman" w:eastAsia="仿宋_GB2312" w:cs="仿宋_GB2312"/>
          <w:sz w:val="32"/>
          <w:szCs w:val="32"/>
        </w:rPr>
        <w:t>月，绩效评价组赴东丽区文化旅游体育局，了解本项目的资金落实、业务管理、财务管理、项目产出、项目效益等方面的情况介绍，介绍了基层公共文化服务补助资金项目绩效评价工作的基本原则，对需配合单位及所需各类资料文件提出了要求。</w:t>
      </w:r>
    </w:p>
    <w:bookmarkEnd w:id="61"/>
    <w:p>
      <w:pPr>
        <w:spacing w:line="360" w:lineRule="auto"/>
        <w:ind w:firstLine="640" w:firstLineChars="200"/>
        <w:outlineLvl w:val="2"/>
        <w:rPr>
          <w:rFonts w:ascii="Times New Roman" w:hAnsi="Times New Roman" w:eastAsia="仿宋_GB2312" w:cs="仿宋_GB2312"/>
          <w:sz w:val="32"/>
          <w:szCs w:val="32"/>
        </w:rPr>
      </w:pPr>
      <w:bookmarkStart w:id="62" w:name="_Toc92287210"/>
      <w:bookmarkStart w:id="63" w:name="_Toc65847369"/>
      <w:bookmarkStart w:id="64" w:name="_Toc66801459"/>
      <w:r>
        <w:rPr>
          <w:rFonts w:hint="eastAsia" w:ascii="Times New Roman" w:hAnsi="Times New Roman" w:eastAsia="仿宋_GB2312" w:cs="仿宋_GB2312"/>
          <w:sz w:val="32"/>
          <w:szCs w:val="32"/>
        </w:rPr>
        <w:t>2.评价工作实施阶段</w:t>
      </w:r>
      <w:bookmarkEnd w:id="62"/>
      <w:bookmarkEnd w:id="63"/>
      <w:bookmarkEnd w:id="64"/>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进驻东丽区文化旅游体育局进行沟通，收集项目基础资料，进行现场调研，开展绩效评价工作。绩效评价组编制评价工作实施方案，拟定需提交材料提纲，并向被评价单位发送资料清单。评价过程中，绩效评价组对基层公共文化服务补助资金项目的立项、资金投入、资金管理、组织实施、产出数量、产出质量、产出时效、产出成本情况进行了全面梳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绩效评价组根据《项目支出绩效目标完成情况自评表》及《项目支出绩效目标表》的内容，确定了基层公共文化服务补助资金项目政策方向及效果目标。</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绩效评价组进驻后现场实际查阅的基层公共文化服务补助资金项目专项经费使用情况，对项目立项情况、专项经费到位情况、专项经费支出范围和规范性完成情况进行了核查。</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绩效评价组实地核查了基层公共文化服务补助资金项目的建设开展情况及取得效益的实际情况，并通过现场实际勘察，形成相关意见。</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依据绩效评价指标体系针对基层公共文化服务补助资金项目编制了工作底稿，对绩效考核分项表及绩效考核汇总表进行评分，拟定绩效评价报告，全面梳理项目取得的成效，并针对存在问题提出工作整改建议。</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65" w:name="_Toc66801460"/>
      <w:bookmarkStart w:id="66" w:name="_Toc92287211"/>
      <w:r>
        <w:rPr>
          <w:rFonts w:hint="eastAsia" w:ascii="Times New Roman" w:hAnsi="黑体" w:eastAsia="黑体" w:cs="黑体"/>
          <w:sz w:val="32"/>
          <w:szCs w:val="32"/>
        </w:rPr>
        <w:t>三、综合评价情况及评价结论</w:t>
      </w:r>
      <w:bookmarkEnd w:id="65"/>
      <w:bookmarkEnd w:id="66"/>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经综合评价，基层公共文化服务补助资金项目得分94.69分，绩效级别为“优”。项目决策得分为</w:t>
      </w:r>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4分、过程得分为20.84分、产出得分为39.85分、效益得分为20分。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具体情况见表</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w:t>
      </w:r>
    </w:p>
    <w:p>
      <w:pPr>
        <w:spacing w:line="360" w:lineRule="auto"/>
        <w:jc w:val="center"/>
        <w:rPr>
          <w:rFonts w:ascii="Times New Roman" w:hAnsi="Times New Roman" w:eastAsia="仿宋_GB2312" w:cs="Times New Roman"/>
          <w:b/>
          <w:bCs/>
          <w:sz w:val="24"/>
          <w:szCs w:val="24"/>
        </w:rPr>
      </w:pPr>
      <w:r>
        <w:rPr>
          <w:rFonts w:ascii="Times New Roman" w:hAnsi="Times New Roman" w:eastAsia="仿宋_GB2312" w:cs="Times New Roman"/>
          <w:b/>
          <w:bCs/>
          <w:sz w:val="24"/>
          <w:szCs w:val="24"/>
        </w:rPr>
        <w:t xml:space="preserve">表2  </w:t>
      </w:r>
      <w:r>
        <w:rPr>
          <w:rFonts w:hint="eastAsia" w:ascii="Times New Roman" w:hAnsi="Times New Roman" w:eastAsia="仿宋_GB2312" w:cs="Times New Roman"/>
          <w:b/>
          <w:bCs/>
          <w:sz w:val="24"/>
          <w:szCs w:val="24"/>
        </w:rPr>
        <w:t>基层公共文化服务补助资金项目</w:t>
      </w:r>
      <w:r>
        <w:rPr>
          <w:rFonts w:ascii="Times New Roman" w:hAnsi="Times New Roman" w:eastAsia="仿宋_GB2312" w:cs="Times New Roman"/>
          <w:b/>
          <w:bCs/>
          <w:sz w:val="24"/>
          <w:szCs w:val="24"/>
        </w:rPr>
        <w:t>绩效得分情况表</w:t>
      </w:r>
    </w:p>
    <w:p>
      <w:pPr>
        <w:spacing w:line="360" w:lineRule="auto"/>
        <w:jc w:val="right"/>
        <w:rPr>
          <w:rFonts w:ascii="Times New Roman" w:hAnsi="Times New Roman" w:eastAsia="仿宋_GB2312" w:cs="Times New Roman"/>
          <w:b/>
          <w:bCs/>
          <w:sz w:val="24"/>
          <w:szCs w:val="24"/>
        </w:rPr>
      </w:pPr>
      <w:r>
        <w:rPr>
          <w:rFonts w:ascii="Times New Roman" w:hAnsi="Times New Roman" w:eastAsia="仿宋_GB2312" w:cs="Times New Roman"/>
          <w:b/>
          <w:bCs/>
          <w:sz w:val="24"/>
          <w:szCs w:val="24"/>
        </w:rPr>
        <w:t>单位：分值</w:t>
      </w:r>
    </w:p>
    <w:tbl>
      <w:tblPr>
        <w:tblStyle w:val="1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24"/>
        <w:gridCol w:w="1519"/>
        <w:gridCol w:w="1519"/>
        <w:gridCol w:w="1519"/>
        <w:gridCol w:w="1519"/>
        <w:gridCol w:w="12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9" w:type="pct"/>
            <w:shd w:val="clear" w:color="auto" w:fill="auto"/>
            <w:vAlign w:val="center"/>
          </w:tcPr>
          <w:p>
            <w:pPr>
              <w:adjustRightInd w:val="0"/>
              <w:snapToGrid w:val="0"/>
              <w:jc w:val="center"/>
              <w:rPr>
                <w:rFonts w:ascii="仿宋_GB2312" w:hAnsi="Times New Roman" w:eastAsia="仿宋_GB2312" w:cs="Times New Roman"/>
                <w:b/>
                <w:kern w:val="0"/>
                <w:sz w:val="20"/>
                <w:szCs w:val="21"/>
              </w:rPr>
            </w:pPr>
            <w:r>
              <w:rPr>
                <w:rFonts w:hint="eastAsia" w:ascii="仿宋_GB2312" w:hAnsi="Times New Roman" w:eastAsia="仿宋_GB2312" w:cs="Times New Roman"/>
                <w:b/>
                <w:kern w:val="0"/>
                <w:sz w:val="20"/>
                <w:szCs w:val="21"/>
              </w:rPr>
              <w:t>指标</w:t>
            </w:r>
          </w:p>
        </w:tc>
        <w:tc>
          <w:tcPr>
            <w:tcW w:w="891" w:type="pct"/>
            <w:shd w:val="clear" w:color="auto" w:fill="auto"/>
            <w:vAlign w:val="center"/>
          </w:tcPr>
          <w:p>
            <w:pPr>
              <w:adjustRightInd w:val="0"/>
              <w:snapToGrid w:val="0"/>
              <w:jc w:val="center"/>
              <w:rPr>
                <w:rFonts w:ascii="仿宋_GB2312" w:hAnsi="Times New Roman" w:eastAsia="仿宋_GB2312" w:cs="Times New Roman"/>
                <w:b/>
                <w:kern w:val="0"/>
                <w:sz w:val="20"/>
                <w:szCs w:val="21"/>
              </w:rPr>
            </w:pPr>
            <w:r>
              <w:rPr>
                <w:rFonts w:hint="eastAsia" w:ascii="仿宋_GB2312" w:hAnsi="Times New Roman" w:eastAsia="仿宋_GB2312" w:cs="Times New Roman"/>
                <w:b/>
                <w:kern w:val="0"/>
                <w:sz w:val="20"/>
                <w:szCs w:val="21"/>
              </w:rPr>
              <w:t>项目决策</w:t>
            </w:r>
          </w:p>
        </w:tc>
        <w:tc>
          <w:tcPr>
            <w:tcW w:w="891" w:type="pct"/>
            <w:shd w:val="clear" w:color="auto" w:fill="auto"/>
            <w:vAlign w:val="center"/>
          </w:tcPr>
          <w:p>
            <w:pPr>
              <w:adjustRightInd w:val="0"/>
              <w:snapToGrid w:val="0"/>
              <w:jc w:val="center"/>
              <w:rPr>
                <w:rFonts w:ascii="仿宋_GB2312" w:hAnsi="Times New Roman" w:eastAsia="仿宋_GB2312" w:cs="Times New Roman"/>
                <w:b/>
                <w:kern w:val="0"/>
                <w:sz w:val="20"/>
                <w:szCs w:val="21"/>
              </w:rPr>
            </w:pPr>
            <w:r>
              <w:rPr>
                <w:rFonts w:hint="eastAsia" w:ascii="仿宋_GB2312" w:hAnsi="Times New Roman" w:eastAsia="仿宋_GB2312" w:cs="Times New Roman"/>
                <w:b/>
                <w:kern w:val="0"/>
                <w:sz w:val="20"/>
                <w:szCs w:val="21"/>
              </w:rPr>
              <w:t>项目过程</w:t>
            </w:r>
          </w:p>
        </w:tc>
        <w:tc>
          <w:tcPr>
            <w:tcW w:w="891" w:type="pct"/>
            <w:shd w:val="clear" w:color="auto" w:fill="auto"/>
            <w:vAlign w:val="center"/>
          </w:tcPr>
          <w:p>
            <w:pPr>
              <w:adjustRightInd w:val="0"/>
              <w:snapToGrid w:val="0"/>
              <w:jc w:val="center"/>
              <w:rPr>
                <w:rFonts w:ascii="仿宋_GB2312" w:hAnsi="Times New Roman" w:eastAsia="仿宋_GB2312" w:cs="Times New Roman"/>
                <w:b/>
                <w:kern w:val="0"/>
                <w:sz w:val="20"/>
                <w:szCs w:val="21"/>
              </w:rPr>
            </w:pPr>
            <w:r>
              <w:rPr>
                <w:rFonts w:hint="eastAsia" w:ascii="仿宋_GB2312" w:hAnsi="Times New Roman" w:eastAsia="仿宋_GB2312" w:cs="Times New Roman"/>
                <w:b/>
                <w:kern w:val="0"/>
                <w:sz w:val="20"/>
                <w:szCs w:val="21"/>
              </w:rPr>
              <w:t>项目产出</w:t>
            </w:r>
          </w:p>
        </w:tc>
        <w:tc>
          <w:tcPr>
            <w:tcW w:w="891" w:type="pct"/>
            <w:shd w:val="clear" w:color="auto" w:fill="auto"/>
            <w:vAlign w:val="center"/>
          </w:tcPr>
          <w:p>
            <w:pPr>
              <w:adjustRightInd w:val="0"/>
              <w:snapToGrid w:val="0"/>
              <w:jc w:val="center"/>
              <w:rPr>
                <w:rFonts w:ascii="仿宋_GB2312" w:hAnsi="Times New Roman" w:eastAsia="仿宋_GB2312" w:cs="Times New Roman"/>
                <w:b/>
                <w:kern w:val="0"/>
                <w:sz w:val="20"/>
                <w:szCs w:val="21"/>
              </w:rPr>
            </w:pPr>
            <w:r>
              <w:rPr>
                <w:rFonts w:hint="eastAsia" w:ascii="仿宋_GB2312" w:hAnsi="Times New Roman" w:eastAsia="仿宋_GB2312" w:cs="Times New Roman"/>
                <w:b/>
                <w:kern w:val="0"/>
                <w:sz w:val="20"/>
                <w:szCs w:val="21"/>
              </w:rPr>
              <w:t>项目效益</w:t>
            </w:r>
          </w:p>
        </w:tc>
        <w:tc>
          <w:tcPr>
            <w:tcW w:w="717" w:type="pct"/>
            <w:shd w:val="clear" w:color="auto" w:fill="auto"/>
            <w:vAlign w:val="center"/>
          </w:tcPr>
          <w:p>
            <w:pPr>
              <w:adjustRightInd w:val="0"/>
              <w:snapToGrid w:val="0"/>
              <w:jc w:val="center"/>
              <w:rPr>
                <w:rFonts w:ascii="仿宋_GB2312" w:hAnsi="Times New Roman" w:eastAsia="仿宋_GB2312" w:cs="Times New Roman"/>
                <w:b/>
                <w:kern w:val="0"/>
                <w:sz w:val="20"/>
                <w:szCs w:val="21"/>
              </w:rPr>
            </w:pPr>
            <w:r>
              <w:rPr>
                <w:rFonts w:hint="eastAsia" w:ascii="仿宋_GB2312" w:hAnsi="Times New Roman" w:eastAsia="仿宋_GB2312" w:cs="Times New Roman"/>
                <w:b/>
                <w:kern w:val="0"/>
                <w:sz w:val="20"/>
                <w:szCs w:val="21"/>
              </w:rPr>
              <w:t>合计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9" w:type="pct"/>
            <w:shd w:val="clear" w:color="auto" w:fill="auto"/>
            <w:vAlign w:val="center"/>
          </w:tcPr>
          <w:p>
            <w:pPr>
              <w:adjustRightInd w:val="0"/>
              <w:snapToGrid w:val="0"/>
              <w:jc w:val="center"/>
              <w:rPr>
                <w:rFonts w:ascii="仿宋_GB2312" w:hAnsi="Times New Roman" w:eastAsia="仿宋_GB2312" w:cs="Times New Roman"/>
                <w:bCs/>
                <w:kern w:val="0"/>
                <w:sz w:val="20"/>
                <w:szCs w:val="21"/>
              </w:rPr>
            </w:pPr>
            <w:r>
              <w:rPr>
                <w:rFonts w:hint="eastAsia" w:ascii="仿宋_GB2312" w:hAnsi="Times New Roman" w:eastAsia="仿宋_GB2312" w:cs="Times New Roman"/>
                <w:bCs/>
                <w:kern w:val="0"/>
                <w:sz w:val="20"/>
                <w:szCs w:val="21"/>
              </w:rPr>
              <w:t>分值</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ascii="Times New Roman" w:hAnsi="Times New Roman" w:eastAsia="仿宋_GB2312" w:cs="Times New Roman"/>
                <w:bCs/>
                <w:kern w:val="0"/>
                <w:sz w:val="20"/>
                <w:szCs w:val="21"/>
              </w:rPr>
              <w:t>17</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ascii="Times New Roman" w:hAnsi="Times New Roman" w:eastAsia="仿宋_GB2312" w:cs="Times New Roman"/>
                <w:bCs/>
                <w:kern w:val="0"/>
                <w:sz w:val="20"/>
                <w:szCs w:val="21"/>
              </w:rPr>
              <w:t>23</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ascii="Times New Roman" w:hAnsi="Times New Roman" w:eastAsia="仿宋_GB2312" w:cs="Times New Roman"/>
                <w:bCs/>
                <w:kern w:val="0"/>
                <w:sz w:val="20"/>
                <w:szCs w:val="21"/>
              </w:rPr>
              <w:t>40</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ascii="Times New Roman" w:hAnsi="Times New Roman" w:eastAsia="仿宋_GB2312" w:cs="Times New Roman"/>
                <w:bCs/>
                <w:kern w:val="0"/>
                <w:sz w:val="20"/>
                <w:szCs w:val="21"/>
              </w:rPr>
              <w:t>20</w:t>
            </w:r>
          </w:p>
        </w:tc>
        <w:tc>
          <w:tcPr>
            <w:tcW w:w="717"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ascii="Times New Roman" w:hAnsi="Times New Roman" w:eastAsia="仿宋_GB2312" w:cs="Times New Roman"/>
                <w:bCs/>
                <w:kern w:val="0"/>
                <w:sz w:val="20"/>
                <w:szCs w:val="21"/>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9" w:type="pct"/>
            <w:shd w:val="clear" w:color="auto" w:fill="auto"/>
            <w:vAlign w:val="center"/>
          </w:tcPr>
          <w:p>
            <w:pPr>
              <w:adjustRightInd w:val="0"/>
              <w:snapToGrid w:val="0"/>
              <w:jc w:val="center"/>
              <w:rPr>
                <w:rFonts w:ascii="仿宋_GB2312" w:hAnsi="Times New Roman" w:eastAsia="仿宋_GB2312" w:cs="Times New Roman"/>
                <w:bCs/>
                <w:kern w:val="0"/>
                <w:sz w:val="20"/>
                <w:szCs w:val="21"/>
              </w:rPr>
            </w:pPr>
            <w:r>
              <w:rPr>
                <w:rFonts w:hint="eastAsia" w:ascii="仿宋_GB2312" w:hAnsi="Times New Roman" w:eastAsia="仿宋_GB2312" w:cs="Times New Roman"/>
                <w:bCs/>
                <w:kern w:val="0"/>
                <w:sz w:val="20"/>
                <w:szCs w:val="21"/>
              </w:rPr>
              <w:t>得分</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hint="eastAsia" w:ascii="Times New Roman" w:hAnsi="Times New Roman" w:cs="Times New Roman"/>
                <w:color w:val="000000"/>
                <w:kern w:val="0"/>
                <w:sz w:val="20"/>
                <w:szCs w:val="20"/>
              </w:rPr>
              <w:t>14</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hint="eastAsia" w:ascii="Times New Roman" w:hAnsi="Times New Roman" w:cs="Times New Roman"/>
                <w:color w:val="000000"/>
                <w:kern w:val="0"/>
                <w:sz w:val="20"/>
                <w:szCs w:val="20"/>
              </w:rPr>
              <w:t>20.84</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ascii="Times New Roman" w:hAnsi="Times New Roman" w:cs="Times New Roman"/>
                <w:color w:val="000000"/>
                <w:kern w:val="0"/>
                <w:sz w:val="20"/>
                <w:szCs w:val="20"/>
              </w:rPr>
              <w:t>3</w:t>
            </w:r>
            <w:r>
              <w:rPr>
                <w:rFonts w:hint="eastAsia" w:ascii="Times New Roman" w:hAnsi="Times New Roman" w:cs="Times New Roman"/>
                <w:color w:val="000000"/>
                <w:kern w:val="0"/>
                <w:sz w:val="20"/>
                <w:szCs w:val="20"/>
              </w:rPr>
              <w:t>9.85</w:t>
            </w:r>
          </w:p>
        </w:tc>
        <w:tc>
          <w:tcPr>
            <w:tcW w:w="891" w:type="pct"/>
            <w:shd w:val="clear" w:color="auto" w:fill="auto"/>
            <w:vAlign w:val="center"/>
          </w:tcPr>
          <w:p>
            <w:pPr>
              <w:adjustRightInd w:val="0"/>
              <w:snapToGrid w:val="0"/>
              <w:jc w:val="center"/>
              <w:rPr>
                <w:rFonts w:ascii="Times New Roman" w:hAnsi="Times New Roman" w:cs="Times New Roman"/>
                <w:color w:val="000000"/>
                <w:kern w:val="0"/>
                <w:sz w:val="20"/>
                <w:szCs w:val="20"/>
              </w:rPr>
            </w:pPr>
            <w:r>
              <w:rPr>
                <w:rFonts w:hint="eastAsia" w:ascii="Times New Roman" w:hAnsi="Times New Roman" w:cs="Times New Roman"/>
                <w:color w:val="000000"/>
                <w:kern w:val="0"/>
                <w:sz w:val="20"/>
                <w:szCs w:val="20"/>
              </w:rPr>
              <w:t>20</w:t>
            </w:r>
          </w:p>
        </w:tc>
        <w:tc>
          <w:tcPr>
            <w:tcW w:w="717"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hint="eastAsia" w:ascii="Times New Roman" w:hAnsi="Times New Roman" w:cs="Times New Roman"/>
                <w:color w:val="000000"/>
                <w:kern w:val="0"/>
                <w:sz w:val="20"/>
                <w:szCs w:val="20"/>
              </w:rPr>
              <w:t>94.69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9" w:type="pct"/>
            <w:shd w:val="clear" w:color="auto" w:fill="auto"/>
            <w:vAlign w:val="center"/>
          </w:tcPr>
          <w:p>
            <w:pPr>
              <w:adjustRightInd w:val="0"/>
              <w:snapToGrid w:val="0"/>
              <w:jc w:val="center"/>
              <w:rPr>
                <w:rFonts w:ascii="仿宋_GB2312" w:hAnsi="Times New Roman" w:eastAsia="仿宋_GB2312" w:cs="Times New Roman"/>
                <w:bCs/>
                <w:kern w:val="0"/>
                <w:sz w:val="20"/>
                <w:szCs w:val="21"/>
              </w:rPr>
            </w:pPr>
            <w:r>
              <w:rPr>
                <w:rFonts w:hint="eastAsia" w:ascii="仿宋_GB2312" w:hAnsi="Times New Roman" w:eastAsia="仿宋_GB2312" w:cs="Times New Roman"/>
                <w:bCs/>
                <w:kern w:val="0"/>
                <w:sz w:val="20"/>
                <w:szCs w:val="21"/>
              </w:rPr>
              <w:t>得分率</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hint="eastAsia" w:ascii="Times New Roman" w:hAnsi="Times New Roman" w:cs="Times New Roman"/>
                <w:color w:val="000000"/>
                <w:kern w:val="0"/>
                <w:sz w:val="20"/>
                <w:szCs w:val="20"/>
              </w:rPr>
              <w:t>82.35</w:t>
            </w:r>
            <w:r>
              <w:rPr>
                <w:rFonts w:ascii="Times New Roman" w:hAnsi="Times New Roman" w:cs="Times New Roman"/>
                <w:color w:val="000000"/>
                <w:kern w:val="0"/>
                <w:sz w:val="20"/>
                <w:szCs w:val="20"/>
              </w:rPr>
              <w:t>%</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hint="eastAsia" w:ascii="Times New Roman" w:hAnsi="Times New Roman" w:cs="Times New Roman"/>
                <w:color w:val="000000"/>
                <w:kern w:val="0"/>
                <w:sz w:val="20"/>
                <w:szCs w:val="20"/>
              </w:rPr>
              <w:t>90.61</w:t>
            </w:r>
            <w:r>
              <w:rPr>
                <w:rFonts w:ascii="Times New Roman" w:hAnsi="Times New Roman" w:cs="Times New Roman"/>
                <w:color w:val="000000"/>
                <w:kern w:val="0"/>
                <w:sz w:val="20"/>
                <w:szCs w:val="20"/>
              </w:rPr>
              <w:t>%</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hint="eastAsia" w:ascii="Times New Roman" w:hAnsi="Times New Roman" w:cs="Times New Roman"/>
                <w:color w:val="000000"/>
                <w:kern w:val="0"/>
                <w:sz w:val="20"/>
                <w:szCs w:val="20"/>
              </w:rPr>
              <w:t>99</w:t>
            </w:r>
            <w:r>
              <w:rPr>
                <w:rFonts w:ascii="Times New Roman" w:hAnsi="Times New Roman" w:cs="Times New Roman"/>
                <w:color w:val="000000"/>
                <w:kern w:val="0"/>
                <w:sz w:val="20"/>
                <w:szCs w:val="20"/>
              </w:rPr>
              <w:t>.</w:t>
            </w:r>
            <w:r>
              <w:rPr>
                <w:rFonts w:hint="eastAsia" w:ascii="Times New Roman" w:hAnsi="Times New Roman" w:cs="Times New Roman"/>
                <w:color w:val="000000"/>
                <w:kern w:val="0"/>
                <w:sz w:val="20"/>
                <w:szCs w:val="20"/>
              </w:rPr>
              <w:t>63</w:t>
            </w:r>
            <w:r>
              <w:rPr>
                <w:rFonts w:ascii="Times New Roman" w:hAnsi="Times New Roman" w:cs="Times New Roman"/>
                <w:color w:val="000000"/>
                <w:kern w:val="0"/>
                <w:sz w:val="20"/>
                <w:szCs w:val="20"/>
              </w:rPr>
              <w:t>%</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hint="eastAsia" w:ascii="Times New Roman" w:hAnsi="Times New Roman" w:cs="Times New Roman"/>
                <w:color w:val="000000"/>
                <w:kern w:val="0"/>
                <w:sz w:val="20"/>
                <w:szCs w:val="20"/>
              </w:rPr>
              <w:t>100</w:t>
            </w:r>
            <w:r>
              <w:rPr>
                <w:rFonts w:ascii="Times New Roman" w:hAnsi="Times New Roman" w:cs="Times New Roman"/>
                <w:color w:val="000000"/>
                <w:kern w:val="0"/>
                <w:sz w:val="20"/>
                <w:szCs w:val="20"/>
              </w:rPr>
              <w:t>.00%</w:t>
            </w:r>
          </w:p>
        </w:tc>
        <w:tc>
          <w:tcPr>
            <w:tcW w:w="717" w:type="pct"/>
            <w:shd w:val="clear" w:color="auto" w:fill="auto"/>
            <w:vAlign w:val="center"/>
          </w:tcPr>
          <w:p>
            <w:pPr>
              <w:adjustRightInd w:val="0"/>
              <w:snapToGrid w:val="0"/>
              <w:jc w:val="center"/>
              <w:rPr>
                <w:rFonts w:ascii="Times New Roman" w:hAnsi="Times New Roman" w:eastAsia="仿宋_GB2312" w:cs="Times New Roman"/>
                <w:bCs/>
                <w:kern w:val="0"/>
                <w:sz w:val="20"/>
                <w:szCs w:val="21"/>
              </w:rPr>
            </w:pPr>
            <w:r>
              <w:rPr>
                <w:rFonts w:hint="eastAsia" w:ascii="Times New Roman" w:hAnsi="Times New Roman" w:cs="Times New Roman"/>
                <w:color w:val="000000"/>
                <w:kern w:val="0"/>
                <w:sz w:val="20"/>
                <w:szCs w:val="20"/>
              </w:rPr>
              <w:t>94.69</w:t>
            </w:r>
            <w:r>
              <w:rPr>
                <w:rFonts w:ascii="Times New Roman" w:hAnsi="Times New Roman" w:cs="Times New Roman"/>
                <w:color w:val="000000"/>
                <w:kern w:val="0"/>
                <w:sz w:val="20"/>
                <w:szCs w:val="20"/>
              </w:rPr>
              <w:t>%</w:t>
            </w:r>
          </w:p>
        </w:tc>
      </w:tr>
    </w:tbl>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评价结论：本项目决策依据较规范，政策落实到位，资金使用流程比较规范，项目产出目标完成，但在绩效指标制定、预算编制、资金到位及时性、制度执行有效性方面还需要进一步提升。</w:t>
      </w:r>
      <w:bookmarkStart w:id="67" w:name="_Toc66801461"/>
    </w:p>
    <w:p>
      <w:pPr>
        <w:spacing w:line="360" w:lineRule="auto"/>
        <w:ind w:firstLine="640" w:firstLineChars="200"/>
        <w:rPr>
          <w:rFonts w:ascii="Times New Roman" w:hAnsi="黑体" w:eastAsia="黑体" w:cs="黑体"/>
          <w:sz w:val="32"/>
          <w:szCs w:val="32"/>
        </w:rPr>
      </w:pPr>
      <w:r>
        <w:rPr>
          <w:rFonts w:hint="eastAsia" w:ascii="Times New Roman" w:hAnsi="黑体" w:eastAsia="黑体" w:cs="黑体"/>
          <w:sz w:val="32"/>
          <w:szCs w:val="32"/>
        </w:rPr>
        <w:t>四、绩效评价指标分析</w:t>
      </w:r>
      <w:bookmarkEnd w:id="67"/>
    </w:p>
    <w:p>
      <w:pPr>
        <w:spacing w:line="360" w:lineRule="auto"/>
        <w:ind w:firstLine="640" w:firstLineChars="200"/>
        <w:outlineLvl w:val="1"/>
        <w:rPr>
          <w:rFonts w:ascii="楷体_GB2312" w:hAnsi="Times New Roman" w:eastAsia="楷体_GB2312" w:cs="仿宋_GB2312"/>
          <w:sz w:val="32"/>
          <w:szCs w:val="32"/>
        </w:rPr>
      </w:pPr>
      <w:bookmarkStart w:id="68" w:name="_Toc66801462"/>
      <w:bookmarkStart w:id="69" w:name="_Toc92287212"/>
      <w:r>
        <w:rPr>
          <w:rFonts w:hint="eastAsia" w:ascii="楷体_GB2312" w:hAnsi="Times New Roman" w:eastAsia="楷体_GB2312" w:cs="仿宋_GB2312"/>
          <w:sz w:val="32"/>
          <w:szCs w:val="32"/>
        </w:rPr>
        <w:t>（一）项目决策情况</w:t>
      </w:r>
      <w:bookmarkEnd w:id="68"/>
      <w:bookmarkEnd w:id="69"/>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决策指标主要包括项目立项、绩效目标、资金投入3项二级指标，6项三级指标，基础总分17分，合计得分</w:t>
      </w:r>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4分。</w:t>
      </w:r>
    </w:p>
    <w:p>
      <w:pPr>
        <w:spacing w:line="360" w:lineRule="auto"/>
        <w:ind w:firstLine="640" w:firstLineChars="200"/>
        <w:outlineLvl w:val="2"/>
        <w:rPr>
          <w:rFonts w:ascii="Times New Roman" w:hAnsi="Times New Roman" w:eastAsia="仿宋_GB2312" w:cs="仿宋_GB2312"/>
          <w:sz w:val="32"/>
          <w:szCs w:val="32"/>
        </w:rPr>
      </w:pPr>
      <w:bookmarkStart w:id="70" w:name="_Toc92287213"/>
      <w:bookmarkStart w:id="71" w:name="_Toc66801463"/>
      <w:r>
        <w:rPr>
          <w:rFonts w:hint="eastAsia" w:ascii="Times New Roman" w:hAnsi="Times New Roman" w:eastAsia="仿宋_GB2312" w:cs="仿宋_GB2312"/>
          <w:sz w:val="32"/>
          <w:szCs w:val="32"/>
        </w:rPr>
        <w:t>1.项目立项</w:t>
      </w:r>
      <w:bookmarkEnd w:id="70"/>
      <w:bookmarkEnd w:id="71"/>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（1）立项依据充分性（总分2分，得分</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根据《中共天津市委办公厅、天津市人民政府办公厅关于加快构建现代公共文化服务体系的实施意见》</w:t>
      </w:r>
      <w:r>
        <w:rPr>
          <w:rFonts w:ascii="Times New Roman" w:hAnsi="Times New Roman" w:eastAsia="仿宋_GB2312" w:cs="仿宋_GB2312"/>
          <w:sz w:val="32"/>
          <w:szCs w:val="32"/>
        </w:rPr>
        <w:t>(津党厅发(2015) 35号)、《市财政局、市文化广播影视局、市文物局、市新闻出版局、市体育局关于印发天津市基层公共文化服务体系建设专项资金管理暂行办法的通知》(津财教(2015) 59号)、《东丽区人民政府办公室关于印发文化发展专项资金管理暂行办法的通知》(东丽政办(2017)4号)、《东丽区聘用文化管理员岗位实施方案》等文件精神，对基层公共文化发展给予资金补贴。符合国家法律法规、国民经济发展规划和相关政策，与部门</w:t>
      </w:r>
      <w:r>
        <w:rPr>
          <w:rFonts w:hint="eastAsia" w:ascii="Times New Roman" w:hAnsi="Times New Roman" w:eastAsia="仿宋_GB2312" w:cs="仿宋_GB2312"/>
          <w:sz w:val="32"/>
          <w:szCs w:val="32"/>
        </w:rPr>
        <w:t>职责范围相符，属于部门履职所需，属于公共财政支持范围，立项依据比较充分。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（2）立项程序规范性（总分2分，得分1分）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立项程序较为规范。但是，因《中共天津市委办公厅、天津市人民政府办公厅关于加快构建现代公共文化服务体系的实施意见》</w:t>
      </w:r>
      <w:r>
        <w:rPr>
          <w:rFonts w:ascii="Times New Roman" w:hAnsi="Times New Roman" w:eastAsia="仿宋_GB2312" w:cs="仿宋_GB2312"/>
          <w:sz w:val="32"/>
          <w:szCs w:val="32"/>
        </w:rPr>
        <w:t>(津党厅发(2015) 35号)、《市财政局、市文化广播影视局、市文物局、市新闻出版局、市体育局关于印发天津市基层公共文化服务体系建设专项资金管理暂行办法的通知》(津财教(2015) 59号)、《东丽区人民政府办公室关于印发文化发展专项资金管理暂行办法的通知》(东丽政办(2017)5号)、《东丽区聘用文化管理员岗位实施方案》等文件为下发文件，</w:t>
      </w:r>
      <w:r>
        <w:rPr>
          <w:rFonts w:hint="eastAsia" w:ascii="Times New Roman" w:hAnsi="Times New Roman" w:eastAsia="仿宋_GB2312" w:cs="仿宋_GB2312"/>
          <w:sz w:val="32"/>
          <w:szCs w:val="32"/>
        </w:rPr>
        <w:t>无申请批复流程。</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该指标得分为1分。</w:t>
      </w:r>
    </w:p>
    <w:p>
      <w:pPr>
        <w:spacing w:line="360" w:lineRule="auto"/>
        <w:ind w:firstLine="640" w:firstLineChars="200"/>
        <w:outlineLvl w:val="2"/>
        <w:rPr>
          <w:rFonts w:ascii="Times New Roman" w:hAnsi="Times New Roman" w:eastAsia="仿宋_GB2312" w:cs="仿宋_GB2312"/>
          <w:sz w:val="32"/>
          <w:szCs w:val="32"/>
        </w:rPr>
      </w:pPr>
      <w:bookmarkStart w:id="72" w:name="_Toc66801464"/>
      <w:bookmarkStart w:id="73" w:name="_Toc92287214"/>
      <w:r>
        <w:rPr>
          <w:rFonts w:hint="eastAsia" w:ascii="Times New Roman" w:hAnsi="Times New Roman" w:eastAsia="仿宋_GB2312" w:cs="仿宋_GB2312"/>
          <w:sz w:val="32"/>
          <w:szCs w:val="32"/>
        </w:rPr>
        <w:t>2.绩效目标</w:t>
      </w:r>
      <w:bookmarkEnd w:id="72"/>
      <w:bookmarkEnd w:id="73"/>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（1）绩效目标合理性（总分4分，得分3分）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依据《项目支出绩效目标表》，项目绩效目标与实际工作具有相关性，预期产出与效果内容比较合理，与预算的资金量比较匹配，较为合理。但是，本项目绩效目标质量指标与社会效益指标内容重复。</w:t>
      </w:r>
    </w:p>
    <w:p>
      <w:pPr>
        <w:spacing w:line="360" w:lineRule="auto"/>
        <w:ind w:firstLine="640" w:firstLineChars="200"/>
        <w:rPr>
          <w:rFonts w:ascii="Times New Roman" w:hAnsi="Times New Roman" w:eastAsia="仿宋_GB2312" w:cs="仿宋_GB2312"/>
          <w:color w:val="FF0000"/>
          <w:sz w:val="32"/>
          <w:szCs w:val="32"/>
        </w:rPr>
      </w:pPr>
      <w:r>
        <w:rPr>
          <w:rFonts w:hint="eastAsia" w:ascii="Times New Roman" w:hAnsi="Times New Roman" w:eastAsia="仿宋_GB2312" w:cs="仿宋_GB2312"/>
          <w:sz w:val="32"/>
          <w:szCs w:val="32"/>
        </w:rPr>
        <w:t>该指标得分为3分。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（2）绩效目标明确性（总分3分，得分</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依据《项目支出绩效目标表》，本项目绩效目标细化分解为具体的绩效指标，与项目目标任务数相对应。但是，个别绩效指标量化不清晰、可衡量性不足。</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74" w:name="_Toc92287215"/>
      <w:bookmarkStart w:id="75" w:name="_Toc66801465"/>
      <w:r>
        <w:rPr>
          <w:rFonts w:hint="eastAsia" w:ascii="Times New Roman" w:hAnsi="Times New Roman" w:eastAsia="仿宋_GB2312" w:cs="仿宋_GB2312"/>
          <w:sz w:val="32"/>
          <w:szCs w:val="32"/>
        </w:rPr>
        <w:t>3.资金投入</w:t>
      </w:r>
      <w:bookmarkEnd w:id="74"/>
      <w:bookmarkEnd w:id="75"/>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（1）预算编制科学性（总分4分，得分4分）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依据《中共天津市委办公厅、天津市人民政府办公厅关于加快构建现代公共文化服务体系的实施意见》</w:t>
      </w:r>
      <w:r>
        <w:rPr>
          <w:rFonts w:ascii="Times New Roman" w:hAnsi="Times New Roman" w:eastAsia="仿宋_GB2312" w:cs="仿宋_GB2312"/>
          <w:sz w:val="32"/>
          <w:szCs w:val="32"/>
        </w:rPr>
        <w:t>(津党厅发(2015) 35号)、《市财政局、市文化广播影视局、市文物局、市新闻出版局、市体育局关于印发天津市基层公共文化服务体系建设专项资金管理暂行办法的通知》(津财教(2015) 59号)、《东丽区人民政府办公室关于印发文化发展专项资金管理暂行办法的通知》(东丽政办(2017)4号)、《东丽区聘用文化管理员岗位实施方案》预算经费用于本项目有关的服务支出，资金量与工作任务比较匹配。</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该指标得分为4分。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（2）资金分配合理性（总分2分，得分2分）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依据《东丽区人民政府办公室关于印发文化发展专项资金管理暂行办法的通知》</w:t>
      </w:r>
      <w:r>
        <w:rPr>
          <w:rFonts w:ascii="Times New Roman" w:hAnsi="Times New Roman" w:eastAsia="仿宋_GB2312" w:cs="仿宋_GB2312"/>
          <w:sz w:val="32"/>
          <w:szCs w:val="32"/>
        </w:rPr>
        <w:t>(东丽政办(2017)4号)</w:t>
      </w:r>
      <w:r>
        <w:rPr>
          <w:rFonts w:hint="eastAsia" w:ascii="Times New Roman" w:hAnsi="Times New Roman" w:eastAsia="仿宋_GB2312" w:cs="仿宋_GB2312"/>
          <w:sz w:val="32"/>
          <w:szCs w:val="32"/>
        </w:rPr>
        <w:t>，本项目预算为2,307,200.00</w:t>
      </w:r>
      <w:r>
        <w:rPr>
          <w:rFonts w:ascii="Times New Roman" w:hAnsi="Times New Roman" w:eastAsia="仿宋_GB2312" w:cs="仿宋_GB2312"/>
          <w:sz w:val="32"/>
          <w:szCs w:val="32"/>
        </w:rPr>
        <w:t>元</w:t>
      </w:r>
      <w:r>
        <w:rPr>
          <w:rFonts w:hint="eastAsia" w:ascii="Times New Roman" w:hAnsi="Times New Roman" w:eastAsia="仿宋_GB2312" w:cs="仿宋_GB2312"/>
          <w:sz w:val="32"/>
          <w:szCs w:val="32"/>
        </w:rPr>
        <w:t>，经济科目为服务支出，用于基层公共文化服务补助资金项目。</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依据项目明细账和财务凭证，实际用款2,122,200.00</w:t>
      </w:r>
      <w:r>
        <w:rPr>
          <w:rFonts w:ascii="Times New Roman" w:hAnsi="Times New Roman" w:eastAsia="仿宋_GB2312" w:cs="仿宋_GB2312"/>
          <w:sz w:val="32"/>
          <w:szCs w:val="32"/>
        </w:rPr>
        <w:t>元。</w:t>
      </w:r>
      <w:r>
        <w:rPr>
          <w:rFonts w:hint="eastAsia" w:ascii="Times New Roman" w:hAnsi="Times New Roman" w:eastAsia="仿宋_GB2312" w:cs="仿宋_GB2312"/>
          <w:sz w:val="32"/>
          <w:szCs w:val="32"/>
        </w:rPr>
        <w:t>本项目资金分配依据比较充分，额度比较合理。</w:t>
      </w:r>
    </w:p>
    <w:tbl>
      <w:tblPr>
        <w:tblStyle w:val="9"/>
        <w:tblW w:w="8379" w:type="dxa"/>
        <w:tblInd w:w="93" w:type="dxa"/>
        <w:tblLayout w:type="autofit"/>
        <w:tblCellMar>
          <w:top w:w="0" w:type="dxa"/>
          <w:left w:w="108" w:type="dxa"/>
          <w:bottom w:w="0" w:type="dxa"/>
          <w:right w:w="108" w:type="dxa"/>
        </w:tblCellMar>
      </w:tblPr>
      <w:tblGrid>
        <w:gridCol w:w="3984"/>
        <w:gridCol w:w="4395"/>
      </w:tblGrid>
      <w:tr>
        <w:tblPrEx>
          <w:tblCellMar>
            <w:top w:w="0" w:type="dxa"/>
            <w:left w:w="108" w:type="dxa"/>
            <w:bottom w:w="0" w:type="dxa"/>
            <w:right w:w="108" w:type="dxa"/>
          </w:tblCellMar>
        </w:tblPrEx>
        <w:trPr>
          <w:trHeight w:val="288" w:hRule="atLeast"/>
        </w:trPr>
        <w:tc>
          <w:tcPr>
            <w:tcW w:w="3984"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4395"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金额（元）</w:t>
            </w:r>
          </w:p>
        </w:tc>
      </w:tr>
      <w:tr>
        <w:tblPrEx>
          <w:tblCellMar>
            <w:top w:w="0" w:type="dxa"/>
            <w:left w:w="108" w:type="dxa"/>
            <w:bottom w:w="0" w:type="dxa"/>
            <w:right w:w="108" w:type="dxa"/>
          </w:tblCellMar>
        </w:tblPrEx>
        <w:trPr>
          <w:trHeight w:val="288" w:hRule="atLeast"/>
        </w:trPr>
        <w:tc>
          <w:tcPr>
            <w:tcW w:w="3984" w:type="dxa"/>
            <w:tcBorders>
              <w:top w:val="nil"/>
              <w:left w:val="single" w:color="auto" w:sz="4" w:space="0"/>
              <w:bottom w:val="single" w:color="auto" w:sz="4" w:space="0"/>
              <w:right w:val="single" w:color="auto" w:sz="4" w:space="0"/>
            </w:tcBorders>
            <w:shd w:val="clear" w:color="auto" w:fill="auto"/>
            <w:noWrap/>
            <w:vAlign w:val="bottom"/>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文化管理员补助资金</w:t>
            </w:r>
          </w:p>
        </w:tc>
        <w:tc>
          <w:tcPr>
            <w:tcW w:w="4395" w:type="dxa"/>
            <w:tcBorders>
              <w:top w:val="nil"/>
              <w:left w:val="nil"/>
              <w:bottom w:val="single" w:color="auto" w:sz="4" w:space="0"/>
              <w:right w:val="single" w:color="auto" w:sz="4" w:space="0"/>
            </w:tcBorders>
            <w:shd w:val="clear" w:color="auto" w:fill="auto"/>
            <w:noWrap/>
            <w:vAlign w:val="bottom"/>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xml:space="preserve">    168,000.00 </w:t>
            </w:r>
          </w:p>
        </w:tc>
      </w:tr>
      <w:tr>
        <w:tblPrEx>
          <w:tblCellMar>
            <w:top w:w="0" w:type="dxa"/>
            <w:left w:w="108" w:type="dxa"/>
            <w:bottom w:w="0" w:type="dxa"/>
            <w:right w:w="108" w:type="dxa"/>
          </w:tblCellMar>
        </w:tblPrEx>
        <w:trPr>
          <w:trHeight w:val="288" w:hRule="atLeast"/>
        </w:trPr>
        <w:tc>
          <w:tcPr>
            <w:tcW w:w="3984" w:type="dxa"/>
            <w:tcBorders>
              <w:top w:val="nil"/>
              <w:left w:val="single" w:color="auto" w:sz="4" w:space="0"/>
              <w:bottom w:val="single" w:color="auto" w:sz="4" w:space="0"/>
              <w:right w:val="single" w:color="auto" w:sz="4" w:space="0"/>
            </w:tcBorders>
            <w:shd w:val="clear" w:color="auto" w:fill="auto"/>
            <w:noWrap/>
            <w:vAlign w:val="bottom"/>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文化中心免费开放</w:t>
            </w:r>
          </w:p>
        </w:tc>
        <w:tc>
          <w:tcPr>
            <w:tcW w:w="4395" w:type="dxa"/>
            <w:tcBorders>
              <w:top w:val="nil"/>
              <w:left w:val="nil"/>
              <w:bottom w:val="single" w:color="auto" w:sz="4" w:space="0"/>
              <w:right w:val="single" w:color="auto" w:sz="4" w:space="0"/>
            </w:tcBorders>
            <w:shd w:val="clear" w:color="auto" w:fill="auto"/>
            <w:noWrap/>
            <w:vAlign w:val="bottom"/>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xml:space="preserve">    340,000.00 </w:t>
            </w:r>
          </w:p>
        </w:tc>
      </w:tr>
      <w:tr>
        <w:tblPrEx>
          <w:tblCellMar>
            <w:top w:w="0" w:type="dxa"/>
            <w:left w:w="108" w:type="dxa"/>
            <w:bottom w:w="0" w:type="dxa"/>
            <w:right w:w="108" w:type="dxa"/>
          </w:tblCellMar>
        </w:tblPrEx>
        <w:trPr>
          <w:trHeight w:val="288" w:hRule="atLeast"/>
        </w:trPr>
        <w:tc>
          <w:tcPr>
            <w:tcW w:w="3984" w:type="dxa"/>
            <w:tcBorders>
              <w:top w:val="nil"/>
              <w:left w:val="single" w:color="auto" w:sz="4" w:space="0"/>
              <w:bottom w:val="single" w:color="auto" w:sz="4" w:space="0"/>
              <w:right w:val="single" w:color="auto" w:sz="4" w:space="0"/>
            </w:tcBorders>
            <w:shd w:val="clear" w:color="auto" w:fill="auto"/>
            <w:noWrap/>
            <w:vAlign w:val="bottom"/>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公共文化服务</w:t>
            </w:r>
          </w:p>
        </w:tc>
        <w:tc>
          <w:tcPr>
            <w:tcW w:w="4395" w:type="dxa"/>
            <w:tcBorders>
              <w:top w:val="nil"/>
              <w:left w:val="nil"/>
              <w:bottom w:val="single" w:color="auto" w:sz="4" w:space="0"/>
              <w:right w:val="single" w:color="auto" w:sz="4" w:space="0"/>
            </w:tcBorders>
            <w:shd w:val="clear" w:color="auto" w:fill="auto"/>
            <w:noWrap/>
            <w:vAlign w:val="bottom"/>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xml:space="preserve">    528,000.00 </w:t>
            </w:r>
          </w:p>
        </w:tc>
      </w:tr>
      <w:tr>
        <w:tblPrEx>
          <w:tblCellMar>
            <w:top w:w="0" w:type="dxa"/>
            <w:left w:w="108" w:type="dxa"/>
            <w:bottom w:w="0" w:type="dxa"/>
            <w:right w:w="108" w:type="dxa"/>
          </w:tblCellMar>
        </w:tblPrEx>
        <w:trPr>
          <w:trHeight w:val="288" w:hRule="atLeast"/>
        </w:trPr>
        <w:tc>
          <w:tcPr>
            <w:tcW w:w="3984" w:type="dxa"/>
            <w:tcBorders>
              <w:top w:val="nil"/>
              <w:left w:val="single" w:color="auto" w:sz="4" w:space="0"/>
              <w:bottom w:val="single" w:color="auto" w:sz="4" w:space="0"/>
              <w:right w:val="single" w:color="auto" w:sz="4" w:space="0"/>
            </w:tcBorders>
            <w:shd w:val="clear" w:color="auto" w:fill="auto"/>
            <w:noWrap/>
            <w:vAlign w:val="bottom"/>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社区公共文化</w:t>
            </w:r>
          </w:p>
        </w:tc>
        <w:tc>
          <w:tcPr>
            <w:tcW w:w="4395" w:type="dxa"/>
            <w:tcBorders>
              <w:top w:val="nil"/>
              <w:left w:val="nil"/>
              <w:bottom w:val="single" w:color="auto" w:sz="4" w:space="0"/>
              <w:right w:val="single" w:color="auto" w:sz="4" w:space="0"/>
            </w:tcBorders>
            <w:shd w:val="clear" w:color="auto" w:fill="auto"/>
            <w:noWrap/>
            <w:vAlign w:val="bottom"/>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xml:space="preserve">  1,086,200.00 </w:t>
            </w:r>
          </w:p>
        </w:tc>
      </w:tr>
      <w:tr>
        <w:tblPrEx>
          <w:tblCellMar>
            <w:top w:w="0" w:type="dxa"/>
            <w:left w:w="108" w:type="dxa"/>
            <w:bottom w:w="0" w:type="dxa"/>
            <w:right w:w="108" w:type="dxa"/>
          </w:tblCellMar>
        </w:tblPrEx>
        <w:trPr>
          <w:trHeight w:val="288" w:hRule="atLeast"/>
        </w:trPr>
        <w:tc>
          <w:tcPr>
            <w:tcW w:w="3984" w:type="dxa"/>
            <w:tcBorders>
              <w:top w:val="nil"/>
              <w:left w:val="single" w:color="auto" w:sz="4" w:space="0"/>
              <w:bottom w:val="single" w:color="auto" w:sz="4" w:space="0"/>
              <w:right w:val="single" w:color="auto" w:sz="4" w:space="0"/>
            </w:tcBorders>
            <w:shd w:val="clear" w:color="auto" w:fill="auto"/>
            <w:noWrap/>
            <w:vAlign w:val="bottom"/>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4395" w:type="dxa"/>
            <w:tcBorders>
              <w:top w:val="nil"/>
              <w:left w:val="nil"/>
              <w:bottom w:val="single" w:color="auto" w:sz="4" w:space="0"/>
              <w:right w:val="single" w:color="auto" w:sz="4" w:space="0"/>
            </w:tcBorders>
            <w:shd w:val="clear" w:color="auto" w:fill="auto"/>
            <w:noWrap/>
            <w:vAlign w:val="bottom"/>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xml:space="preserve">  2,122,200.00 </w:t>
            </w:r>
          </w:p>
        </w:tc>
      </w:tr>
    </w:tbl>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该指标得分为2分。</w:t>
      </w:r>
    </w:p>
    <w:p>
      <w:pPr>
        <w:spacing w:line="360" w:lineRule="auto"/>
        <w:ind w:firstLine="640" w:firstLineChars="200"/>
        <w:outlineLvl w:val="1"/>
        <w:rPr>
          <w:rFonts w:ascii="楷体_GB2312" w:hAnsi="Times New Roman" w:eastAsia="楷体_GB2312" w:cs="仿宋_GB2312"/>
          <w:sz w:val="32"/>
          <w:szCs w:val="32"/>
        </w:rPr>
      </w:pPr>
      <w:bookmarkStart w:id="76" w:name="_Toc66801466"/>
      <w:bookmarkStart w:id="77" w:name="_Toc92287216"/>
      <w:r>
        <w:rPr>
          <w:rFonts w:hint="eastAsia" w:ascii="楷体_GB2312" w:hAnsi="Times New Roman" w:eastAsia="楷体_GB2312" w:cs="仿宋_GB2312"/>
          <w:sz w:val="32"/>
          <w:szCs w:val="32"/>
        </w:rPr>
        <w:t>（二）项目过程情况</w:t>
      </w:r>
      <w:bookmarkEnd w:id="76"/>
      <w:bookmarkEnd w:id="77"/>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过程指标主要包括资金管理、组织管理2项二级指标，6项三级指标，基础总分23分，合计得分20.84分。</w:t>
      </w:r>
    </w:p>
    <w:p>
      <w:pPr>
        <w:spacing w:line="360" w:lineRule="auto"/>
        <w:ind w:firstLine="640" w:firstLineChars="200"/>
        <w:outlineLvl w:val="2"/>
        <w:rPr>
          <w:rFonts w:ascii="Times New Roman" w:hAnsi="Times New Roman" w:eastAsia="仿宋_GB2312" w:cs="仿宋_GB2312"/>
          <w:sz w:val="32"/>
          <w:szCs w:val="32"/>
        </w:rPr>
      </w:pPr>
      <w:bookmarkStart w:id="78" w:name="_Toc66801467"/>
      <w:bookmarkStart w:id="79" w:name="_Toc92287217"/>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.资金管理</w:t>
      </w:r>
      <w:bookmarkEnd w:id="78"/>
      <w:bookmarkEnd w:id="79"/>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（1）资金到位率（总分2分，得分2分）</w:t>
      </w:r>
    </w:p>
    <w:p>
      <w:pPr>
        <w:spacing w:line="360" w:lineRule="auto"/>
        <w:ind w:firstLine="640" w:firstLineChars="200"/>
        <w:rPr>
          <w:rFonts w:ascii="Times New Roman" w:hAnsi="Times New Roman" w:eastAsia="仿宋_GB2312" w:cs="仿宋_GB2312"/>
          <w:sz w:val="32"/>
          <w:szCs w:val="32"/>
        </w:rPr>
      </w:pPr>
      <w:bookmarkStart w:id="80" w:name="_Hlk90629901"/>
      <w:r>
        <w:rPr>
          <w:rFonts w:hint="eastAsia" w:ascii="Times New Roman" w:hAnsi="Times New Roman" w:eastAsia="仿宋_GB2312" w:cs="仿宋_GB2312"/>
          <w:sz w:val="32"/>
          <w:szCs w:val="32"/>
        </w:rPr>
        <w:t>依据《东丽区人民政府办公室关于印发文化发展专项资金管理暂行办法的通知》</w:t>
      </w:r>
      <w:r>
        <w:rPr>
          <w:rFonts w:ascii="Times New Roman" w:hAnsi="Times New Roman" w:eastAsia="仿宋_GB2312" w:cs="仿宋_GB2312"/>
          <w:sz w:val="32"/>
          <w:szCs w:val="32"/>
        </w:rPr>
        <w:t>(东丽政办(2017)4号)</w:t>
      </w:r>
      <w:r>
        <w:rPr>
          <w:rFonts w:hint="eastAsia"/>
        </w:rPr>
        <w:t xml:space="preserve"> </w:t>
      </w:r>
      <w:r>
        <w:rPr>
          <w:rFonts w:hint="eastAsia" w:ascii="Times New Roman" w:hAnsi="Times New Roman" w:eastAsia="仿宋_GB2312" w:cs="仿宋_GB2312"/>
          <w:sz w:val="32"/>
          <w:szCs w:val="32"/>
        </w:rPr>
        <w:t>及财务凭证，</w:t>
      </w:r>
      <w:r>
        <w:rPr>
          <w:rFonts w:ascii="Times New Roman" w:hAnsi="Times New Roman" w:eastAsia="仿宋_GB2312" w:cs="仿宋_GB2312"/>
          <w:sz w:val="32"/>
          <w:szCs w:val="32"/>
        </w:rPr>
        <w:t>本项目实际到位资金2</w:t>
      </w: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30</w:t>
      </w:r>
      <w:r>
        <w:rPr>
          <w:rFonts w:hint="eastAsia" w:ascii="Times New Roman" w:hAnsi="Times New Roman" w:eastAsia="仿宋_GB2312" w:cs="仿宋_GB2312"/>
          <w:sz w:val="32"/>
          <w:szCs w:val="32"/>
        </w:rPr>
        <w:t>7,200.00</w:t>
      </w:r>
      <w:r>
        <w:rPr>
          <w:rFonts w:ascii="Times New Roman" w:hAnsi="Times New Roman" w:eastAsia="仿宋_GB2312" w:cs="仿宋_GB2312"/>
          <w:sz w:val="32"/>
          <w:szCs w:val="32"/>
        </w:rPr>
        <w:t>元，本项目预算资金2</w:t>
      </w: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30</w:t>
      </w:r>
      <w:r>
        <w:rPr>
          <w:rFonts w:hint="eastAsia" w:ascii="Times New Roman" w:hAnsi="Times New Roman" w:eastAsia="仿宋_GB2312" w:cs="仿宋_GB2312"/>
          <w:sz w:val="32"/>
          <w:szCs w:val="32"/>
        </w:rPr>
        <w:t>7,200.00</w:t>
      </w:r>
      <w:r>
        <w:rPr>
          <w:rFonts w:ascii="Times New Roman" w:hAnsi="Times New Roman" w:eastAsia="仿宋_GB2312" w:cs="仿宋_GB2312"/>
          <w:sz w:val="32"/>
          <w:szCs w:val="32"/>
        </w:rPr>
        <w:t>元。</w:t>
      </w:r>
    </w:p>
    <w:p>
      <w:pPr>
        <w:spacing w:line="360" w:lineRule="auto"/>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资金到位率=（实际到位资金/预算资金）×100%=（230</w:t>
      </w:r>
      <w:r>
        <w:rPr>
          <w:rFonts w:hint="eastAsia" w:ascii="Times New Roman" w:hAnsi="Times New Roman" w:eastAsia="仿宋_GB2312" w:cs="仿宋_GB2312"/>
          <w:sz w:val="32"/>
          <w:szCs w:val="32"/>
        </w:rPr>
        <w:t>7200</w:t>
      </w:r>
      <w:r>
        <w:rPr>
          <w:rFonts w:ascii="Times New Roman" w:hAnsi="Times New Roman" w:eastAsia="仿宋_GB2312" w:cs="仿宋_GB2312"/>
          <w:sz w:val="32"/>
          <w:szCs w:val="32"/>
        </w:rPr>
        <w:t>/230</w:t>
      </w:r>
      <w:r>
        <w:rPr>
          <w:rFonts w:hint="eastAsia" w:ascii="Times New Roman" w:hAnsi="Times New Roman" w:eastAsia="仿宋_GB2312" w:cs="仿宋_GB2312"/>
          <w:sz w:val="32"/>
          <w:szCs w:val="32"/>
        </w:rPr>
        <w:t>7200</w:t>
      </w:r>
      <w:r>
        <w:rPr>
          <w:rFonts w:ascii="Times New Roman" w:hAnsi="Times New Roman" w:eastAsia="仿宋_GB2312" w:cs="仿宋_GB2312"/>
          <w:sz w:val="32"/>
          <w:szCs w:val="32"/>
        </w:rPr>
        <w:t>）×100%=100%。</w:t>
      </w:r>
      <w:bookmarkEnd w:id="80"/>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该指标得分为2分。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（2）资金到位及时率（总分2分，得分2分）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依据《东丽区人民政府办公室关于印发文化发展专项资金管理暂行办法的通知》</w:t>
      </w:r>
      <w:r>
        <w:rPr>
          <w:rFonts w:ascii="Times New Roman" w:hAnsi="Times New Roman" w:eastAsia="仿宋_GB2312" w:cs="仿宋_GB2312"/>
          <w:sz w:val="32"/>
          <w:szCs w:val="32"/>
        </w:rPr>
        <w:t>(东丽政办(2017)4号)</w:t>
      </w:r>
      <w:r>
        <w:rPr>
          <w:rFonts w:hint="eastAsia"/>
        </w:rPr>
        <w:t xml:space="preserve"> </w:t>
      </w:r>
      <w:r>
        <w:rPr>
          <w:rFonts w:hint="eastAsia" w:ascii="Times New Roman" w:hAnsi="Times New Roman" w:eastAsia="仿宋_GB2312" w:cs="仿宋_GB2312"/>
          <w:sz w:val="32"/>
          <w:szCs w:val="32"/>
        </w:rPr>
        <w:t>及财务凭证，</w:t>
      </w:r>
      <w:r>
        <w:rPr>
          <w:rFonts w:ascii="Times New Roman" w:hAnsi="Times New Roman" w:eastAsia="仿宋_GB2312" w:cs="仿宋_GB2312"/>
          <w:sz w:val="32"/>
          <w:szCs w:val="32"/>
        </w:rPr>
        <w:t>截至2021年12月31日，本项目应到位资金为2</w:t>
      </w: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30</w:t>
      </w:r>
      <w:r>
        <w:rPr>
          <w:rFonts w:hint="eastAsia" w:ascii="Times New Roman" w:hAnsi="Times New Roman" w:eastAsia="仿宋_GB2312" w:cs="仿宋_GB2312"/>
          <w:sz w:val="32"/>
          <w:szCs w:val="32"/>
        </w:rPr>
        <w:t>7,200.00</w:t>
      </w:r>
      <w:r>
        <w:rPr>
          <w:rFonts w:ascii="Times New Roman" w:hAnsi="Times New Roman" w:eastAsia="仿宋_GB2312" w:cs="仿宋_GB2312"/>
          <w:sz w:val="32"/>
          <w:szCs w:val="32"/>
        </w:rPr>
        <w:t>元，及时到位资金为</w:t>
      </w:r>
      <w:r>
        <w:rPr>
          <w:rFonts w:hint="eastAsia" w:ascii="Times New Roman" w:hAnsi="Times New Roman" w:eastAsia="仿宋_GB2312" w:cs="仿宋_GB2312"/>
          <w:sz w:val="32"/>
          <w:szCs w:val="32"/>
        </w:rPr>
        <w:t>2,307,200.00</w:t>
      </w:r>
      <w:r>
        <w:rPr>
          <w:rFonts w:ascii="Times New Roman" w:hAnsi="Times New Roman" w:eastAsia="仿宋_GB2312" w:cs="仿宋_GB2312"/>
          <w:sz w:val="32"/>
          <w:szCs w:val="32"/>
        </w:rPr>
        <w:t>元。</w:t>
      </w:r>
    </w:p>
    <w:p>
      <w:pPr>
        <w:spacing w:line="360" w:lineRule="auto"/>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到位及时率=（及时到位资金÷应到位资金）×100%=（</w:t>
      </w:r>
      <w:r>
        <w:rPr>
          <w:rFonts w:hint="eastAsia" w:ascii="Times New Roman" w:hAnsi="Times New Roman" w:eastAsia="仿宋_GB2312" w:cs="仿宋_GB2312"/>
          <w:sz w:val="32"/>
          <w:szCs w:val="32"/>
        </w:rPr>
        <w:t>2307200</w:t>
      </w:r>
      <w:r>
        <w:rPr>
          <w:rFonts w:ascii="Times New Roman" w:hAnsi="Times New Roman" w:eastAsia="仿宋_GB2312" w:cs="仿宋_GB2312"/>
          <w:sz w:val="32"/>
          <w:szCs w:val="32"/>
        </w:rPr>
        <w:t>/230</w:t>
      </w:r>
      <w:r>
        <w:rPr>
          <w:rFonts w:hint="eastAsia" w:ascii="Times New Roman" w:hAnsi="Times New Roman" w:eastAsia="仿宋_GB2312" w:cs="仿宋_GB2312"/>
          <w:sz w:val="32"/>
          <w:szCs w:val="32"/>
        </w:rPr>
        <w:t>7200</w:t>
      </w:r>
      <w:r>
        <w:rPr>
          <w:rFonts w:ascii="Times New Roman" w:hAnsi="Times New Roman" w:eastAsia="仿宋_GB2312" w:cs="仿宋_GB2312"/>
          <w:sz w:val="32"/>
          <w:szCs w:val="32"/>
        </w:rPr>
        <w:t>）×100%=100%</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该指标得分为2分。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（3）预算执行率（总分2分，得分</w:t>
      </w:r>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84分）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依据《东丽区人民政府办公室关于印发文化发展专项资金管理暂行办法的通知》</w:t>
      </w:r>
      <w:r>
        <w:rPr>
          <w:rFonts w:ascii="Times New Roman" w:hAnsi="Times New Roman" w:eastAsia="仿宋_GB2312" w:cs="仿宋_GB2312"/>
          <w:sz w:val="32"/>
          <w:szCs w:val="32"/>
        </w:rPr>
        <w:t>(东丽政办(2017)4号) 及财务凭证，本项目实际到位资金2</w:t>
      </w: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307</w:t>
      </w: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200</w:t>
      </w:r>
      <w:r>
        <w:rPr>
          <w:rFonts w:hint="eastAsia" w:ascii="Times New Roman" w:hAnsi="Times New Roman" w:eastAsia="仿宋_GB2312" w:cs="仿宋_GB2312"/>
          <w:sz w:val="32"/>
          <w:szCs w:val="32"/>
        </w:rPr>
        <w:t>.00</w:t>
      </w:r>
      <w:r>
        <w:rPr>
          <w:rFonts w:ascii="Times New Roman" w:hAnsi="Times New Roman" w:eastAsia="仿宋_GB2312" w:cs="仿宋_GB2312"/>
          <w:sz w:val="32"/>
          <w:szCs w:val="32"/>
        </w:rPr>
        <w:t>元，实际支出资金2</w:t>
      </w: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122</w:t>
      </w: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200</w:t>
      </w:r>
      <w:r>
        <w:rPr>
          <w:rFonts w:hint="eastAsia" w:ascii="Times New Roman" w:hAnsi="Times New Roman" w:eastAsia="仿宋_GB2312" w:cs="仿宋_GB2312"/>
          <w:sz w:val="32"/>
          <w:szCs w:val="32"/>
        </w:rPr>
        <w:t>.00</w:t>
      </w:r>
      <w:r>
        <w:rPr>
          <w:rFonts w:ascii="Times New Roman" w:hAnsi="Times New Roman" w:eastAsia="仿宋_GB2312" w:cs="仿宋_GB2312"/>
          <w:sz w:val="32"/>
          <w:szCs w:val="32"/>
        </w:rPr>
        <w:t>元。预算执行率=（实际支出资金÷实际到位资金）×100%=（2122200÷2307200）×100%=91.99%</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该指标得分为1.84分。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（4）资金使用合规性（总分10分，得分8分）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依据《东丽区人民政府办公室关于印发文化发展专项资金管理暂行办法的通知》</w:t>
      </w:r>
      <w:r>
        <w:rPr>
          <w:rFonts w:ascii="Times New Roman" w:hAnsi="Times New Roman" w:eastAsia="仿宋_GB2312" w:cs="仿宋_GB2312"/>
          <w:sz w:val="32"/>
          <w:szCs w:val="32"/>
        </w:rPr>
        <w:t>(东丽政办(2017)5号)文件、财务凭证与付款审批流程本项目资金的拨付有完整的审批程序和手续，符合项目预算批复或合同规定的用途，不存在截留、挤占、挪用、虚列支出等情况。但是，本项目预算金额为</w:t>
      </w:r>
      <w:r>
        <w:rPr>
          <w:rFonts w:hint="eastAsia" w:ascii="Times New Roman" w:hAnsi="Times New Roman" w:eastAsia="仿宋_GB2312" w:cs="仿宋_GB2312"/>
          <w:sz w:val="32"/>
          <w:szCs w:val="32"/>
        </w:rPr>
        <w:t>2,307,200.00</w:t>
      </w:r>
      <w:r>
        <w:rPr>
          <w:rFonts w:ascii="Times New Roman" w:hAnsi="Times New Roman" w:eastAsia="仿宋_GB2312" w:cs="仿宋_GB2312"/>
          <w:sz w:val="32"/>
          <w:szCs w:val="32"/>
        </w:rPr>
        <w:t>元，实际支出资金为</w:t>
      </w:r>
      <w:r>
        <w:rPr>
          <w:rFonts w:hint="eastAsia" w:ascii="Times New Roman" w:hAnsi="Times New Roman" w:eastAsia="仿宋_GB2312" w:cs="仿宋_GB2312"/>
          <w:sz w:val="32"/>
          <w:szCs w:val="32"/>
        </w:rPr>
        <w:t>2,122,200.00元</w:t>
      </w:r>
      <w:r>
        <w:rPr>
          <w:rFonts w:ascii="Times New Roman" w:hAnsi="Times New Roman" w:eastAsia="仿宋_GB2312" w:cs="仿宋_GB2312"/>
          <w:sz w:val="32"/>
          <w:szCs w:val="32"/>
        </w:rPr>
        <w:t>，因此，存在结余资金</w:t>
      </w:r>
      <w:r>
        <w:rPr>
          <w:rFonts w:hint="eastAsia" w:ascii="Times New Roman" w:hAnsi="Times New Roman" w:eastAsia="仿宋_GB2312" w:cs="仿宋_GB2312"/>
          <w:sz w:val="32"/>
          <w:szCs w:val="32"/>
        </w:rPr>
        <w:t>185,000.00</w:t>
      </w:r>
      <w:r>
        <w:rPr>
          <w:rFonts w:ascii="Times New Roman" w:hAnsi="Times New Roman" w:eastAsia="仿宋_GB2312" w:cs="仿宋_GB2312"/>
          <w:sz w:val="32"/>
          <w:szCs w:val="32"/>
        </w:rPr>
        <w:t>元。</w:t>
      </w:r>
      <w:r>
        <w:rPr>
          <w:rFonts w:hint="eastAsia" w:ascii="Times New Roman" w:hAnsi="Times New Roman" w:eastAsia="仿宋_GB2312" w:cs="仿宋_GB2312"/>
          <w:sz w:val="32"/>
          <w:szCs w:val="32"/>
        </w:rPr>
        <w:t>账户为零余额账户，结余资金作为社区公共文化资金拨向</w:t>
      </w:r>
      <w:r>
        <w:rPr>
          <w:rFonts w:ascii="Times New Roman" w:hAnsi="Times New Roman" w:eastAsia="仿宋_GB2312" w:cs="仿宋_GB2312"/>
          <w:sz w:val="32"/>
          <w:szCs w:val="32"/>
        </w:rPr>
        <w:t>11个街道文化中心。</w:t>
      </w:r>
      <w:r>
        <w:rPr>
          <w:rFonts w:hint="eastAsia" w:ascii="Times New Roman" w:hAnsi="Times New Roman" w:eastAsia="仿宋_GB2312" w:cs="仿宋_GB2312"/>
          <w:sz w:val="32"/>
          <w:szCs w:val="32"/>
        </w:rPr>
        <w:t>文件中规定结转和结余资金按照财政部门规定执行，无明确规定是否可作为资金拨款。</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该指标得分为8分。</w:t>
      </w:r>
    </w:p>
    <w:p>
      <w:pPr>
        <w:spacing w:line="360" w:lineRule="auto"/>
        <w:ind w:firstLine="640" w:firstLineChars="200"/>
        <w:outlineLvl w:val="2"/>
        <w:rPr>
          <w:rFonts w:ascii="Times New Roman" w:hAnsi="Times New Roman" w:eastAsia="仿宋_GB2312" w:cs="仿宋_GB2312"/>
          <w:sz w:val="32"/>
          <w:szCs w:val="32"/>
        </w:rPr>
      </w:pPr>
      <w:bookmarkStart w:id="81" w:name="_Toc66801468"/>
      <w:bookmarkStart w:id="82" w:name="_Toc92287218"/>
      <w:r>
        <w:rPr>
          <w:rFonts w:hint="eastAsia" w:ascii="Times New Roman" w:hAnsi="Times New Roman" w:eastAsia="仿宋_GB2312" w:cs="仿宋_GB2312"/>
          <w:sz w:val="32"/>
          <w:szCs w:val="32"/>
        </w:rPr>
        <w:t>2.组织实施</w:t>
      </w:r>
      <w:bookmarkEnd w:id="81"/>
      <w:bookmarkEnd w:id="82"/>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（1）管理制度健全性（总分2分，得分</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本项目具有《文化旅游体育局财务管理制度》，内容包括财务管理原则、审批及报销程序、支出标准与用款审批表、行政制度，比较合规、合法、完整。</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rPr>
          <w:rFonts w:ascii="仿宋_GB2312" w:hAnsi="Times New Roman" w:eastAsia="仿宋_GB2312" w:cs="仿宋_GB2312"/>
          <w:color w:val="000000" w:themeColor="text1"/>
          <w:sz w:val="32"/>
          <w:szCs w:val="32"/>
          <w14:textFill>
            <w14:solidFill>
              <w14:schemeClr w14:val="tx1"/>
            </w14:solidFill>
          </w14:textFill>
        </w:rPr>
      </w:pPr>
      <w:r>
        <w:rPr>
          <w:rFonts w:hint="eastAsia" w:ascii="仿宋_GB2312" w:hAnsi="Times New Roman" w:eastAsia="仿宋_GB2312" w:cs="仿宋_GB2312"/>
          <w:color w:val="000000" w:themeColor="text1"/>
          <w:sz w:val="32"/>
          <w:szCs w:val="32"/>
          <w14:textFill>
            <w14:solidFill>
              <w14:schemeClr w14:val="tx1"/>
            </w14:solidFill>
          </w14:textFill>
        </w:rPr>
        <w:t>（2）制度执行有效性（总分</w:t>
      </w:r>
      <w:r>
        <w:rPr>
          <w:rFonts w:ascii="Times New Roman" w:hAnsi="Times New Roman" w:eastAsia="仿宋_GB2312" w:cs="Times New Roman"/>
          <w:color w:val="000000" w:themeColor="text1"/>
          <w:sz w:val="32"/>
          <w:szCs w:val="32"/>
          <w14:textFill>
            <w14:solidFill>
              <w14:schemeClr w14:val="tx1"/>
            </w14:solidFill>
          </w14:textFill>
        </w:rPr>
        <w:t>5</w:t>
      </w:r>
      <w:r>
        <w:rPr>
          <w:rFonts w:hint="eastAsia" w:ascii="仿宋_GB2312" w:hAnsi="Times New Roman" w:eastAsia="仿宋_GB2312" w:cs="仿宋_GB2312"/>
          <w:color w:val="000000" w:themeColor="text1"/>
          <w:sz w:val="32"/>
          <w:szCs w:val="32"/>
          <w14:textFill>
            <w14:solidFill>
              <w14:schemeClr w14:val="tx1"/>
            </w14:solidFill>
          </w14:textFill>
        </w:rPr>
        <w:t>分，得分</w:t>
      </w:r>
      <w:r>
        <w:rPr>
          <w:rFonts w:hint="eastAsia" w:ascii="Times New Roman" w:hAnsi="Times New Roman" w:eastAsia="仿宋_GB2312" w:cs="Times New Roman"/>
          <w:color w:val="000000" w:themeColor="text1"/>
          <w:sz w:val="32"/>
          <w:szCs w:val="32"/>
          <w14:textFill>
            <w14:solidFill>
              <w14:schemeClr w14:val="tx1"/>
            </w14:solidFill>
          </w14:textFill>
        </w:rPr>
        <w:t>5</w:t>
      </w:r>
      <w:r>
        <w:rPr>
          <w:rFonts w:hint="eastAsia" w:ascii="仿宋_GB2312" w:hAnsi="Times New Roman" w:eastAsia="仿宋_GB2312" w:cs="仿宋_GB2312"/>
          <w:color w:val="000000" w:themeColor="text1"/>
          <w:sz w:val="32"/>
          <w:szCs w:val="32"/>
          <w14:textFill>
            <w14:solidFill>
              <w14:schemeClr w14:val="tx1"/>
            </w14:solidFill>
          </w14:textFill>
        </w:rPr>
        <w:t>分）</w:t>
      </w:r>
    </w:p>
    <w:p>
      <w:pPr>
        <w:spacing w:line="360" w:lineRule="auto"/>
        <w:ind w:firstLine="640" w:firstLineChars="200"/>
        <w:rPr>
          <w:rFonts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本项目根据《文化旅游体育局财务管理制度》和财务凭证附件，审批及报销程序、支出标准与用款审批比较合规、合法、完整。</w:t>
      </w:r>
    </w:p>
    <w:p>
      <w:pPr>
        <w:spacing w:line="360" w:lineRule="auto"/>
        <w:ind w:firstLine="640" w:firstLineChars="200"/>
        <w:rPr>
          <w:rFonts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该指标得分为5分。</w:t>
      </w:r>
      <w:bookmarkStart w:id="83" w:name="_Toc66801469"/>
    </w:p>
    <w:p>
      <w:pPr>
        <w:spacing w:line="360" w:lineRule="auto"/>
        <w:ind w:firstLine="640" w:firstLineChars="200"/>
        <w:outlineLvl w:val="1"/>
        <w:rPr>
          <w:rFonts w:ascii="楷体_GB2312" w:hAnsi="Times New Roman" w:eastAsia="楷体_GB2312" w:cs="仿宋_GB2312"/>
          <w:sz w:val="32"/>
          <w:szCs w:val="32"/>
        </w:rPr>
      </w:pPr>
      <w:bookmarkStart w:id="84" w:name="_Toc92287219"/>
      <w:r>
        <w:rPr>
          <w:rFonts w:hint="eastAsia" w:ascii="楷体_GB2312" w:hAnsi="Times New Roman" w:eastAsia="楷体_GB2312" w:cs="仿宋_GB2312"/>
          <w:sz w:val="32"/>
          <w:szCs w:val="32"/>
        </w:rPr>
        <w:t>（三）项目产出情况</w:t>
      </w:r>
      <w:bookmarkEnd w:id="83"/>
      <w:bookmarkEnd w:id="84"/>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产出指标主要包括产出数量、产出质量、产出时效、产出成本4项二级指标，6项三级指标，基础总分</w:t>
      </w:r>
      <w:r>
        <w:rPr>
          <w:rFonts w:ascii="Times New Roman" w:hAnsi="Times New Roman" w:eastAsia="仿宋_GB2312" w:cs="仿宋_GB2312"/>
          <w:sz w:val="32"/>
          <w:szCs w:val="32"/>
        </w:rPr>
        <w:t>40</w:t>
      </w:r>
      <w:r>
        <w:rPr>
          <w:rFonts w:hint="eastAsia" w:ascii="Times New Roman" w:hAnsi="Times New Roman" w:eastAsia="仿宋_GB2312" w:cs="仿宋_GB2312"/>
          <w:sz w:val="32"/>
          <w:szCs w:val="32"/>
        </w:rPr>
        <w:t>分，合计得分39.85分。</w:t>
      </w:r>
    </w:p>
    <w:p>
      <w:pPr>
        <w:spacing w:line="360" w:lineRule="auto"/>
        <w:ind w:firstLine="640" w:firstLineChars="200"/>
        <w:outlineLvl w:val="2"/>
        <w:rPr>
          <w:rFonts w:ascii="Times New Roman" w:hAnsi="Times New Roman" w:eastAsia="仿宋_GB2312" w:cs="仿宋_GB2312"/>
          <w:sz w:val="32"/>
          <w:szCs w:val="32"/>
        </w:rPr>
      </w:pPr>
      <w:bookmarkStart w:id="85" w:name="_Toc66801470"/>
      <w:bookmarkStart w:id="86" w:name="_Toc92287220"/>
      <w:r>
        <w:rPr>
          <w:rFonts w:hint="eastAsia" w:ascii="Times New Roman" w:hAnsi="Times New Roman" w:eastAsia="仿宋_GB2312" w:cs="仿宋_GB2312"/>
          <w:sz w:val="32"/>
          <w:szCs w:val="32"/>
        </w:rPr>
        <w:t>1.产出数量</w:t>
      </w:r>
      <w:bookmarkEnd w:id="85"/>
      <w:bookmarkEnd w:id="86"/>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（1）街道文化中心数量（总分5分，得分</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依据《项目支出绩效目标表》街道文化中心数量指标为11个，本项目服务工作根据绩效评价人员实地考察和《基层公共文化服务补助资金项目可行性报告》东丽区文化旅游体育局已建成文化中心</w:t>
      </w:r>
      <w:r>
        <w:rPr>
          <w:rFonts w:ascii="Times New Roman" w:hAnsi="Times New Roman" w:eastAsia="仿宋_GB2312" w:cs="仿宋_GB2312"/>
          <w:sz w:val="32"/>
          <w:szCs w:val="32"/>
        </w:rPr>
        <w:t>11个。</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服务工作实际完成率</w:t>
      </w:r>
      <w:r>
        <w:rPr>
          <w:rFonts w:ascii="Times New Roman" w:hAnsi="Times New Roman" w:eastAsia="仿宋_GB2312" w:cs="仿宋_GB2312"/>
          <w:sz w:val="32"/>
          <w:szCs w:val="32"/>
        </w:rPr>
        <w:t>=（实际产出数÷计划产出数）×100%=（11÷11）×100%=100%</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分。</w:t>
      </w:r>
    </w:p>
    <w:p>
      <w:pPr>
        <w:spacing w:line="360" w:lineRule="auto"/>
        <w:ind w:left="210" w:leftChars="100" w:firstLine="320" w:firstLineChars="1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（2）社区综合性文化服务中心数量（总分5分，得分4.85分）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依据《项目支出绩效目标表》社区综合性文化服务中心指标为</w:t>
      </w:r>
      <w:r>
        <w:rPr>
          <w:rFonts w:ascii="Times New Roman" w:hAnsi="Times New Roman" w:eastAsia="仿宋_GB2312" w:cs="仿宋_GB2312"/>
          <w:sz w:val="32"/>
          <w:szCs w:val="32"/>
        </w:rPr>
        <w:t>98个，本项目服务工作根据《基层公共文化服务补助资金项目可行性报告》和《社区文化中心名录》显示东丽区文化旅游体育局已有社区综合性文化服务中心95个。</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服务工作实际完成率</w:t>
      </w:r>
      <w:r>
        <w:rPr>
          <w:rFonts w:ascii="Times New Roman" w:hAnsi="Times New Roman" w:eastAsia="仿宋_GB2312" w:cs="仿宋_GB2312"/>
          <w:sz w:val="32"/>
          <w:szCs w:val="32"/>
        </w:rPr>
        <w:t>=（实际产出数÷计划产出数）×100%=（95÷98）×100%=96.94%</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该指标得分为4.85分。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文化管理员数量</w:t>
      </w:r>
      <w:r>
        <w:rPr>
          <w:rFonts w:ascii="Times New Roman" w:hAnsi="Times New Roman" w:eastAsia="仿宋_GB2312" w:cs="仿宋_GB2312"/>
          <w:sz w:val="32"/>
          <w:szCs w:val="32"/>
        </w:rPr>
        <w:t>（总分5分，得分</w:t>
      </w:r>
      <w:r>
        <w:rPr>
          <w:rFonts w:hint="eastAsia" w:ascii="Times New Roman" w:hAnsi="Times New Roman" w:eastAsia="仿宋_GB2312" w:cs="仿宋_GB2312"/>
          <w:sz w:val="32"/>
          <w:szCs w:val="32"/>
        </w:rPr>
        <w:t>5</w:t>
      </w:r>
      <w:r>
        <w:rPr>
          <w:rFonts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依据《项目支出绩效目标表》文化管理员指标为13</w:t>
      </w:r>
      <w:r>
        <w:rPr>
          <w:rFonts w:ascii="Times New Roman" w:hAnsi="Times New Roman" w:eastAsia="仿宋_GB2312" w:cs="仿宋_GB2312"/>
          <w:sz w:val="32"/>
          <w:szCs w:val="32"/>
        </w:rPr>
        <w:t>人，本项目服务工作根据《基层公共文化服务补助资金项目可行性报告》</w:t>
      </w:r>
      <w:r>
        <w:rPr>
          <w:rFonts w:hint="eastAsia" w:ascii="Times New Roman" w:hAnsi="Times New Roman" w:eastAsia="仿宋_GB2312" w:cs="仿宋_GB2312"/>
          <w:sz w:val="32"/>
          <w:szCs w:val="32"/>
        </w:rPr>
        <w:t>和工资表显示</w:t>
      </w:r>
      <w:r>
        <w:rPr>
          <w:rFonts w:ascii="Times New Roman" w:hAnsi="Times New Roman" w:eastAsia="仿宋_GB2312" w:cs="仿宋_GB2312"/>
          <w:sz w:val="32"/>
          <w:szCs w:val="32"/>
        </w:rPr>
        <w:t>东丽区文化旅游体育局已聘用文化管理员14人。</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服务工作实际完成率</w:t>
      </w:r>
      <w:r>
        <w:rPr>
          <w:rFonts w:ascii="Times New Roman" w:hAnsi="Times New Roman" w:eastAsia="仿宋_GB2312" w:cs="仿宋_GB2312"/>
          <w:sz w:val="32"/>
          <w:szCs w:val="32"/>
        </w:rPr>
        <w:t xml:space="preserve">=（实际产出数÷计划产出数）×100%=（14÷13）×100%=107.70% </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该指标得分为5</w:t>
      </w:r>
      <w:r>
        <w:rPr>
          <w:rFonts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87" w:name="_Toc66801471"/>
      <w:bookmarkStart w:id="88" w:name="_Toc92287221"/>
      <w:r>
        <w:rPr>
          <w:rFonts w:hint="eastAsia" w:ascii="Times New Roman" w:hAnsi="Times New Roman" w:eastAsia="仿宋_GB2312" w:cs="仿宋_GB2312"/>
          <w:sz w:val="32"/>
          <w:szCs w:val="32"/>
        </w:rPr>
        <w:t>2.产出质量</w:t>
      </w:r>
      <w:bookmarkEnd w:id="87"/>
      <w:bookmarkEnd w:id="88"/>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（1）服务工作质量达标率（总分15分，得分1</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本项目根据东丽区文化旅游体育局提供的媒体文件、财务凭证，该项服务已完成并付款，并且根据问卷调查得到民众认可。</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该指标得分为1</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89" w:name="_Toc66801472"/>
      <w:bookmarkStart w:id="90" w:name="_Toc92287222"/>
      <w:r>
        <w:rPr>
          <w:rFonts w:hint="eastAsia" w:ascii="Times New Roman" w:hAnsi="Times New Roman" w:eastAsia="仿宋_GB2312" w:cs="仿宋_GB2312"/>
          <w:sz w:val="32"/>
          <w:szCs w:val="32"/>
        </w:rPr>
        <w:t>3.产出时效</w:t>
      </w:r>
      <w:bookmarkEnd w:id="89"/>
      <w:bookmarkEnd w:id="90"/>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（1）服务工作完成及时性（总分5分，得分5分）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本项目中计划时间为</w:t>
      </w:r>
      <w:r>
        <w:rPr>
          <w:rFonts w:ascii="Times New Roman" w:hAnsi="Times New Roman" w:eastAsia="仿宋_GB2312" w:cs="仿宋_GB2312"/>
          <w:sz w:val="32"/>
          <w:szCs w:val="32"/>
        </w:rPr>
        <w:t>2020年全年，截止2020年末，项目已全部完成。</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该指标得分为5分。</w:t>
      </w:r>
    </w:p>
    <w:p>
      <w:pPr>
        <w:spacing w:line="360" w:lineRule="auto"/>
        <w:ind w:firstLine="640" w:firstLineChars="200"/>
        <w:outlineLvl w:val="2"/>
        <w:rPr>
          <w:rFonts w:ascii="Times New Roman" w:hAnsi="Times New Roman" w:eastAsia="仿宋_GB2312" w:cs="仿宋_GB2312"/>
          <w:sz w:val="32"/>
          <w:szCs w:val="32"/>
        </w:rPr>
      </w:pPr>
      <w:bookmarkStart w:id="91" w:name="_Toc66801473"/>
      <w:bookmarkStart w:id="92" w:name="_Toc92287223"/>
      <w:r>
        <w:rPr>
          <w:rFonts w:hint="eastAsia" w:ascii="Times New Roman" w:hAnsi="Times New Roman" w:eastAsia="仿宋_GB2312" w:cs="仿宋_GB2312"/>
          <w:sz w:val="32"/>
          <w:szCs w:val="32"/>
        </w:rPr>
        <w:t>4.产出成本</w:t>
      </w:r>
      <w:bookmarkEnd w:id="91"/>
      <w:bookmarkEnd w:id="92"/>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（1）成本节约率（总分5分，得分5分）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本项目计划成本为</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307</w:t>
      </w: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200</w:t>
      </w:r>
      <w:r>
        <w:rPr>
          <w:rFonts w:hint="eastAsia" w:ascii="Times New Roman" w:hAnsi="Times New Roman" w:eastAsia="仿宋_GB2312" w:cs="仿宋_GB2312"/>
          <w:sz w:val="32"/>
          <w:szCs w:val="32"/>
        </w:rPr>
        <w:t>.00</w:t>
      </w:r>
      <w:r>
        <w:rPr>
          <w:rFonts w:ascii="Times New Roman" w:hAnsi="Times New Roman" w:eastAsia="仿宋_GB2312" w:cs="仿宋_GB2312"/>
          <w:sz w:val="32"/>
          <w:szCs w:val="32"/>
        </w:rPr>
        <w:t>元，实际成本为2</w:t>
      </w: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122</w:t>
      </w:r>
      <w:r>
        <w:rPr>
          <w:rFonts w:hint="eastAsia" w:ascii="Times New Roman" w:hAnsi="Times New Roman" w:eastAsia="仿宋_GB2312" w:cs="仿宋_GB2312"/>
          <w:sz w:val="32"/>
          <w:szCs w:val="32"/>
        </w:rPr>
        <w:t>,</w:t>
      </w:r>
      <w:r>
        <w:rPr>
          <w:rFonts w:ascii="Times New Roman" w:hAnsi="Times New Roman" w:eastAsia="仿宋_GB2312" w:cs="仿宋_GB2312"/>
          <w:sz w:val="32"/>
          <w:szCs w:val="32"/>
        </w:rPr>
        <w:t>200</w:t>
      </w:r>
      <w:r>
        <w:rPr>
          <w:rFonts w:hint="eastAsia" w:ascii="Times New Roman" w:hAnsi="Times New Roman" w:eastAsia="仿宋_GB2312" w:cs="仿宋_GB2312"/>
          <w:sz w:val="32"/>
          <w:szCs w:val="32"/>
        </w:rPr>
        <w:t>.00</w:t>
      </w:r>
      <w:r>
        <w:rPr>
          <w:rFonts w:ascii="Times New Roman" w:hAnsi="Times New Roman" w:eastAsia="仿宋_GB2312" w:cs="仿宋_GB2312"/>
          <w:sz w:val="32"/>
          <w:szCs w:val="32"/>
        </w:rPr>
        <w:t>元。</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成本节约率</w:t>
      </w:r>
      <w:r>
        <w:rPr>
          <w:rFonts w:ascii="Times New Roman" w:hAnsi="Times New Roman" w:eastAsia="仿宋_GB2312" w:cs="仿宋_GB2312"/>
          <w:sz w:val="32"/>
          <w:szCs w:val="32"/>
        </w:rPr>
        <w:t>=［（计划成本-实际成本）/计划成本］×100%=［（2307200-2122200）/2307200］×100%＞0</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该指标得分为5分。</w:t>
      </w:r>
    </w:p>
    <w:p>
      <w:pPr>
        <w:spacing w:line="360" w:lineRule="auto"/>
        <w:ind w:firstLine="640" w:firstLineChars="200"/>
        <w:outlineLvl w:val="1"/>
        <w:rPr>
          <w:rFonts w:ascii="楷体_GB2312" w:hAnsi="Times New Roman" w:eastAsia="楷体_GB2312" w:cs="仿宋_GB2312"/>
          <w:sz w:val="32"/>
          <w:szCs w:val="32"/>
        </w:rPr>
      </w:pPr>
      <w:bookmarkStart w:id="93" w:name="_Toc66801474"/>
      <w:bookmarkStart w:id="94" w:name="_Toc92287224"/>
      <w:r>
        <w:rPr>
          <w:rFonts w:hint="eastAsia" w:ascii="楷体_GB2312" w:hAnsi="Times New Roman" w:eastAsia="楷体_GB2312" w:cs="仿宋_GB2312"/>
          <w:sz w:val="32"/>
          <w:szCs w:val="32"/>
        </w:rPr>
        <w:t>（四）项目效益情况</w:t>
      </w:r>
      <w:bookmarkEnd w:id="93"/>
      <w:bookmarkEnd w:id="94"/>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效益指标为项目效益1项二级指标，3项三级指标，基础总分20分，合计得分20分。</w:t>
      </w:r>
    </w:p>
    <w:p>
      <w:pPr>
        <w:spacing w:line="360" w:lineRule="auto"/>
        <w:ind w:firstLine="640" w:firstLineChars="200"/>
        <w:outlineLvl w:val="2"/>
        <w:rPr>
          <w:rFonts w:ascii="Times New Roman" w:hAnsi="Times New Roman" w:eastAsia="仿宋_GB2312" w:cs="仿宋_GB2312"/>
          <w:sz w:val="32"/>
          <w:szCs w:val="32"/>
        </w:rPr>
      </w:pPr>
      <w:bookmarkStart w:id="95" w:name="_Toc66801475"/>
      <w:bookmarkStart w:id="96" w:name="_Toc92287225"/>
      <w:r>
        <w:rPr>
          <w:rFonts w:hint="eastAsia" w:ascii="Times New Roman" w:hAnsi="Times New Roman" w:eastAsia="仿宋_GB2312" w:cs="仿宋_GB2312"/>
          <w:sz w:val="32"/>
          <w:szCs w:val="32"/>
        </w:rPr>
        <w:t>1.项目效益</w:t>
      </w:r>
      <w:bookmarkEnd w:id="95"/>
      <w:bookmarkEnd w:id="96"/>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（1）社会效益（总分10分，得分10分）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绩效评价人员通过各大新闻平台查阅到东丽区文化旅游体育局</w:t>
      </w:r>
      <w:r>
        <w:rPr>
          <w:rFonts w:ascii="Times New Roman" w:hAnsi="Times New Roman" w:eastAsia="仿宋_GB2312" w:cs="仿宋_GB2312"/>
          <w:sz w:val="32"/>
          <w:szCs w:val="32"/>
        </w:rPr>
        <w:t>2020年开展了各项活动，提升了基层公共文化服务的覆盖率。</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该指标得分为10分。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（2）可持续影响（总分5分，得分5分）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绩效评价人员对东丽区文化旅游体育局涉及基层公共文化服务开展的活动后续通过问卷进行调查，群众普遍评价良好，满足群众精神文化生活需求，可持续性强。</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该指标得分为5分。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（3）服务对象满意度（总分5分，得分</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本次调查共发放份</w:t>
      </w:r>
      <w:r>
        <w:rPr>
          <w:rFonts w:ascii="Times New Roman" w:hAnsi="Times New Roman" w:eastAsia="仿宋_GB2312" w:cs="仿宋_GB2312"/>
          <w:sz w:val="32"/>
          <w:szCs w:val="32"/>
        </w:rPr>
        <w:t>40问卷，回收有效问卷28份。根据每张问卷得分及问卷份数进行算数平均，最终本项目服务对象满意度得分为92.86分。</w:t>
      </w: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分。</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97" w:name="_Toc66801476"/>
      <w:bookmarkStart w:id="98" w:name="_Toc92287226"/>
      <w:r>
        <w:rPr>
          <w:rFonts w:hint="eastAsia" w:ascii="Times New Roman" w:hAnsi="黑体" w:eastAsia="黑体" w:cs="黑体"/>
          <w:sz w:val="32"/>
          <w:szCs w:val="32"/>
        </w:rPr>
        <w:t>五、存在的问题</w:t>
      </w:r>
      <w:bookmarkEnd w:id="97"/>
      <w:bookmarkEnd w:id="98"/>
    </w:p>
    <w:p>
      <w:pPr>
        <w:spacing w:line="360" w:lineRule="auto"/>
        <w:ind w:firstLine="640" w:firstLineChars="200"/>
        <w:outlineLvl w:val="1"/>
        <w:rPr>
          <w:rFonts w:ascii="楷体_GB2312" w:hAnsi="Times New Roman" w:eastAsia="楷体_GB2312" w:cs="仿宋_GB2312"/>
          <w:sz w:val="32"/>
          <w:szCs w:val="32"/>
        </w:rPr>
      </w:pPr>
      <w:bookmarkStart w:id="99" w:name="_Toc66801477"/>
      <w:bookmarkStart w:id="100" w:name="_Toc92287227"/>
      <w:bookmarkStart w:id="101" w:name="_Hlk91497549"/>
      <w:r>
        <w:rPr>
          <w:rFonts w:hint="eastAsia" w:ascii="楷体_GB2312" w:hAnsi="Times New Roman" w:eastAsia="楷体_GB2312" w:cs="仿宋_GB2312"/>
          <w:sz w:val="32"/>
          <w:szCs w:val="32"/>
        </w:rPr>
        <w:t>（一）</w:t>
      </w:r>
      <w:bookmarkEnd w:id="99"/>
      <w:r>
        <w:rPr>
          <w:rFonts w:hint="eastAsia" w:ascii="楷体_GB2312" w:hAnsi="Times New Roman" w:eastAsia="楷体_GB2312" w:cs="仿宋_GB2312"/>
          <w:sz w:val="32"/>
          <w:szCs w:val="32"/>
        </w:rPr>
        <w:t>项目立项程序不规范</w:t>
      </w:r>
      <w:bookmarkEnd w:id="100"/>
    </w:p>
    <w:p>
      <w:pPr>
        <w:spacing w:line="360" w:lineRule="auto"/>
        <w:ind w:firstLine="640" w:firstLineChars="200"/>
        <w:rPr>
          <w:rFonts w:ascii="仿宋_GB2312" w:hAnsi="Times New Roman" w:eastAsia="仿宋_GB2312" w:cs="仿宋_GB2312"/>
          <w:color w:val="000000" w:themeColor="text1"/>
          <w:sz w:val="32"/>
          <w:szCs w:val="32"/>
          <w14:textFill>
            <w14:solidFill>
              <w14:schemeClr w14:val="tx1"/>
            </w14:solidFill>
          </w14:textFill>
        </w:rPr>
      </w:pPr>
      <w:bookmarkStart w:id="102" w:name="_Toc92283002"/>
      <w:bookmarkStart w:id="103" w:name="_Toc92283158"/>
      <w:r>
        <w:rPr>
          <w:rFonts w:hint="eastAsia" w:ascii="仿宋_GB2312" w:hAnsi="Times New Roman" w:eastAsia="仿宋_GB2312" w:cs="仿宋_GB2312"/>
          <w:color w:val="000000" w:themeColor="text1"/>
          <w:sz w:val="32"/>
          <w:szCs w:val="32"/>
          <w14:textFill>
            <w14:solidFill>
              <w14:schemeClr w14:val="tx1"/>
            </w14:solidFill>
          </w14:textFill>
        </w:rPr>
        <w:t>本项目因《中共天津市委办公厅、天津市人民政府办公厅关于加快构建现代公共文化服务体系的实施意见》</w:t>
      </w:r>
      <w:r>
        <w:rPr>
          <w:rFonts w:ascii="仿宋_GB2312" w:hAnsi="Times New Roman" w:eastAsia="仿宋_GB2312" w:cs="仿宋_GB2312"/>
          <w:color w:val="000000" w:themeColor="text1"/>
          <w:sz w:val="32"/>
          <w:szCs w:val="32"/>
          <w14:textFill>
            <w14:solidFill>
              <w14:schemeClr w14:val="tx1"/>
            </w14:solidFill>
          </w14:textFill>
        </w:rPr>
        <w:t>(津党厅发(2015) 35号)、《市财政局、市文化广播影视局、市文物局、市新闻出版局、市体育局关于印发天津市基层公共文化服务体系建设专项资金管理暂行办法的通知》(津财教(2015) 59号)、《东丽区人民政府办公室关于印发文化发展专项资金管理暂行办法的通知》(东丽政办(2017)5号)、《东丽区聘用文化管理员岗位实施方案》等文件为下发文件，无项目申请立项批复流程。</w:t>
      </w:r>
      <w:bookmarkEnd w:id="102"/>
      <w:bookmarkEnd w:id="103"/>
    </w:p>
    <w:p>
      <w:pPr>
        <w:spacing w:line="360" w:lineRule="auto"/>
        <w:ind w:firstLine="640" w:firstLineChars="200"/>
        <w:outlineLvl w:val="1"/>
        <w:rPr>
          <w:rFonts w:ascii="楷体_GB2312" w:hAnsi="Times New Roman" w:eastAsia="楷体_GB2312" w:cs="仿宋_GB2312"/>
          <w:sz w:val="32"/>
          <w:szCs w:val="32"/>
        </w:rPr>
      </w:pPr>
      <w:bookmarkStart w:id="104" w:name="_Toc92287228"/>
      <w:r>
        <w:rPr>
          <w:rFonts w:hint="eastAsia" w:ascii="楷体_GB2312" w:hAnsi="Times New Roman" w:eastAsia="楷体_GB2312" w:cs="仿宋_GB2312"/>
          <w:sz w:val="32"/>
          <w:szCs w:val="32"/>
        </w:rPr>
        <w:t>（二）项目绩效目标制定不合理</w:t>
      </w:r>
      <w:bookmarkEnd w:id="104"/>
    </w:p>
    <w:p>
      <w:pPr>
        <w:spacing w:line="360" w:lineRule="auto"/>
        <w:ind w:firstLine="640" w:firstLineChars="200"/>
        <w:rPr>
          <w:rFonts w:ascii="仿宋_GB2312" w:hAnsi="Times New Roman" w:eastAsia="仿宋_GB2312" w:cs="仿宋_GB2312"/>
          <w:color w:val="000000" w:themeColor="text1"/>
          <w:sz w:val="32"/>
          <w:szCs w:val="32"/>
          <w14:textFill>
            <w14:solidFill>
              <w14:schemeClr w14:val="tx1"/>
            </w14:solidFill>
          </w14:textFill>
        </w:rPr>
      </w:pPr>
      <w:bookmarkStart w:id="105" w:name="_Toc92186135"/>
      <w:bookmarkStart w:id="106" w:name="_Toc92283004"/>
      <w:bookmarkStart w:id="107" w:name="_Toc92283160"/>
      <w:r>
        <w:rPr>
          <w:rFonts w:hint="eastAsia" w:ascii="仿宋_GB2312" w:hAnsi="Times New Roman" w:eastAsia="仿宋_GB2312" w:cs="仿宋_GB2312"/>
          <w:color w:val="000000" w:themeColor="text1"/>
          <w:sz w:val="32"/>
          <w:szCs w:val="32"/>
          <w14:textFill>
            <w14:solidFill>
              <w14:schemeClr w14:val="tx1"/>
            </w14:solidFill>
          </w14:textFill>
        </w:rPr>
        <w:t>本项目制定绩效目标质量指标与社会效益指标存在内容重复现象。</w:t>
      </w:r>
      <w:bookmarkEnd w:id="105"/>
      <w:bookmarkEnd w:id="106"/>
      <w:bookmarkEnd w:id="107"/>
    </w:p>
    <w:p>
      <w:pPr>
        <w:spacing w:line="360" w:lineRule="auto"/>
        <w:ind w:left="420" w:leftChars="200" w:firstLine="320" w:firstLineChars="100"/>
        <w:outlineLvl w:val="1"/>
        <w:rPr>
          <w:rFonts w:ascii="楷体_GB2312" w:hAnsi="Times New Roman" w:eastAsia="楷体_GB2312" w:cs="仿宋_GB2312"/>
          <w:sz w:val="32"/>
          <w:szCs w:val="32"/>
        </w:rPr>
      </w:pPr>
      <w:bookmarkStart w:id="108" w:name="_Toc92287229"/>
      <w:r>
        <w:rPr>
          <w:rFonts w:hint="eastAsia" w:ascii="楷体_GB2312" w:hAnsi="Times New Roman" w:eastAsia="楷体_GB2312" w:cs="仿宋_GB2312"/>
          <w:sz w:val="32"/>
          <w:szCs w:val="32"/>
        </w:rPr>
        <w:t>（三）项目绩效目标不明确</w:t>
      </w:r>
      <w:bookmarkEnd w:id="108"/>
    </w:p>
    <w:p>
      <w:pPr>
        <w:spacing w:line="360" w:lineRule="auto"/>
        <w:ind w:firstLine="640" w:firstLineChars="200"/>
        <w:rPr>
          <w:rFonts w:ascii="仿宋_GB2312" w:hAnsi="Times New Roman" w:eastAsia="仿宋_GB2312" w:cs="仿宋_GB2312"/>
          <w:color w:val="000000" w:themeColor="text1"/>
          <w:sz w:val="32"/>
          <w:szCs w:val="32"/>
          <w14:textFill>
            <w14:solidFill>
              <w14:schemeClr w14:val="tx1"/>
            </w14:solidFill>
          </w14:textFill>
        </w:rPr>
      </w:pPr>
      <w:bookmarkStart w:id="109" w:name="_Toc92186137"/>
      <w:bookmarkStart w:id="110" w:name="_Toc92283006"/>
      <w:bookmarkStart w:id="111" w:name="_Toc92283162"/>
      <w:r>
        <w:rPr>
          <w:rFonts w:hint="eastAsia" w:ascii="仿宋_GB2312" w:hAnsi="Times New Roman" w:eastAsia="仿宋_GB2312" w:cs="仿宋_GB2312"/>
          <w:color w:val="000000" w:themeColor="text1"/>
          <w:sz w:val="32"/>
          <w:szCs w:val="32"/>
          <w14:textFill>
            <w14:solidFill>
              <w14:schemeClr w14:val="tx1"/>
            </w14:solidFill>
          </w14:textFill>
        </w:rPr>
        <w:t>社会效益绩效指标制定量化不清晰、可衡量性不足。</w:t>
      </w:r>
      <w:bookmarkEnd w:id="109"/>
      <w:bookmarkEnd w:id="110"/>
      <w:bookmarkEnd w:id="111"/>
    </w:p>
    <w:bookmarkEnd w:id="101"/>
    <w:p>
      <w:pPr>
        <w:spacing w:line="360" w:lineRule="auto"/>
        <w:ind w:left="420" w:leftChars="200" w:firstLine="320" w:firstLineChars="100"/>
        <w:outlineLvl w:val="1"/>
        <w:rPr>
          <w:rFonts w:ascii="楷体_GB2312" w:hAnsi="Times New Roman" w:eastAsia="楷体_GB2312" w:cs="仿宋_GB2312"/>
          <w:sz w:val="32"/>
          <w:szCs w:val="32"/>
        </w:rPr>
      </w:pPr>
      <w:bookmarkStart w:id="112" w:name="_Toc92287230"/>
      <w:bookmarkStart w:id="113" w:name="_Toc66801482"/>
      <w:r>
        <w:rPr>
          <w:rFonts w:hint="eastAsia" w:ascii="楷体_GB2312" w:hAnsi="Times New Roman" w:eastAsia="楷体_GB2312" w:cs="仿宋_GB2312"/>
          <w:sz w:val="32"/>
          <w:szCs w:val="32"/>
        </w:rPr>
        <w:t>（四）项目结余资金用途不规范</w:t>
      </w:r>
      <w:bookmarkEnd w:id="112"/>
    </w:p>
    <w:p>
      <w:pPr>
        <w:spacing w:line="360" w:lineRule="auto"/>
        <w:ind w:firstLine="640" w:firstLineChars="200"/>
        <w:rPr>
          <w:rFonts w:ascii="仿宋_GB2312" w:hAnsi="Times New Roman" w:eastAsia="仿宋_GB2312" w:cs="仿宋_GB2312"/>
          <w:color w:val="000000" w:themeColor="text1"/>
          <w:sz w:val="32"/>
          <w:szCs w:val="32"/>
          <w14:textFill>
            <w14:solidFill>
              <w14:schemeClr w14:val="tx1"/>
            </w14:solidFill>
          </w14:textFill>
        </w:rPr>
      </w:pPr>
      <w:r>
        <w:rPr>
          <w:rFonts w:ascii="仿宋_GB2312" w:hAnsi="Times New Roman" w:eastAsia="仿宋_GB2312" w:cs="仿宋_GB2312"/>
          <w:color w:val="000000" w:themeColor="text1"/>
          <w:sz w:val="32"/>
          <w:szCs w:val="32"/>
          <w14:textFill>
            <w14:solidFill>
              <w14:schemeClr w14:val="tx1"/>
            </w14:solidFill>
          </w14:textFill>
        </w:rPr>
        <w:t>结余资金未根据</w:t>
      </w:r>
      <w:r>
        <w:rPr>
          <w:rFonts w:hint="eastAsia" w:ascii="仿宋_GB2312" w:hAnsi="Times New Roman" w:eastAsia="仿宋_GB2312" w:cs="仿宋_GB2312"/>
          <w:color w:val="000000" w:themeColor="text1"/>
          <w:sz w:val="32"/>
          <w:szCs w:val="32"/>
          <w14:textFill>
            <w14:solidFill>
              <w14:schemeClr w14:val="tx1"/>
            </w14:solidFill>
          </w14:textFill>
        </w:rPr>
        <w:t>财政部门规定执结转回财政账户，而是作为滚调资金拨款，用途不规范。</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114" w:name="_Toc92287231"/>
      <w:r>
        <w:rPr>
          <w:rFonts w:hint="eastAsia" w:ascii="Times New Roman" w:hAnsi="黑体" w:eastAsia="黑体" w:cs="黑体"/>
          <w:sz w:val="32"/>
          <w:szCs w:val="32"/>
        </w:rPr>
        <w:t>六、有关建议</w:t>
      </w:r>
      <w:bookmarkEnd w:id="113"/>
      <w:bookmarkEnd w:id="114"/>
    </w:p>
    <w:p>
      <w:pPr>
        <w:spacing w:line="360" w:lineRule="auto"/>
        <w:ind w:firstLine="640" w:firstLineChars="200"/>
        <w:outlineLvl w:val="1"/>
        <w:rPr>
          <w:rFonts w:ascii="楷体_GB2312" w:hAnsi="Times New Roman" w:eastAsia="楷体_GB2312" w:cs="仿宋_GB2312"/>
          <w:sz w:val="32"/>
          <w:szCs w:val="32"/>
        </w:rPr>
      </w:pPr>
      <w:bookmarkStart w:id="115" w:name="_Toc92287232"/>
      <w:bookmarkStart w:id="116" w:name="_Toc66801488"/>
      <w:r>
        <w:rPr>
          <w:rFonts w:hint="eastAsia" w:ascii="楷体_GB2312" w:hAnsi="Times New Roman" w:eastAsia="楷体_GB2312" w:cs="仿宋_GB2312"/>
          <w:sz w:val="32"/>
          <w:szCs w:val="32"/>
        </w:rPr>
        <w:t>（一）</w:t>
      </w:r>
      <w:r>
        <w:rPr>
          <w:rFonts w:ascii="楷体_GB2312" w:hAnsi="Times New Roman" w:eastAsia="楷体_GB2312" w:cs="仿宋_GB2312"/>
          <w:sz w:val="32"/>
          <w:szCs w:val="32"/>
        </w:rPr>
        <w:t>完善立项申请批复流程</w:t>
      </w:r>
      <w:bookmarkEnd w:id="115"/>
    </w:p>
    <w:p>
      <w:pPr>
        <w:spacing w:line="360" w:lineRule="auto"/>
        <w:ind w:firstLine="640" w:firstLineChars="200"/>
        <w:rPr>
          <w:rFonts w:ascii="仿宋_GB2312" w:hAnsi="Times New Roman" w:eastAsia="仿宋_GB2312" w:cs="仿宋_GB2312"/>
          <w:color w:val="000000" w:themeColor="text1"/>
          <w:sz w:val="32"/>
          <w:szCs w:val="32"/>
          <w14:textFill>
            <w14:solidFill>
              <w14:schemeClr w14:val="tx1"/>
            </w14:solidFill>
          </w14:textFill>
        </w:rPr>
      </w:pPr>
      <w:bookmarkStart w:id="117" w:name="_Toc92186140"/>
      <w:bookmarkStart w:id="118" w:name="_Toc92283009"/>
      <w:bookmarkStart w:id="119" w:name="_Toc92283165"/>
      <w:r>
        <w:rPr>
          <w:rFonts w:hint="eastAsia" w:ascii="仿宋_GB2312" w:hAnsi="Times New Roman" w:eastAsia="仿宋_GB2312" w:cs="仿宋_GB2312"/>
          <w:color w:val="000000" w:themeColor="text1"/>
          <w:sz w:val="32"/>
          <w:szCs w:val="32"/>
          <w14:textFill>
            <w14:solidFill>
              <w14:schemeClr w14:val="tx1"/>
            </w14:solidFill>
          </w14:textFill>
        </w:rPr>
        <w:t>建议主管部门完善项目立项申请流程与批复流程，提高立项流程的规范性和严谨性。</w:t>
      </w:r>
      <w:bookmarkEnd w:id="117"/>
      <w:bookmarkEnd w:id="118"/>
      <w:bookmarkEnd w:id="119"/>
    </w:p>
    <w:p>
      <w:pPr>
        <w:spacing w:line="360" w:lineRule="auto"/>
        <w:ind w:firstLine="640" w:firstLineChars="200"/>
        <w:outlineLvl w:val="1"/>
        <w:rPr>
          <w:rFonts w:ascii="楷体_GB2312" w:hAnsi="Times New Roman" w:eastAsia="楷体_GB2312" w:cs="仿宋_GB2312"/>
          <w:sz w:val="32"/>
          <w:szCs w:val="32"/>
        </w:rPr>
      </w:pPr>
      <w:bookmarkStart w:id="120" w:name="_Toc92287233"/>
      <w:r>
        <w:rPr>
          <w:rFonts w:hint="eastAsia" w:ascii="楷体_GB2312" w:hAnsi="Times New Roman" w:eastAsia="楷体_GB2312" w:cs="仿宋_GB2312"/>
          <w:sz w:val="32"/>
          <w:szCs w:val="32"/>
        </w:rPr>
        <w:t>（二）加强项目绩效管理</w:t>
      </w:r>
      <w:bookmarkEnd w:id="120"/>
    </w:p>
    <w:p>
      <w:pPr>
        <w:pStyle w:val="17"/>
      </w:pPr>
      <w:r>
        <w:rPr>
          <w:rFonts w:hint="eastAsia"/>
        </w:rPr>
        <w:t>建议主管部门设定科学的绩效目标与指标。</w:t>
      </w:r>
      <w:r>
        <w:t>指标值的设定要在考虑可实现性的基础上，尽量从严、从高设定，以充分发挥绩效目标对预算编制执行的引导约束和控制作用。</w:t>
      </w:r>
    </w:p>
    <w:p>
      <w:pPr>
        <w:pStyle w:val="17"/>
      </w:pPr>
      <w:r>
        <w:rPr>
          <w:rFonts w:hint="eastAsia"/>
        </w:rPr>
        <w:t>例如，质量指标设置为：群众对活动开展认可度≥90</w:t>
      </w:r>
      <w:r>
        <w:t>%</w:t>
      </w:r>
      <w:r>
        <w:rPr>
          <w:rFonts w:hint="eastAsia"/>
        </w:rPr>
        <w:t>；</w:t>
      </w:r>
    </w:p>
    <w:p>
      <w:pPr>
        <w:pStyle w:val="17"/>
      </w:pPr>
      <w:r>
        <w:rPr>
          <w:rFonts w:hint="eastAsia"/>
        </w:rPr>
        <w:t>社会效益指标设置为：活动开展对群众的影响力≥90</w:t>
      </w:r>
      <w:r>
        <w:t>%</w:t>
      </w:r>
      <w:r>
        <w:rPr>
          <w:rFonts w:hint="eastAsia"/>
        </w:rPr>
        <w:t>。</w:t>
      </w:r>
    </w:p>
    <w:p>
      <w:pPr>
        <w:spacing w:line="360" w:lineRule="auto"/>
        <w:ind w:firstLine="640" w:firstLineChars="200"/>
        <w:outlineLvl w:val="1"/>
        <w:rPr>
          <w:rFonts w:ascii="楷体_GB2312" w:hAnsi="Times New Roman" w:eastAsia="楷体_GB2312" w:cs="仿宋_GB2312"/>
          <w:sz w:val="32"/>
          <w:szCs w:val="32"/>
        </w:rPr>
      </w:pPr>
      <w:bookmarkStart w:id="121" w:name="_Toc92287234"/>
      <w:r>
        <w:rPr>
          <w:rFonts w:hint="eastAsia" w:ascii="楷体_GB2312" w:hAnsi="Times New Roman" w:eastAsia="楷体_GB2312" w:cs="仿宋_GB2312"/>
          <w:sz w:val="32"/>
          <w:szCs w:val="32"/>
        </w:rPr>
        <w:t>（三）明确结余资金用途</w:t>
      </w:r>
      <w:bookmarkEnd w:id="121"/>
    </w:p>
    <w:p>
      <w:pPr>
        <w:pStyle w:val="17"/>
      </w:pPr>
      <w:r>
        <w:rPr>
          <w:rFonts w:hint="eastAsia"/>
        </w:rPr>
        <w:t>建议主管部门对于结余资金用途按照财政部门规定执行。</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122" w:name="_Toc92287235"/>
      <w:r>
        <w:rPr>
          <w:rFonts w:hint="eastAsia" w:ascii="Times New Roman" w:hAnsi="黑体" w:eastAsia="黑体" w:cs="黑体"/>
          <w:sz w:val="32"/>
          <w:szCs w:val="32"/>
        </w:rPr>
        <w:t>七、其他需要说明的问题</w:t>
      </w:r>
      <w:bookmarkEnd w:id="116"/>
      <w:bookmarkEnd w:id="122"/>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无</w:t>
      </w:r>
    </w:p>
    <w:p>
      <w:pPr>
        <w:spacing w:line="360" w:lineRule="auto"/>
        <w:ind w:firstLine="640" w:firstLineChars="200"/>
        <w:rPr>
          <w:rFonts w:ascii="Times New Roman" w:hAnsi="Times New Roman" w:eastAsia="仿宋_GB2312" w:cs="仿宋_GB2312"/>
          <w:sz w:val="32"/>
          <w:szCs w:val="32"/>
        </w:rPr>
      </w:pPr>
    </w:p>
    <w:p>
      <w:pPr>
        <w:spacing w:line="360" w:lineRule="auto"/>
        <w:ind w:firstLine="640" w:firstLineChars="200"/>
        <w:rPr>
          <w:rFonts w:ascii="Times New Roman" w:hAnsi="Times New Roman" w:eastAsia="仿宋_GB2312" w:cs="仿宋_GB2312"/>
          <w:sz w:val="32"/>
          <w:szCs w:val="32"/>
        </w:rPr>
      </w:pP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附件：基层公共文化服务补助资金项目绩效评价指标体系及评分表</w:t>
      </w:r>
    </w:p>
    <w:p>
      <w:pPr>
        <w:spacing w:line="360" w:lineRule="auto"/>
        <w:ind w:firstLine="640" w:firstLineChars="200"/>
        <w:rPr>
          <w:rFonts w:ascii="Times New Roman" w:hAnsi="Times New Roman" w:eastAsia="仿宋_GB2312" w:cs="仿宋_GB2312"/>
          <w:sz w:val="32"/>
          <w:szCs w:val="32"/>
        </w:rPr>
      </w:pPr>
    </w:p>
    <w:p>
      <w:pPr>
        <w:spacing w:line="360" w:lineRule="auto"/>
        <w:ind w:firstLine="640" w:firstLineChars="200"/>
        <w:rPr>
          <w:rFonts w:ascii="Times New Roman" w:hAnsi="Times New Roman" w:eastAsia="仿宋_GB2312" w:cs="仿宋_GB2312"/>
          <w:sz w:val="32"/>
          <w:szCs w:val="32"/>
        </w:rPr>
      </w:pPr>
    </w:p>
    <w:p>
      <w:pPr>
        <w:spacing w:line="360" w:lineRule="auto"/>
        <w:ind w:firstLine="640" w:firstLineChars="200"/>
        <w:rPr>
          <w:rFonts w:ascii="Times New Roman" w:hAnsi="Times New Roman" w:eastAsia="仿宋_GB2312" w:cs="仿宋_GB2312"/>
          <w:sz w:val="32"/>
          <w:szCs w:val="32"/>
        </w:rPr>
      </w:pPr>
    </w:p>
    <w:p>
      <w:pPr>
        <w:spacing w:line="360" w:lineRule="auto"/>
        <w:ind w:firstLine="640" w:firstLineChars="200"/>
        <w:rPr>
          <w:rFonts w:ascii="Times New Roman" w:hAnsi="Times New Roman" w:eastAsia="仿宋_GB2312" w:cs="仿宋_GB2312"/>
          <w:sz w:val="32"/>
          <w:szCs w:val="32"/>
        </w:rPr>
      </w:pPr>
    </w:p>
    <w:p>
      <w:pPr>
        <w:spacing w:line="360" w:lineRule="auto"/>
        <w:ind w:firstLine="640" w:firstLineChars="200"/>
        <w:rPr>
          <w:rFonts w:ascii="Times New Roman" w:hAnsi="Times New Roman" w:eastAsia="仿宋_GB2312" w:cs="仿宋_GB2312"/>
          <w:sz w:val="32"/>
          <w:szCs w:val="32"/>
        </w:rPr>
      </w:pPr>
    </w:p>
    <w:p>
      <w:pPr>
        <w:spacing w:line="360" w:lineRule="auto"/>
        <w:ind w:firstLine="640" w:firstLineChars="200"/>
        <w:rPr>
          <w:rFonts w:ascii="Times New Roman" w:hAnsi="Times New Roman" w:eastAsia="仿宋_GB2312" w:cs="仿宋_GB2312"/>
          <w:sz w:val="32"/>
          <w:szCs w:val="32"/>
        </w:rPr>
      </w:pPr>
    </w:p>
    <w:p>
      <w:pPr>
        <w:spacing w:line="360" w:lineRule="auto"/>
        <w:ind w:firstLine="640" w:firstLineChars="200"/>
        <w:rPr>
          <w:rFonts w:ascii="Times New Roman" w:hAnsi="Times New Roman" w:eastAsia="仿宋_GB2312" w:cs="仿宋_GB2312"/>
          <w:sz w:val="32"/>
          <w:szCs w:val="32"/>
        </w:rPr>
      </w:pPr>
    </w:p>
    <w:p>
      <w:pPr>
        <w:spacing w:line="360" w:lineRule="auto"/>
        <w:ind w:firstLine="640" w:firstLineChars="200"/>
        <w:rPr>
          <w:rFonts w:ascii="Times New Roman" w:hAnsi="Times New Roman" w:eastAsia="仿宋_GB2312" w:cs="仿宋_GB2312"/>
          <w:sz w:val="32"/>
          <w:szCs w:val="32"/>
        </w:rPr>
      </w:pPr>
    </w:p>
    <w:p>
      <w:pPr>
        <w:spacing w:line="360" w:lineRule="auto"/>
        <w:ind w:firstLine="640" w:firstLineChars="200"/>
        <w:rPr>
          <w:rFonts w:ascii="Times New Roman" w:hAnsi="Times New Roman" w:eastAsia="仿宋_GB2312" w:cs="仿宋_GB2312"/>
          <w:sz w:val="32"/>
          <w:szCs w:val="32"/>
        </w:rPr>
      </w:pPr>
    </w:p>
    <w:p>
      <w:pPr>
        <w:tabs>
          <w:tab w:val="left" w:pos="5565"/>
        </w:tabs>
        <w:snapToGrid w:val="0"/>
        <w:spacing w:line="360" w:lineRule="auto"/>
        <w:ind w:firstLine="360" w:firstLineChars="150"/>
        <w:jc w:val="right"/>
        <w:rPr>
          <w:rFonts w:ascii="Arial Narrow" w:hAnsi="Arial Narrow" w:eastAsia="宋体"/>
          <w:sz w:val="24"/>
          <w:szCs w:val="24"/>
        </w:rPr>
      </w:pPr>
      <w:r>
        <w:rPr>
          <w:rFonts w:ascii="Arial Narrow" w:hAnsi="Arial Narrow" w:eastAsia="宋体"/>
          <w:sz w:val="24"/>
          <w:szCs w:val="24"/>
        </w:rPr>
        <w:t>天津丞明会计师事务所（普通合伙）</w:t>
      </w:r>
    </w:p>
    <w:p>
      <w:pPr>
        <w:tabs>
          <w:tab w:val="left" w:pos="5245"/>
        </w:tabs>
        <w:snapToGrid w:val="0"/>
        <w:spacing w:line="360" w:lineRule="auto"/>
        <w:ind w:firstLine="1200" w:firstLineChars="500"/>
        <w:rPr>
          <w:rFonts w:ascii="Arial Narrow" w:hAnsi="Arial Narrow" w:eastAsia="宋体"/>
        </w:rPr>
      </w:pPr>
      <w:r>
        <w:rPr>
          <w:rFonts w:ascii="Arial Narrow" w:hAnsi="Arial Narrow" w:eastAsia="宋体"/>
          <w:sz w:val="24"/>
          <w:szCs w:val="24"/>
        </w:rPr>
        <w:tab/>
      </w:r>
      <w:r>
        <w:rPr>
          <w:rFonts w:ascii="Arial Narrow" w:hAnsi="Arial Narrow" w:eastAsia="宋体"/>
          <w:sz w:val="24"/>
          <w:szCs w:val="24"/>
        </w:rPr>
        <w:tab/>
      </w:r>
      <w:r>
        <w:rPr>
          <w:rFonts w:ascii="Arial Narrow" w:hAnsi="Arial Narrow" w:eastAsia="宋体"/>
          <w:sz w:val="24"/>
          <w:szCs w:val="24"/>
        </w:rPr>
        <w:tab/>
      </w:r>
      <w:r>
        <w:rPr>
          <w:rFonts w:ascii="Arial Narrow" w:hAnsi="Arial Narrow" w:eastAsia="宋体"/>
          <w:sz w:val="24"/>
          <w:szCs w:val="24"/>
        </w:rPr>
        <w:t>202</w:t>
      </w:r>
      <w:r>
        <w:rPr>
          <w:rFonts w:hint="eastAsia" w:ascii="Arial Narrow" w:hAnsi="Arial Narrow" w:eastAsia="宋体"/>
          <w:sz w:val="24"/>
          <w:szCs w:val="24"/>
        </w:rPr>
        <w:t>*</w:t>
      </w:r>
      <w:r>
        <w:rPr>
          <w:rFonts w:ascii="Arial Narrow" w:hAnsi="Arial Narrow" w:eastAsia="宋体"/>
          <w:sz w:val="24"/>
          <w:szCs w:val="24"/>
        </w:rPr>
        <w:t>年</w:t>
      </w:r>
      <w:r>
        <w:rPr>
          <w:rFonts w:hint="eastAsia" w:ascii="Arial Narrow" w:hAnsi="Arial Narrow" w:eastAsia="宋体"/>
          <w:sz w:val="24"/>
          <w:szCs w:val="24"/>
        </w:rPr>
        <w:t xml:space="preserve"> **</w:t>
      </w:r>
      <w:r>
        <w:rPr>
          <w:rFonts w:ascii="Arial Narrow" w:hAnsi="Arial Narrow" w:eastAsia="宋体"/>
          <w:sz w:val="24"/>
          <w:szCs w:val="24"/>
        </w:rPr>
        <w:t>月</w:t>
      </w:r>
      <w:r>
        <w:rPr>
          <w:rFonts w:hint="eastAsia" w:ascii="Arial Narrow" w:hAnsi="Arial Narrow" w:eastAsia="宋体"/>
          <w:sz w:val="24"/>
          <w:szCs w:val="24"/>
        </w:rPr>
        <w:t>**</w:t>
      </w:r>
      <w:r>
        <w:rPr>
          <w:rFonts w:ascii="Arial Narrow" w:hAnsi="Arial Narrow" w:eastAsia="宋体"/>
          <w:sz w:val="24"/>
          <w:szCs w:val="24"/>
        </w:rPr>
        <w:t>日</w:t>
      </w:r>
    </w:p>
    <w:p>
      <w:pPr>
        <w:spacing w:line="360" w:lineRule="auto"/>
        <w:ind w:firstLine="640" w:firstLineChars="200"/>
        <w:rPr>
          <w:rFonts w:ascii="Times New Roman" w:hAnsi="Times New Roman" w:eastAsia="仿宋_GB2312" w:cs="仿宋_GB2312"/>
          <w:sz w:val="32"/>
          <w:szCs w:val="32"/>
        </w:rPr>
      </w:pPr>
    </w:p>
    <w:p>
      <w:pPr>
        <w:pStyle w:val="17"/>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9355563"/>
      <w:docPartObj>
        <w:docPartGallery w:val="AutoText"/>
      </w:docPartObj>
    </w:sdtPr>
    <w:sdtEndPr>
      <w:rPr>
        <w:rFonts w:ascii="Times New Roman" w:hAnsi="Times New Roman" w:cs="Times New Roman"/>
        <w:sz w:val="22"/>
        <w:szCs w:val="22"/>
      </w:rPr>
    </w:sdtEndPr>
    <w:sdtContent>
      <w:p>
        <w:pPr>
          <w:pStyle w:val="5"/>
          <w:jc w:val="center"/>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PAGE   \* MERGEFORMAT</w:instrText>
        </w:r>
        <w:r>
          <w:rPr>
            <w:rFonts w:ascii="Times New Roman" w:hAnsi="Times New Roman" w:cs="Times New Roman"/>
            <w:sz w:val="22"/>
            <w:szCs w:val="22"/>
          </w:rPr>
          <w:fldChar w:fldCharType="separate"/>
        </w:r>
        <w:r>
          <w:rPr>
            <w:rFonts w:ascii="Times New Roman" w:hAnsi="Times New Roman" w:cs="Times New Roman"/>
            <w:sz w:val="22"/>
            <w:szCs w:val="22"/>
            <w:lang w:val="zh-CN"/>
          </w:rPr>
          <w:t>I</w:t>
        </w:r>
        <w:r>
          <w:rPr>
            <w:rFonts w:ascii="Times New Roman" w:hAnsi="Times New Roman" w:cs="Times New Roman"/>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8230971"/>
      <w:docPartObj>
        <w:docPartGallery w:val="AutoText"/>
      </w:docPartObj>
    </w:sdtPr>
    <w:sdtEndPr>
      <w:rPr>
        <w:sz w:val="22"/>
        <w:szCs w:val="22"/>
      </w:rPr>
    </w:sdtEndPr>
    <w:sdtContent>
      <w:p>
        <w:pPr>
          <w:pStyle w:val="5"/>
          <w:jc w:val="center"/>
          <w:rPr>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PAGE   \* MERGEFORMAT</w:instrText>
        </w:r>
        <w:r>
          <w:rPr>
            <w:rFonts w:ascii="Times New Roman" w:hAnsi="Times New Roman" w:cs="Times New Roman"/>
            <w:sz w:val="22"/>
            <w:szCs w:val="22"/>
          </w:rPr>
          <w:fldChar w:fldCharType="separate"/>
        </w:r>
        <w:r>
          <w:rPr>
            <w:rFonts w:ascii="Times New Roman" w:hAnsi="Times New Roman" w:cs="Times New Roman"/>
            <w:sz w:val="22"/>
            <w:szCs w:val="22"/>
            <w:lang w:val="zh-CN"/>
          </w:rPr>
          <w:t>23</w:t>
        </w:r>
        <w:r>
          <w:rPr>
            <w:rFonts w:ascii="Times New Roman" w:hAnsi="Times New Roman" w:cs="Times New Roman"/>
            <w:sz w:val="22"/>
            <w:szCs w:val="22"/>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wNjRkNTUxYTY0YzFjYWY5MWQxMGMwZDRhZjcwODgifQ=="/>
  </w:docVars>
  <w:rsids>
    <w:rsidRoot w:val="003062A6"/>
    <w:rsid w:val="00005295"/>
    <w:rsid w:val="00005AFE"/>
    <w:rsid w:val="00014CF0"/>
    <w:rsid w:val="00017290"/>
    <w:rsid w:val="00030B23"/>
    <w:rsid w:val="00032637"/>
    <w:rsid w:val="00032D5F"/>
    <w:rsid w:val="00033FD9"/>
    <w:rsid w:val="000344F9"/>
    <w:rsid w:val="00037D10"/>
    <w:rsid w:val="000412C8"/>
    <w:rsid w:val="00043BDD"/>
    <w:rsid w:val="00045044"/>
    <w:rsid w:val="00045AAC"/>
    <w:rsid w:val="00045CA7"/>
    <w:rsid w:val="00047B22"/>
    <w:rsid w:val="0006292F"/>
    <w:rsid w:val="0006376F"/>
    <w:rsid w:val="00063A37"/>
    <w:rsid w:val="00063F7E"/>
    <w:rsid w:val="00065AFF"/>
    <w:rsid w:val="000761F5"/>
    <w:rsid w:val="00085709"/>
    <w:rsid w:val="00085B4D"/>
    <w:rsid w:val="00087B69"/>
    <w:rsid w:val="000967D0"/>
    <w:rsid w:val="000A0BEE"/>
    <w:rsid w:val="000A0EA5"/>
    <w:rsid w:val="000A337A"/>
    <w:rsid w:val="000A6692"/>
    <w:rsid w:val="000B0F36"/>
    <w:rsid w:val="000B1545"/>
    <w:rsid w:val="000B19D3"/>
    <w:rsid w:val="000B3188"/>
    <w:rsid w:val="000B3AB3"/>
    <w:rsid w:val="000B3E42"/>
    <w:rsid w:val="000B4C07"/>
    <w:rsid w:val="000B5F20"/>
    <w:rsid w:val="000C0243"/>
    <w:rsid w:val="000C2244"/>
    <w:rsid w:val="000C5A5F"/>
    <w:rsid w:val="000C71DD"/>
    <w:rsid w:val="000C7BE3"/>
    <w:rsid w:val="000D25B6"/>
    <w:rsid w:val="000D39DC"/>
    <w:rsid w:val="000D52FE"/>
    <w:rsid w:val="000D547C"/>
    <w:rsid w:val="000E1B1E"/>
    <w:rsid w:val="000E5B47"/>
    <w:rsid w:val="000E6673"/>
    <w:rsid w:val="000F699A"/>
    <w:rsid w:val="000F7496"/>
    <w:rsid w:val="00106C33"/>
    <w:rsid w:val="00115CC6"/>
    <w:rsid w:val="00116445"/>
    <w:rsid w:val="001222A1"/>
    <w:rsid w:val="00123AB6"/>
    <w:rsid w:val="00123E41"/>
    <w:rsid w:val="00127A44"/>
    <w:rsid w:val="00131057"/>
    <w:rsid w:val="001320C4"/>
    <w:rsid w:val="0013279D"/>
    <w:rsid w:val="00136AD2"/>
    <w:rsid w:val="00136BE1"/>
    <w:rsid w:val="0014067C"/>
    <w:rsid w:val="001411F5"/>
    <w:rsid w:val="00150689"/>
    <w:rsid w:val="001638FA"/>
    <w:rsid w:val="00166BBA"/>
    <w:rsid w:val="00190813"/>
    <w:rsid w:val="00193E35"/>
    <w:rsid w:val="00196AA7"/>
    <w:rsid w:val="001B5694"/>
    <w:rsid w:val="001B758E"/>
    <w:rsid w:val="001C067F"/>
    <w:rsid w:val="001C1AA6"/>
    <w:rsid w:val="001C4DE7"/>
    <w:rsid w:val="001C4DF1"/>
    <w:rsid w:val="001C571C"/>
    <w:rsid w:val="001C7028"/>
    <w:rsid w:val="001D09FA"/>
    <w:rsid w:val="001D0AB8"/>
    <w:rsid w:val="001D0F93"/>
    <w:rsid w:val="001D2A37"/>
    <w:rsid w:val="001D583E"/>
    <w:rsid w:val="001E3AC6"/>
    <w:rsid w:val="001E7DA2"/>
    <w:rsid w:val="001F11AF"/>
    <w:rsid w:val="001F402C"/>
    <w:rsid w:val="002000E9"/>
    <w:rsid w:val="00202068"/>
    <w:rsid w:val="00204ABF"/>
    <w:rsid w:val="00205BCB"/>
    <w:rsid w:val="00220317"/>
    <w:rsid w:val="00221B9A"/>
    <w:rsid w:val="00222AC3"/>
    <w:rsid w:val="00223523"/>
    <w:rsid w:val="00223DA5"/>
    <w:rsid w:val="00224B76"/>
    <w:rsid w:val="00236259"/>
    <w:rsid w:val="00246A40"/>
    <w:rsid w:val="002475C0"/>
    <w:rsid w:val="002543DB"/>
    <w:rsid w:val="002546EB"/>
    <w:rsid w:val="00262610"/>
    <w:rsid w:val="00266833"/>
    <w:rsid w:val="00266884"/>
    <w:rsid w:val="00266F36"/>
    <w:rsid w:val="00274D10"/>
    <w:rsid w:val="00282258"/>
    <w:rsid w:val="002834C1"/>
    <w:rsid w:val="00285C0B"/>
    <w:rsid w:val="002872BA"/>
    <w:rsid w:val="00295CEB"/>
    <w:rsid w:val="002A74C4"/>
    <w:rsid w:val="002A7B77"/>
    <w:rsid w:val="002B23E9"/>
    <w:rsid w:val="002B3B6C"/>
    <w:rsid w:val="002C2B5E"/>
    <w:rsid w:val="002C6597"/>
    <w:rsid w:val="002D005A"/>
    <w:rsid w:val="002D0D8F"/>
    <w:rsid w:val="002D37F1"/>
    <w:rsid w:val="002D670C"/>
    <w:rsid w:val="002E2A3C"/>
    <w:rsid w:val="002E603B"/>
    <w:rsid w:val="002F0425"/>
    <w:rsid w:val="002F4407"/>
    <w:rsid w:val="00304AFB"/>
    <w:rsid w:val="003062A6"/>
    <w:rsid w:val="003110B7"/>
    <w:rsid w:val="00312D5A"/>
    <w:rsid w:val="00325304"/>
    <w:rsid w:val="00325A05"/>
    <w:rsid w:val="00326FBB"/>
    <w:rsid w:val="003331A2"/>
    <w:rsid w:val="00340393"/>
    <w:rsid w:val="00343503"/>
    <w:rsid w:val="00347DE6"/>
    <w:rsid w:val="003646B6"/>
    <w:rsid w:val="0037482E"/>
    <w:rsid w:val="003851DD"/>
    <w:rsid w:val="00386D9B"/>
    <w:rsid w:val="00386EC7"/>
    <w:rsid w:val="00391AA8"/>
    <w:rsid w:val="00397B49"/>
    <w:rsid w:val="003A2EBD"/>
    <w:rsid w:val="003A3B45"/>
    <w:rsid w:val="003B4FD5"/>
    <w:rsid w:val="003C22DF"/>
    <w:rsid w:val="003C720A"/>
    <w:rsid w:val="003D176A"/>
    <w:rsid w:val="003D1A5B"/>
    <w:rsid w:val="003D6A75"/>
    <w:rsid w:val="003E417F"/>
    <w:rsid w:val="003E7E37"/>
    <w:rsid w:val="003E7FFB"/>
    <w:rsid w:val="003F6D64"/>
    <w:rsid w:val="00404750"/>
    <w:rsid w:val="00404986"/>
    <w:rsid w:val="0040529C"/>
    <w:rsid w:val="00406285"/>
    <w:rsid w:val="00407F17"/>
    <w:rsid w:val="00410E3F"/>
    <w:rsid w:val="00414DD9"/>
    <w:rsid w:val="0042197A"/>
    <w:rsid w:val="00424672"/>
    <w:rsid w:val="00437FC4"/>
    <w:rsid w:val="00441628"/>
    <w:rsid w:val="00451C2F"/>
    <w:rsid w:val="00460217"/>
    <w:rsid w:val="00460AFB"/>
    <w:rsid w:val="0047480C"/>
    <w:rsid w:val="00476475"/>
    <w:rsid w:val="0048233C"/>
    <w:rsid w:val="00482CA1"/>
    <w:rsid w:val="00486E0D"/>
    <w:rsid w:val="0049462C"/>
    <w:rsid w:val="00497BB7"/>
    <w:rsid w:val="004A2449"/>
    <w:rsid w:val="004A253D"/>
    <w:rsid w:val="004A2B34"/>
    <w:rsid w:val="004A39E3"/>
    <w:rsid w:val="004B08D5"/>
    <w:rsid w:val="004B1976"/>
    <w:rsid w:val="004B2137"/>
    <w:rsid w:val="004B5B5C"/>
    <w:rsid w:val="004B6507"/>
    <w:rsid w:val="004C09E8"/>
    <w:rsid w:val="004C48C6"/>
    <w:rsid w:val="004C49B2"/>
    <w:rsid w:val="004D2906"/>
    <w:rsid w:val="004D35B3"/>
    <w:rsid w:val="004D7B96"/>
    <w:rsid w:val="004E18EB"/>
    <w:rsid w:val="004E7224"/>
    <w:rsid w:val="00502C19"/>
    <w:rsid w:val="00510827"/>
    <w:rsid w:val="00513B15"/>
    <w:rsid w:val="005342E0"/>
    <w:rsid w:val="005378F6"/>
    <w:rsid w:val="005433B7"/>
    <w:rsid w:val="0054341D"/>
    <w:rsid w:val="00545B61"/>
    <w:rsid w:val="00555450"/>
    <w:rsid w:val="00570B2B"/>
    <w:rsid w:val="0057259E"/>
    <w:rsid w:val="00572D30"/>
    <w:rsid w:val="00573453"/>
    <w:rsid w:val="005A02B5"/>
    <w:rsid w:val="005A620E"/>
    <w:rsid w:val="005A69BB"/>
    <w:rsid w:val="005A6ED6"/>
    <w:rsid w:val="005B1E24"/>
    <w:rsid w:val="005B3F0C"/>
    <w:rsid w:val="005B54A8"/>
    <w:rsid w:val="005D2257"/>
    <w:rsid w:val="005D6DB8"/>
    <w:rsid w:val="005E0DB6"/>
    <w:rsid w:val="005E6A65"/>
    <w:rsid w:val="005E7FAF"/>
    <w:rsid w:val="00611CFD"/>
    <w:rsid w:val="00615AEC"/>
    <w:rsid w:val="00617B69"/>
    <w:rsid w:val="00621B0B"/>
    <w:rsid w:val="00622554"/>
    <w:rsid w:val="006228F3"/>
    <w:rsid w:val="00625BB4"/>
    <w:rsid w:val="00627886"/>
    <w:rsid w:val="0063217E"/>
    <w:rsid w:val="00632764"/>
    <w:rsid w:val="00642654"/>
    <w:rsid w:val="00645CF4"/>
    <w:rsid w:val="00646FFD"/>
    <w:rsid w:val="00650933"/>
    <w:rsid w:val="00653607"/>
    <w:rsid w:val="00661DFB"/>
    <w:rsid w:val="00662366"/>
    <w:rsid w:val="00664002"/>
    <w:rsid w:val="00665699"/>
    <w:rsid w:val="00666A7B"/>
    <w:rsid w:val="00667122"/>
    <w:rsid w:val="00672A84"/>
    <w:rsid w:val="00673E30"/>
    <w:rsid w:val="0067587D"/>
    <w:rsid w:val="00676A73"/>
    <w:rsid w:val="00680630"/>
    <w:rsid w:val="006862FC"/>
    <w:rsid w:val="00694C98"/>
    <w:rsid w:val="006950C4"/>
    <w:rsid w:val="00696391"/>
    <w:rsid w:val="00697ACE"/>
    <w:rsid w:val="006A0141"/>
    <w:rsid w:val="006A37FE"/>
    <w:rsid w:val="006B44A0"/>
    <w:rsid w:val="006B5722"/>
    <w:rsid w:val="006C10A2"/>
    <w:rsid w:val="006C1C41"/>
    <w:rsid w:val="006C4544"/>
    <w:rsid w:val="006D2F47"/>
    <w:rsid w:val="006E1BFA"/>
    <w:rsid w:val="006F0FE9"/>
    <w:rsid w:val="006F1DA6"/>
    <w:rsid w:val="006F6D80"/>
    <w:rsid w:val="006F73D0"/>
    <w:rsid w:val="00700087"/>
    <w:rsid w:val="00701F6C"/>
    <w:rsid w:val="007037BF"/>
    <w:rsid w:val="00703C7D"/>
    <w:rsid w:val="007059EC"/>
    <w:rsid w:val="007102E6"/>
    <w:rsid w:val="00710AAB"/>
    <w:rsid w:val="007124F3"/>
    <w:rsid w:val="00712E63"/>
    <w:rsid w:val="00713F33"/>
    <w:rsid w:val="007149D2"/>
    <w:rsid w:val="007159CB"/>
    <w:rsid w:val="00715A8B"/>
    <w:rsid w:val="007270D3"/>
    <w:rsid w:val="00731CE8"/>
    <w:rsid w:val="00736B8B"/>
    <w:rsid w:val="00746D16"/>
    <w:rsid w:val="0075045B"/>
    <w:rsid w:val="00752E54"/>
    <w:rsid w:val="007576CA"/>
    <w:rsid w:val="0076710B"/>
    <w:rsid w:val="0077190E"/>
    <w:rsid w:val="00772A6B"/>
    <w:rsid w:val="00776308"/>
    <w:rsid w:val="00776908"/>
    <w:rsid w:val="00777E06"/>
    <w:rsid w:val="00786F67"/>
    <w:rsid w:val="007901BD"/>
    <w:rsid w:val="007A4FC3"/>
    <w:rsid w:val="007B1462"/>
    <w:rsid w:val="007B302D"/>
    <w:rsid w:val="007B49A0"/>
    <w:rsid w:val="007B56E9"/>
    <w:rsid w:val="007C3BFE"/>
    <w:rsid w:val="007C4E07"/>
    <w:rsid w:val="007D2C74"/>
    <w:rsid w:val="007D34B3"/>
    <w:rsid w:val="007D53B8"/>
    <w:rsid w:val="007D5F21"/>
    <w:rsid w:val="007E0691"/>
    <w:rsid w:val="007E7B50"/>
    <w:rsid w:val="007F27F5"/>
    <w:rsid w:val="007F6B1C"/>
    <w:rsid w:val="007F70AD"/>
    <w:rsid w:val="00802C78"/>
    <w:rsid w:val="00810961"/>
    <w:rsid w:val="00814582"/>
    <w:rsid w:val="0081529F"/>
    <w:rsid w:val="008172DE"/>
    <w:rsid w:val="00822C33"/>
    <w:rsid w:val="00827833"/>
    <w:rsid w:val="0083067D"/>
    <w:rsid w:val="0083167F"/>
    <w:rsid w:val="00832A72"/>
    <w:rsid w:val="008362AB"/>
    <w:rsid w:val="00836356"/>
    <w:rsid w:val="00836CE2"/>
    <w:rsid w:val="00840AC9"/>
    <w:rsid w:val="008438FB"/>
    <w:rsid w:val="00853B1B"/>
    <w:rsid w:val="00857B6F"/>
    <w:rsid w:val="008619BE"/>
    <w:rsid w:val="008832B8"/>
    <w:rsid w:val="00883600"/>
    <w:rsid w:val="008A0470"/>
    <w:rsid w:val="008A422B"/>
    <w:rsid w:val="008A43CC"/>
    <w:rsid w:val="008B2D03"/>
    <w:rsid w:val="008B47CB"/>
    <w:rsid w:val="008C3D50"/>
    <w:rsid w:val="008C476D"/>
    <w:rsid w:val="008C57BC"/>
    <w:rsid w:val="008C6365"/>
    <w:rsid w:val="008D410E"/>
    <w:rsid w:val="008D71F2"/>
    <w:rsid w:val="008D74F5"/>
    <w:rsid w:val="008E75DD"/>
    <w:rsid w:val="008F68E0"/>
    <w:rsid w:val="0090158C"/>
    <w:rsid w:val="0090341B"/>
    <w:rsid w:val="00905FF2"/>
    <w:rsid w:val="00912A81"/>
    <w:rsid w:val="009130EA"/>
    <w:rsid w:val="00914C63"/>
    <w:rsid w:val="00921C39"/>
    <w:rsid w:val="00926404"/>
    <w:rsid w:val="009322FF"/>
    <w:rsid w:val="00937C9C"/>
    <w:rsid w:val="009410B1"/>
    <w:rsid w:val="0094345E"/>
    <w:rsid w:val="00952B32"/>
    <w:rsid w:val="00957094"/>
    <w:rsid w:val="009626B3"/>
    <w:rsid w:val="00974956"/>
    <w:rsid w:val="00975417"/>
    <w:rsid w:val="00977CDD"/>
    <w:rsid w:val="00981E1C"/>
    <w:rsid w:val="009824DE"/>
    <w:rsid w:val="00985A6F"/>
    <w:rsid w:val="00986930"/>
    <w:rsid w:val="00990F47"/>
    <w:rsid w:val="00991493"/>
    <w:rsid w:val="009A02B3"/>
    <w:rsid w:val="009A0E0F"/>
    <w:rsid w:val="009A3689"/>
    <w:rsid w:val="009A70F5"/>
    <w:rsid w:val="009B1215"/>
    <w:rsid w:val="009B1FB8"/>
    <w:rsid w:val="009B21FA"/>
    <w:rsid w:val="009B28EE"/>
    <w:rsid w:val="009C0ED6"/>
    <w:rsid w:val="009C3E10"/>
    <w:rsid w:val="009C534E"/>
    <w:rsid w:val="009D13E6"/>
    <w:rsid w:val="009D277F"/>
    <w:rsid w:val="009D3234"/>
    <w:rsid w:val="009D4D0E"/>
    <w:rsid w:val="009D4DED"/>
    <w:rsid w:val="009E0CC1"/>
    <w:rsid w:val="009E2E2B"/>
    <w:rsid w:val="009E50C5"/>
    <w:rsid w:val="009F387D"/>
    <w:rsid w:val="009F5C02"/>
    <w:rsid w:val="009F5FFF"/>
    <w:rsid w:val="009F7C84"/>
    <w:rsid w:val="00A0070B"/>
    <w:rsid w:val="00A12E4D"/>
    <w:rsid w:val="00A1427C"/>
    <w:rsid w:val="00A21CCE"/>
    <w:rsid w:val="00A23227"/>
    <w:rsid w:val="00A30CED"/>
    <w:rsid w:val="00A315E2"/>
    <w:rsid w:val="00A31EFD"/>
    <w:rsid w:val="00A428BF"/>
    <w:rsid w:val="00A45E1B"/>
    <w:rsid w:val="00A54F24"/>
    <w:rsid w:val="00A56806"/>
    <w:rsid w:val="00A64418"/>
    <w:rsid w:val="00A71BC4"/>
    <w:rsid w:val="00A72E9A"/>
    <w:rsid w:val="00A73052"/>
    <w:rsid w:val="00A73F21"/>
    <w:rsid w:val="00A7568E"/>
    <w:rsid w:val="00A75713"/>
    <w:rsid w:val="00A86923"/>
    <w:rsid w:val="00A9566F"/>
    <w:rsid w:val="00A961F3"/>
    <w:rsid w:val="00AA0D07"/>
    <w:rsid w:val="00AA5F51"/>
    <w:rsid w:val="00AA60F3"/>
    <w:rsid w:val="00AB5FC0"/>
    <w:rsid w:val="00AB743F"/>
    <w:rsid w:val="00AC23D5"/>
    <w:rsid w:val="00AC36EF"/>
    <w:rsid w:val="00AC37F5"/>
    <w:rsid w:val="00AC5357"/>
    <w:rsid w:val="00AE3807"/>
    <w:rsid w:val="00AE5D61"/>
    <w:rsid w:val="00AE63D9"/>
    <w:rsid w:val="00AF0D1A"/>
    <w:rsid w:val="00AF6EDA"/>
    <w:rsid w:val="00B1023D"/>
    <w:rsid w:val="00B149FA"/>
    <w:rsid w:val="00B23FC2"/>
    <w:rsid w:val="00B25032"/>
    <w:rsid w:val="00B30D60"/>
    <w:rsid w:val="00B313CE"/>
    <w:rsid w:val="00B32D6F"/>
    <w:rsid w:val="00B35AE4"/>
    <w:rsid w:val="00B37706"/>
    <w:rsid w:val="00B4300F"/>
    <w:rsid w:val="00B5317F"/>
    <w:rsid w:val="00B5361F"/>
    <w:rsid w:val="00B56510"/>
    <w:rsid w:val="00B56880"/>
    <w:rsid w:val="00B57071"/>
    <w:rsid w:val="00B57AD6"/>
    <w:rsid w:val="00B57C2A"/>
    <w:rsid w:val="00B65E5D"/>
    <w:rsid w:val="00B811C6"/>
    <w:rsid w:val="00B9716A"/>
    <w:rsid w:val="00BA4C96"/>
    <w:rsid w:val="00BB1A97"/>
    <w:rsid w:val="00BB54FE"/>
    <w:rsid w:val="00BB5CDA"/>
    <w:rsid w:val="00BC060B"/>
    <w:rsid w:val="00BC11BA"/>
    <w:rsid w:val="00BC1DA3"/>
    <w:rsid w:val="00BC269A"/>
    <w:rsid w:val="00BC386B"/>
    <w:rsid w:val="00BE2894"/>
    <w:rsid w:val="00BE33B1"/>
    <w:rsid w:val="00BE5671"/>
    <w:rsid w:val="00BE6734"/>
    <w:rsid w:val="00BE69C5"/>
    <w:rsid w:val="00BF142B"/>
    <w:rsid w:val="00BF4E1E"/>
    <w:rsid w:val="00BF66EA"/>
    <w:rsid w:val="00C00092"/>
    <w:rsid w:val="00C00FC7"/>
    <w:rsid w:val="00C131AE"/>
    <w:rsid w:val="00C14387"/>
    <w:rsid w:val="00C15444"/>
    <w:rsid w:val="00C20D83"/>
    <w:rsid w:val="00C245B9"/>
    <w:rsid w:val="00C324FC"/>
    <w:rsid w:val="00C32BDE"/>
    <w:rsid w:val="00C41076"/>
    <w:rsid w:val="00C5016F"/>
    <w:rsid w:val="00C549C8"/>
    <w:rsid w:val="00C61CAC"/>
    <w:rsid w:val="00C64821"/>
    <w:rsid w:val="00C72CBC"/>
    <w:rsid w:val="00C74452"/>
    <w:rsid w:val="00C810B0"/>
    <w:rsid w:val="00C82D58"/>
    <w:rsid w:val="00C83DEB"/>
    <w:rsid w:val="00CA036A"/>
    <w:rsid w:val="00CA1057"/>
    <w:rsid w:val="00CA3127"/>
    <w:rsid w:val="00CA3E95"/>
    <w:rsid w:val="00CA5F17"/>
    <w:rsid w:val="00CB0442"/>
    <w:rsid w:val="00CB4C48"/>
    <w:rsid w:val="00CC204F"/>
    <w:rsid w:val="00CC2A26"/>
    <w:rsid w:val="00CD338E"/>
    <w:rsid w:val="00CD47D2"/>
    <w:rsid w:val="00CD517D"/>
    <w:rsid w:val="00CD6545"/>
    <w:rsid w:val="00CE4D8D"/>
    <w:rsid w:val="00CF4DEA"/>
    <w:rsid w:val="00CF7086"/>
    <w:rsid w:val="00D00782"/>
    <w:rsid w:val="00D07B47"/>
    <w:rsid w:val="00D12C35"/>
    <w:rsid w:val="00D242CF"/>
    <w:rsid w:val="00D253C8"/>
    <w:rsid w:val="00D27463"/>
    <w:rsid w:val="00D35AF5"/>
    <w:rsid w:val="00D36EE8"/>
    <w:rsid w:val="00D450F2"/>
    <w:rsid w:val="00D45E76"/>
    <w:rsid w:val="00D50554"/>
    <w:rsid w:val="00D56513"/>
    <w:rsid w:val="00D62F89"/>
    <w:rsid w:val="00D67964"/>
    <w:rsid w:val="00D71671"/>
    <w:rsid w:val="00D72015"/>
    <w:rsid w:val="00D72588"/>
    <w:rsid w:val="00D72E1E"/>
    <w:rsid w:val="00D748D6"/>
    <w:rsid w:val="00D7634C"/>
    <w:rsid w:val="00D800E0"/>
    <w:rsid w:val="00D84BEA"/>
    <w:rsid w:val="00D90DFD"/>
    <w:rsid w:val="00D9556E"/>
    <w:rsid w:val="00D962F7"/>
    <w:rsid w:val="00DA0799"/>
    <w:rsid w:val="00DA5E61"/>
    <w:rsid w:val="00DA5E8B"/>
    <w:rsid w:val="00DA672F"/>
    <w:rsid w:val="00DB1B9D"/>
    <w:rsid w:val="00DB2245"/>
    <w:rsid w:val="00DB4275"/>
    <w:rsid w:val="00DC0C98"/>
    <w:rsid w:val="00DC2B40"/>
    <w:rsid w:val="00DC7D6E"/>
    <w:rsid w:val="00DD2DDF"/>
    <w:rsid w:val="00DE1C02"/>
    <w:rsid w:val="00DF2421"/>
    <w:rsid w:val="00DF2901"/>
    <w:rsid w:val="00DF2E71"/>
    <w:rsid w:val="00DF322B"/>
    <w:rsid w:val="00DF6477"/>
    <w:rsid w:val="00DF790B"/>
    <w:rsid w:val="00E005F0"/>
    <w:rsid w:val="00E01C97"/>
    <w:rsid w:val="00E0599A"/>
    <w:rsid w:val="00E14ACC"/>
    <w:rsid w:val="00E1631D"/>
    <w:rsid w:val="00E23644"/>
    <w:rsid w:val="00E260E4"/>
    <w:rsid w:val="00E40541"/>
    <w:rsid w:val="00E4229B"/>
    <w:rsid w:val="00E45A41"/>
    <w:rsid w:val="00E5196B"/>
    <w:rsid w:val="00E51B23"/>
    <w:rsid w:val="00E51CB5"/>
    <w:rsid w:val="00E5284B"/>
    <w:rsid w:val="00E56438"/>
    <w:rsid w:val="00E5747E"/>
    <w:rsid w:val="00E60601"/>
    <w:rsid w:val="00E61DDD"/>
    <w:rsid w:val="00E640C6"/>
    <w:rsid w:val="00E665FD"/>
    <w:rsid w:val="00E733B9"/>
    <w:rsid w:val="00E75BA9"/>
    <w:rsid w:val="00E77DC7"/>
    <w:rsid w:val="00E77DF7"/>
    <w:rsid w:val="00E850CB"/>
    <w:rsid w:val="00E85465"/>
    <w:rsid w:val="00E85992"/>
    <w:rsid w:val="00E87D92"/>
    <w:rsid w:val="00EA169F"/>
    <w:rsid w:val="00EA7CA7"/>
    <w:rsid w:val="00EB3CA1"/>
    <w:rsid w:val="00EB656C"/>
    <w:rsid w:val="00EB6BE8"/>
    <w:rsid w:val="00EB7E45"/>
    <w:rsid w:val="00EC5A3E"/>
    <w:rsid w:val="00ED13A0"/>
    <w:rsid w:val="00ED344A"/>
    <w:rsid w:val="00ED35A0"/>
    <w:rsid w:val="00EE1B73"/>
    <w:rsid w:val="00EE3296"/>
    <w:rsid w:val="00EE71C0"/>
    <w:rsid w:val="00EF0580"/>
    <w:rsid w:val="00EF1516"/>
    <w:rsid w:val="00EF1B6F"/>
    <w:rsid w:val="00EF306C"/>
    <w:rsid w:val="00F00CF9"/>
    <w:rsid w:val="00F02F60"/>
    <w:rsid w:val="00F05723"/>
    <w:rsid w:val="00F05C44"/>
    <w:rsid w:val="00F10C6C"/>
    <w:rsid w:val="00F11435"/>
    <w:rsid w:val="00F13211"/>
    <w:rsid w:val="00F20559"/>
    <w:rsid w:val="00F22B9E"/>
    <w:rsid w:val="00F2363D"/>
    <w:rsid w:val="00F27BDD"/>
    <w:rsid w:val="00F47D3E"/>
    <w:rsid w:val="00F52D0C"/>
    <w:rsid w:val="00F542A9"/>
    <w:rsid w:val="00F5584D"/>
    <w:rsid w:val="00F5604E"/>
    <w:rsid w:val="00F624B2"/>
    <w:rsid w:val="00F625E2"/>
    <w:rsid w:val="00F64CAD"/>
    <w:rsid w:val="00F7302E"/>
    <w:rsid w:val="00F73133"/>
    <w:rsid w:val="00F76BEC"/>
    <w:rsid w:val="00F80737"/>
    <w:rsid w:val="00F80F02"/>
    <w:rsid w:val="00F8178E"/>
    <w:rsid w:val="00F81CA5"/>
    <w:rsid w:val="00F840E0"/>
    <w:rsid w:val="00F84E6A"/>
    <w:rsid w:val="00F935BC"/>
    <w:rsid w:val="00FB0000"/>
    <w:rsid w:val="00FB3545"/>
    <w:rsid w:val="00FB4320"/>
    <w:rsid w:val="00FB6510"/>
    <w:rsid w:val="00FB7C7C"/>
    <w:rsid w:val="00FC042A"/>
    <w:rsid w:val="00FC0E90"/>
    <w:rsid w:val="00FC0F63"/>
    <w:rsid w:val="00FC3D03"/>
    <w:rsid w:val="00FD06A2"/>
    <w:rsid w:val="00FD6FA2"/>
    <w:rsid w:val="00FE10C4"/>
    <w:rsid w:val="00FF36C0"/>
    <w:rsid w:val="00FF597F"/>
    <w:rsid w:val="00FF70E4"/>
    <w:rsid w:val="34522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toc 3"/>
    <w:basedOn w:val="1"/>
    <w:next w:val="1"/>
    <w:autoRedefine/>
    <w:unhideWhenUsed/>
    <w:uiPriority w:val="39"/>
    <w:pPr>
      <w:ind w:left="840" w:leftChars="400"/>
    </w:pPr>
  </w:style>
  <w:style w:type="paragraph" w:styleId="4">
    <w:name w:val="Balloon Text"/>
    <w:basedOn w:val="1"/>
    <w:link w:val="21"/>
    <w:semiHidden/>
    <w:unhideWhenUsed/>
    <w:uiPriority w:val="99"/>
    <w:rPr>
      <w:sz w:val="18"/>
      <w:szCs w:val="18"/>
    </w:rPr>
  </w:style>
  <w:style w:type="paragraph" w:styleId="5">
    <w:name w:val="footer"/>
    <w:basedOn w:val="1"/>
    <w:link w:val="16"/>
    <w:unhideWhenUsed/>
    <w:uiPriority w:val="99"/>
    <w:pPr>
      <w:tabs>
        <w:tab w:val="center" w:pos="4153"/>
        <w:tab w:val="right" w:pos="8306"/>
      </w:tabs>
      <w:snapToGrid w:val="0"/>
      <w:jc w:val="left"/>
    </w:pPr>
    <w:rPr>
      <w:sz w:val="18"/>
      <w:szCs w:val="18"/>
    </w:rPr>
  </w:style>
  <w:style w:type="paragraph" w:styleId="6">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unhideWhenUsed/>
    <w:uiPriority w:val="39"/>
  </w:style>
  <w:style w:type="paragraph" w:styleId="8">
    <w:name w:val="toc 2"/>
    <w:basedOn w:val="1"/>
    <w:next w:val="1"/>
    <w:autoRedefine/>
    <w:unhideWhenUsed/>
    <w:uiPriority w:val="39"/>
    <w:pPr>
      <w:ind w:left="420" w:leftChars="200"/>
    </w:pPr>
  </w:style>
  <w:style w:type="table" w:styleId="10">
    <w:name w:val="Table Grid"/>
    <w:basedOn w:val="9"/>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uiPriority w:val="99"/>
    <w:rPr>
      <w:color w:val="0563C1" w:themeColor="hyperlink"/>
      <w:u w:val="single"/>
      <w14:textFill>
        <w14:solidFill>
          <w14:schemeClr w14:val="hlink"/>
        </w14:solidFill>
      </w14:textFill>
    </w:rPr>
  </w:style>
  <w:style w:type="character" w:customStyle="1" w:styleId="13">
    <w:name w:val="标题 1 Char"/>
    <w:basedOn w:val="11"/>
    <w:link w:val="2"/>
    <w:uiPriority w:val="9"/>
    <w:rPr>
      <w:b/>
      <w:bCs/>
      <w:kern w:val="44"/>
      <w:sz w:val="44"/>
      <w:szCs w:val="44"/>
    </w:rPr>
  </w:style>
  <w:style w:type="paragraph" w:customStyle="1" w:styleId="14">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5">
    <w:name w:val="页眉 Char"/>
    <w:basedOn w:val="11"/>
    <w:link w:val="6"/>
    <w:uiPriority w:val="99"/>
    <w:rPr>
      <w:sz w:val="18"/>
      <w:szCs w:val="18"/>
    </w:rPr>
  </w:style>
  <w:style w:type="character" w:customStyle="1" w:styleId="16">
    <w:name w:val="页脚 Char"/>
    <w:basedOn w:val="11"/>
    <w:link w:val="5"/>
    <w:uiPriority w:val="99"/>
    <w:rPr>
      <w:sz w:val="18"/>
      <w:szCs w:val="18"/>
    </w:rPr>
  </w:style>
  <w:style w:type="paragraph" w:customStyle="1" w:styleId="17">
    <w:name w:val="正文鸭"/>
    <w:basedOn w:val="1"/>
    <w:link w:val="19"/>
    <w:qFormat/>
    <w:uiPriority w:val="0"/>
    <w:pPr>
      <w:spacing w:line="360" w:lineRule="auto"/>
      <w:ind w:firstLine="640" w:firstLineChars="200"/>
    </w:pPr>
    <w:rPr>
      <w:rFonts w:ascii="Times New Roman" w:hAnsi="Times New Roman" w:eastAsia="仿宋_GB2312" w:cs="仿宋_GB2312"/>
      <w:sz w:val="32"/>
      <w:szCs w:val="32"/>
    </w:rPr>
  </w:style>
  <w:style w:type="table" w:customStyle="1" w:styleId="18">
    <w:name w:val="网格型1"/>
    <w:basedOn w:val="9"/>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正文鸭 字符"/>
    <w:basedOn w:val="11"/>
    <w:link w:val="17"/>
    <w:uiPriority w:val="0"/>
    <w:rPr>
      <w:rFonts w:ascii="Times New Roman" w:hAnsi="Times New Roman" w:eastAsia="仿宋_GB2312" w:cs="仿宋_GB2312"/>
      <w:sz w:val="32"/>
      <w:szCs w:val="32"/>
    </w:rPr>
  </w:style>
  <w:style w:type="paragraph" w:styleId="2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1">
    <w:name w:val="批注框文本 Char"/>
    <w:basedOn w:val="11"/>
    <w:link w:val="4"/>
    <w:semiHidden/>
    <w:uiPriority w:val="99"/>
    <w:rPr>
      <w:sz w:val="18"/>
      <w:szCs w:val="18"/>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BA0DF-070F-4006-9C60-2E38FFDD1498}">
  <ds:schemaRefs/>
</ds:datastoreItem>
</file>

<file path=docProps/app.xml><?xml version="1.0" encoding="utf-8"?>
<Properties xmlns="http://schemas.openxmlformats.org/officeDocument/2006/extended-properties" xmlns:vt="http://schemas.openxmlformats.org/officeDocument/2006/docPropsVTypes">
  <Template>Normal.dotm</Template>
  <Pages>27</Pages>
  <Words>2066</Words>
  <Characters>11782</Characters>
  <Lines>98</Lines>
  <Paragraphs>27</Paragraphs>
  <TotalTime>1939</TotalTime>
  <ScaleCrop>false</ScaleCrop>
  <LinksUpToDate>false</LinksUpToDate>
  <CharactersWithSpaces>13821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2021-12-16T06:08:00Z</dcterms:created>
  <dc:creator>张 亚辉</dc:creator>
  <cp:lastModifiedBy>Administrator</cp:lastModifiedBy>
  <cp:lastPrinted>2022-01-01T08:59:00Z</cp:lastPrinted>
  <dcterms:modified xsi:type="dcterms:W3CDTF">2024-04-30T02:45:00Z</dcterms:modified>
  <cp:revision>887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71256236BEF5428DBACC0B9E34587398_12</vt:lpwstr>
  </property>
</Properties>
</file>