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center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法治宣传绩效目标表</w:t>
      </w:r>
      <w:bookmarkEnd w:id="0"/>
    </w:p>
    <w:tbl>
      <w:tblPr>
        <w:tblStyle w:val="3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343101天津市东丽区司法局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法治宣传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150000.00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150000.00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全民法治宣传教育活动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1.加大全民法治宣传教育力度，增强普法针对性实效性，持续提升法治宣传普及率</w:t>
            </w:r>
          </w:p>
          <w:p>
            <w:pPr>
              <w:pStyle w:val="7"/>
            </w:pPr>
            <w:r>
              <w:t>2.持续推进宪法法律法规宣传教育深入人心，提升公民法治素养和法律意识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普法宣传经费支出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全年所需法治宣传资金费用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≤15万元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目标人群覆</w:t>
            </w:r>
            <w:r>
              <w:rPr>
                <w:rFonts w:hint="eastAsia"/>
                <w:lang w:eastAsia="zh-CN"/>
              </w:rPr>
              <w:t>盖街道数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法治宣传覆盖全区11个街道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11个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普法对象数量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50万普法对象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≤50万人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普法经费发放率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普法经费发放情况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普法经费发放合规率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普法经费发放合规率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保证宣传时效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开展经常性法治宣传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法治宣传知晓率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法治宣传普及率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促进法治宣传知晓率、普及率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社会公众对相关工作的满意度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普法对象满意度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91B08"/>
    <w:rsid w:val="12F91B08"/>
    <w:rsid w:val="52B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2023-01-06T01:52:00Z</dcterms:created>
  <dc:creator>Administrator</dc:creator>
  <cp:lastModifiedBy>Administrator</cp:lastModifiedBy>
  <dcterms:modified xsi:type="dcterms:W3CDTF">2023-01-06T02:13:24Z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