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default" w:ascii="Times New Roman" w:hAnsi="Times New Roman" w:eastAsia="微软雅黑" w:cs="Times New Roman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highlight w:val="none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highlight w:val="none"/>
          <w:shd w:val="clear" w:color="auto" w:fill="FFFFFF"/>
          <w:vertAlign w:val="baseline"/>
        </w:rPr>
        <w:t>关于天津市东丽区202</w:t>
      </w:r>
      <w:r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highlight w:val="none"/>
          <w:shd w:val="clear" w:color="auto" w:fill="FFFFFF"/>
          <w:vertAlign w:val="baseline"/>
          <w:lang w:val="en-US" w:eastAsia="zh-CN"/>
        </w:rPr>
        <w:t>3</w:t>
      </w:r>
      <w:r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highlight w:val="none"/>
          <w:shd w:val="clear" w:color="auto" w:fill="FFFFFF"/>
          <w:vertAlign w:val="baseline"/>
        </w:rPr>
        <w:t>年财政预算执行情况和202</w:t>
      </w:r>
      <w:r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highlight w:val="none"/>
          <w:shd w:val="clear" w:color="auto" w:fill="FFFFFF"/>
          <w:vertAlign w:val="baseline"/>
          <w:lang w:val="en-US" w:eastAsia="zh-CN"/>
        </w:rPr>
        <w:t>4</w:t>
      </w:r>
      <w:r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highlight w:val="none"/>
          <w:shd w:val="clear" w:color="auto" w:fill="FFFFFF"/>
          <w:vertAlign w:val="baseline"/>
        </w:rPr>
        <w:t>年财政预算草案的报告（书面）</w:t>
      </w:r>
    </w:p>
    <w:p>
      <w:pPr>
        <w:pStyle w:val="11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center"/>
        <w:textAlignment w:val="baseline"/>
        <w:rPr>
          <w:rFonts w:hint="default" w:ascii="Times New Roman" w:hAnsi="Times New Roman" w:eastAsia="微软雅黑" w:cs="Times New Roman"/>
          <w:b w:val="0"/>
          <w:bCs w:val="0"/>
          <w:i w:val="0"/>
          <w:iCs w:val="0"/>
          <w:caps w:val="0"/>
          <w:color w:val="000000"/>
          <w:spacing w:val="-18"/>
          <w:sz w:val="22"/>
          <w:szCs w:val="22"/>
          <w:highlight w:val="none"/>
          <w:shd w:val="clear" w:color="auto" w:fill="FFFFFF"/>
          <w:vertAlign w:val="baseline"/>
        </w:rPr>
      </w:pPr>
    </w:p>
    <w:p>
      <w:pPr>
        <w:pStyle w:val="11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center"/>
        <w:textAlignment w:val="baseline"/>
        <w:rPr>
          <w:rFonts w:hint="default" w:ascii="Times New Roman" w:hAnsi="Times New Roman" w:eastAsia="微软雅黑" w:cs="Times New Roman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highlight w:val="none"/>
        </w:rPr>
      </w:pPr>
      <w:r>
        <w:rPr>
          <w:rFonts w:hint="default" w:ascii="Times New Roman" w:hAnsi="Times New Roman" w:eastAsia="微软雅黑" w:cs="Times New Roman"/>
          <w:b w:val="0"/>
          <w:bCs w:val="0"/>
          <w:i w:val="0"/>
          <w:iCs w:val="0"/>
          <w:caps w:val="0"/>
          <w:color w:val="000000"/>
          <w:spacing w:val="-18"/>
          <w:sz w:val="32"/>
          <w:szCs w:val="32"/>
          <w:highlight w:val="none"/>
          <w:shd w:val="clear" w:color="auto" w:fill="FFFFFF"/>
          <w:vertAlign w:val="baseline"/>
        </w:rPr>
        <w:t>——202</w:t>
      </w:r>
      <w:r>
        <w:rPr>
          <w:rFonts w:hint="default" w:ascii="Times New Roman" w:hAnsi="Times New Roman" w:eastAsia="微软雅黑" w:cs="Times New Roman"/>
          <w:b w:val="0"/>
          <w:bCs w:val="0"/>
          <w:i w:val="0"/>
          <w:iCs w:val="0"/>
          <w:caps w:val="0"/>
          <w:color w:val="000000"/>
          <w:spacing w:val="-18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4</w:t>
      </w:r>
      <w:r>
        <w:rPr>
          <w:rFonts w:hint="default" w:ascii="Times New Roman" w:hAnsi="Times New Roman" w:eastAsia="楷体_GB2312" w:cs="Times New Roman"/>
          <w:b w:val="0"/>
          <w:bCs w:val="0"/>
          <w:i w:val="0"/>
          <w:iCs w:val="0"/>
          <w:caps w:val="0"/>
          <w:color w:val="000000"/>
          <w:spacing w:val="-18"/>
          <w:sz w:val="32"/>
          <w:szCs w:val="32"/>
          <w:highlight w:val="none"/>
          <w:shd w:val="clear" w:color="auto" w:fill="FFFFFF"/>
          <w:vertAlign w:val="baseline"/>
        </w:rPr>
        <w:t>年</w:t>
      </w:r>
      <w:r>
        <w:rPr>
          <w:rFonts w:hint="default" w:ascii="Times New Roman" w:hAnsi="Times New Roman" w:eastAsia="微软雅黑" w:cs="Times New Roman"/>
          <w:b w:val="0"/>
          <w:bCs w:val="0"/>
          <w:i w:val="0"/>
          <w:iCs w:val="0"/>
          <w:caps w:val="0"/>
          <w:color w:val="000000"/>
          <w:spacing w:val="-18"/>
          <w:sz w:val="32"/>
          <w:szCs w:val="32"/>
          <w:highlight w:val="none"/>
          <w:shd w:val="clear" w:color="auto" w:fill="FFFFFF"/>
          <w:vertAlign w:val="baseline"/>
        </w:rPr>
        <w:t>1</w:t>
      </w:r>
      <w:r>
        <w:rPr>
          <w:rFonts w:hint="default" w:ascii="Times New Roman" w:hAnsi="Times New Roman" w:eastAsia="楷体_GB2312" w:cs="Times New Roman"/>
          <w:b w:val="0"/>
          <w:bCs w:val="0"/>
          <w:i w:val="0"/>
          <w:iCs w:val="0"/>
          <w:caps w:val="0"/>
          <w:color w:val="000000"/>
          <w:spacing w:val="-18"/>
          <w:sz w:val="32"/>
          <w:szCs w:val="32"/>
          <w:highlight w:val="none"/>
          <w:shd w:val="clear" w:color="auto" w:fill="FFFFFF"/>
          <w:vertAlign w:val="baseline"/>
        </w:rPr>
        <w:t>月</w:t>
      </w:r>
      <w:r>
        <w:rPr>
          <w:rFonts w:hint="default" w:ascii="Times New Roman" w:hAnsi="Times New Roman" w:eastAsia="微软雅黑" w:cs="Times New Roman"/>
          <w:b w:val="0"/>
          <w:bCs w:val="0"/>
          <w:i w:val="0"/>
          <w:iCs w:val="0"/>
          <w:caps w:val="0"/>
          <w:color w:val="000000"/>
          <w:spacing w:val="-18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9</w:t>
      </w:r>
      <w:r>
        <w:rPr>
          <w:rFonts w:hint="default" w:ascii="Times New Roman" w:hAnsi="Times New Roman" w:eastAsia="楷体_GB2312" w:cs="Times New Roman"/>
          <w:b w:val="0"/>
          <w:bCs w:val="0"/>
          <w:i w:val="0"/>
          <w:iCs w:val="0"/>
          <w:caps w:val="0"/>
          <w:color w:val="000000"/>
          <w:spacing w:val="-18"/>
          <w:sz w:val="32"/>
          <w:szCs w:val="32"/>
          <w:highlight w:val="none"/>
          <w:shd w:val="clear" w:color="auto" w:fill="FFFFFF"/>
          <w:vertAlign w:val="baseline"/>
        </w:rPr>
        <w:t>日在区第十八届人民代表大会第</w:t>
      </w:r>
      <w:r>
        <w:rPr>
          <w:rFonts w:hint="default" w:ascii="Times New Roman" w:hAnsi="Times New Roman" w:eastAsia="楷体_GB2312" w:cs="Times New Roman"/>
          <w:b w:val="0"/>
          <w:bCs w:val="0"/>
          <w:i w:val="0"/>
          <w:iCs w:val="0"/>
          <w:caps w:val="0"/>
          <w:color w:val="000000"/>
          <w:spacing w:val="-18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五</w:t>
      </w:r>
      <w:r>
        <w:rPr>
          <w:rFonts w:hint="default" w:ascii="Times New Roman" w:hAnsi="Times New Roman" w:eastAsia="楷体_GB2312" w:cs="Times New Roman"/>
          <w:b w:val="0"/>
          <w:bCs w:val="0"/>
          <w:i w:val="0"/>
          <w:iCs w:val="0"/>
          <w:caps w:val="0"/>
          <w:color w:val="000000"/>
          <w:spacing w:val="-18"/>
          <w:sz w:val="32"/>
          <w:szCs w:val="32"/>
          <w:highlight w:val="none"/>
          <w:shd w:val="clear" w:color="auto" w:fill="FFFFFF"/>
          <w:vertAlign w:val="baseline"/>
        </w:rPr>
        <w:t>次会议上</w:t>
      </w:r>
    </w:p>
    <w:p>
      <w:pPr>
        <w:pStyle w:val="11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center"/>
        <w:textAlignment w:val="baseline"/>
        <w:rPr>
          <w:rFonts w:hint="default" w:ascii="Times New Roman" w:hAnsi="Times New Roman" w:eastAsia="楷体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</w:rPr>
      </w:pPr>
    </w:p>
    <w:p>
      <w:pPr>
        <w:pStyle w:val="11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center"/>
        <w:textAlignment w:val="baseline"/>
        <w:rPr>
          <w:rFonts w:hint="default" w:ascii="Times New Roman" w:hAnsi="Times New Roman" w:eastAsia="微软雅黑" w:cs="Times New Roman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highlight w:val="none"/>
        </w:rPr>
      </w:pPr>
      <w:r>
        <w:rPr>
          <w:rFonts w:hint="default" w:ascii="Times New Roman" w:hAnsi="Times New Roman" w:eastAsia="楷体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</w:rPr>
        <w:t>区财政局局长</w:t>
      </w:r>
      <w:r>
        <w:rPr>
          <w:rFonts w:hint="default" w:ascii="Times New Roman" w:hAnsi="Times New Roman" w:eastAsia="楷体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 xml:space="preserve"> </w:t>
      </w:r>
      <w:r>
        <w:rPr>
          <w:rFonts w:hint="default" w:ascii="Times New Roman" w:hAnsi="Times New Roman" w:eastAsia="楷体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</w:rPr>
        <w:t>任国宏</w:t>
      </w:r>
    </w:p>
    <w:p>
      <w:pPr>
        <w:pStyle w:val="11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both"/>
        <w:textAlignment w:val="baseline"/>
        <w:rPr>
          <w:rFonts w:hint="default" w:ascii="Times New Roman" w:hAnsi="Times New Roman" w:eastAsia="微软雅黑" w:cs="Times New Roman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highlight w:val="none"/>
        </w:rPr>
      </w:pPr>
    </w:p>
    <w:p>
      <w:pPr>
        <w:pStyle w:val="11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0" w:firstLineChars="0"/>
        <w:jc w:val="both"/>
        <w:textAlignment w:val="baseline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</w:rPr>
        <w:t>各位代表：</w:t>
      </w:r>
    </w:p>
    <w:p>
      <w:pPr>
        <w:pStyle w:val="11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30" w:firstLineChars="0"/>
        <w:jc w:val="both"/>
        <w:textAlignment w:val="baseline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</w:rPr>
        <w:t>我受区政府委托，向大会作202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</w:rPr>
        <w:t>年财政预算执行情况与202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</w:rPr>
        <w:t>年财政预算草案的报告，请予审议，并请参加会议的区政协委员和其他列席同志提出意见。</w:t>
      </w:r>
    </w:p>
    <w:p>
      <w:pPr>
        <w:pStyle w:val="11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30" w:firstLineChars="0"/>
        <w:jc w:val="both"/>
        <w:textAlignment w:val="baseline"/>
        <w:rPr>
          <w:rFonts w:hint="default" w:ascii="Times New Roman" w:hAnsi="Times New Roman" w:eastAsia="微软雅黑" w:cs="Times New Roman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highlight w:val="none"/>
        </w:rPr>
      </w:pPr>
      <w:r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</w:rPr>
        <w:t>一、</w:t>
      </w:r>
      <w:r>
        <w:rPr>
          <w:rFonts w:hint="default" w:ascii="Times New Roman" w:hAnsi="Times New Roman" w:eastAsia="微软雅黑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</w:rPr>
        <w:t>202</w:t>
      </w:r>
      <w:r>
        <w:rPr>
          <w:rFonts w:hint="default" w:ascii="Times New Roman" w:hAnsi="Times New Roman" w:eastAsia="微软雅黑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3</w:t>
      </w:r>
      <w:r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</w:rPr>
        <w:t>年预算执行情况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/>
          <w:color w:val="000000"/>
          <w:kern w:val="2"/>
          <w:sz w:val="32"/>
          <w:szCs w:val="32"/>
          <w:highlight w:val="none"/>
          <w:lang w:val="en-US" w:eastAsia="zh-CN" w:bidi="ar-SA"/>
        </w:rPr>
      </w:pPr>
      <w:bookmarkStart w:id="0" w:name="_Hlk87519583"/>
      <w:bookmarkEnd w:id="0"/>
      <w:r>
        <w:rPr>
          <w:rFonts w:hint="default" w:ascii="Times New Roman" w:hAnsi="Times New Roman" w:eastAsia="仿宋_GB2312" w:cs="Times New Roman"/>
          <w:b w:val="0"/>
          <w:bCs/>
          <w:color w:val="000000"/>
          <w:kern w:val="2"/>
          <w:sz w:val="32"/>
          <w:szCs w:val="32"/>
          <w:highlight w:val="none"/>
          <w:lang w:val="en-US" w:eastAsia="zh-CN" w:bidi="ar-SA"/>
        </w:rPr>
        <w:t>2023年是全面贯彻党的二十大精神的开局之年，是“十四五”规划实施承上启下的关键之年。全区上下坚持以习近平新时代中国特色社会主义思想为指导，深入贯彻党的二十大精神，认真落实市委、市政府和区委、区政府决策部署，坚持稳中求进工作总基调，完整、准确、全面贯彻新发展理念，着力推动高质量发展，严格支出管控，强化民生领域财力保障，财政政策更加精准、可持续，全区经济运行稳步回升，预算执行情况总体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  <w:t>（一）一般公共预算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  <w:t>1.全年收支。一般公共预算收入58.6亿元，比上年增长16%，完成调整预算100%。其中，税收收入43.2亿元，增长21.3%；非税收入15.4亿元，增长3.2%。一般公共预算支出81亿元，完成调整预算100%，比上年增长20.5%。收支增长的主要原因：一是经济回升向好态势显著，全区各部门主动作为，深入推进税源建设工作，各行业收入均实现较快增长，同时加大资源资产盘活力度，税收与非税双管齐下，促进财政收入稳定增长。二是持续加强财政保障能力，适度扩大财政支出规模，严格落实政府过紧日子要求，大力压减非必要支出，集中财力兜牢“三保”底线，保障民生、教育、农业支出，为社会事业发展提供有力支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  <w:t>2.转移支付。市对我区税收返还和转移支付收入19.9亿元，包括一般性转移支付12.84亿元、专项转移支付0.01亿元、税收返还7.05亿元。区对市级上解支出8.76亿元，包括体制上解6.9亿元、专项上解1.86亿元。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  <w:t>3.收支平衡。一般公共预算收入58.6亿元，加上市级税收返还和转移支付收入19.9亿元，新增政府债券转贷收入5.98亿元，调入资金5.1亿元，上年结余2.81亿元，减去上解市级支出8.76亿元，预算总收入83.63亿元。一般公共预算支出81亿元，总收入与支出相抵，一般公共预算结余2.63亿元，主要为结转市级转移支付项目2.39亿元、债券项目0.24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rPr>
          <w:rFonts w:hint="default" w:ascii="Times New Roman" w:hAnsi="Times New Roman" w:eastAsia="楷体_GB2312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  <w:t>（二）政府性基金预算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  <w:t>政府性基金预算收入11亿元，完成预算41.2%，比上年下降18.9%，主要是土地出让收入减收。政府性基金预算收入加上市级转移支付收入0.8亿元、专项债务收入7亿元、调入资金13.6亿元、上年结余34.8亿元，预算总收入67.2亿元。政府性基金预算支出36.9亿元，完成调整预算100%，比上年增长1.4%。预算总收入减去政府性基金预算支出，当年结余30.3亿元，主要是政府专项债券结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rPr>
          <w:rFonts w:hint="default" w:ascii="Times New Roman" w:hAnsi="Times New Roman" w:eastAsia="楷体_GB2312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  <w:t>（三）国有资本经营预算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  <w:t>国有资本经营预算收入3829.4万元，完成预算607.8%，主要是国有企业上缴利润大幅增长。国有资本经营预算收入加上市级转移支付88.9万元，预算总收入3918.3万元。国有资本经营预算支出88.9万元，完成调整预算100%，主要是国企改革等方面支出，剩余资金3829.4万元全部调入一般公共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kern w:val="2"/>
          <w:sz w:val="32"/>
          <w:szCs w:val="32"/>
          <w:highlight w:val="none"/>
          <w:shd w:val="clear" w:color="auto" w:fill="FFFFFF"/>
          <w:vertAlign w:val="baseli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  <w:t>以上各项收支执行情况在决算编制完成后会有所变动。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rPr>
          <w:rFonts w:hint="default" w:ascii="Times New Roman" w:hAnsi="Times New Roman" w:eastAsia="楷体_GB2312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  <w:t>（四）地方政府债务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  <w:t>1.政府债务限额情况。今年以来，市财政局下达我区2023年新增政府债务限额151.58亿元，其中，新增一般债务限额5.98亿元、新增专项债务限额9.7亿元、再融资一般债务限额93.7亿元、再融资专项债务限额42.2亿元。收回新增和以前年度结存地方政府专项债务限额11.11亿元。截至2023年底，政府债务限额共计788.13亿元，包括一般债务限额263.12亿元，专项债务限额525.01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  <w:t>2.政府债务发行及余额情况。2023年发行新增一般债券5.98亿元、新增专项债券7亿元、风险化解试点再融资一般债券38.2亿元、风险化解试点再融资专项债券6.8亿元、清理拖欠企业账款再融资一般债券46.3亿元。已下达限额的风险化解试点再融资一般债券9.2亿元和专项债券35.4亿元计划在2024年发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  <w:t>已发行新增专项债券4个项目7亿元，具体为：东丽詹庄等七村村民还迁安置经济适用房项目海旭园3亿元、东丽湖地区东文北路工程2.7亿元、天津市东丽医院智慧化医院建设项目0.2亿元、东丽经开区供热及配套设施工程项目1.1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  <w:t>截至2023年底，全区地方政府债务余额743.43亿元，其中，一般债务253.92亿元、专项债务489.51亿元，均控制在债务限额以内。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kern w:val="2"/>
          <w:sz w:val="32"/>
          <w:szCs w:val="32"/>
          <w:highlight w:val="none"/>
          <w:shd w:val="clear" w:color="auto" w:fill="auto"/>
          <w:vertAlign w:val="baseli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  <w:t>3.政府债券还本付息情况。2023年偿还地方政府债券本息42.11亿元，包括偿还本金21.17亿元，支付利息20.94亿元。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rPr>
          <w:rFonts w:hint="default" w:ascii="Times New Roman" w:hAnsi="Times New Roman" w:eastAsia="楷体_GB2312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  <w:t>（五）落实区人大决议和财政工作情况</w:t>
      </w:r>
    </w:p>
    <w:p>
      <w:pPr>
        <w:pStyle w:val="11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1" w:firstLineChars="0"/>
        <w:jc w:val="both"/>
        <w:textAlignment w:val="baseline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今年以来，财政部门全面贯彻预算法、预算法实施条例和天津市预算审查监督条例，坚持稳中求进工作总基调，加力提效实施积极的财政政策，大力优化支出结构，坚持党政机关过紧日子，兜牢基层“三保”底线，积极支持社会事业发展，推动全区经济平稳运行。</w:t>
      </w:r>
    </w:p>
    <w:p>
      <w:pPr>
        <w:pStyle w:val="11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1" w:firstLineChars="0"/>
        <w:jc w:val="both"/>
        <w:textAlignment w:val="baseline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1.财政政策加力提效，助力经济高质量发展</w:t>
      </w:r>
    </w:p>
    <w:p>
      <w:pPr>
        <w:pStyle w:val="11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1" w:firstLineChars="0"/>
        <w:jc w:val="both"/>
        <w:textAlignment w:val="baseline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坚决贯彻落实党中央、国务院决策部署，延续实施一批税费优惠政策举措，积极支持企业纾困发展、固本培元。持续激发各类市场主体活力，坚持抓绿色、促转型，推动经济持续回升向好。深入贯彻落实市委、市政府“制造业立市”工作部署，统筹中央、市级转移支付及区级资金，大力支持制造业高质量发展行动，持续落实专精特新中小企业财政奖补政策，投入资金0.53亿元用于支持智能制造、专精特新企业发展，新增规上工业企业24家，实施“智改数转”项目33项。</w:t>
      </w:r>
    </w:p>
    <w:p>
      <w:pPr>
        <w:pStyle w:val="11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1" w:firstLineChars="0"/>
        <w:jc w:val="both"/>
        <w:textAlignment w:val="baseline"/>
        <w:rPr>
          <w:rStyle w:val="16"/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auto"/>
          <w:vertAlign w:val="baseline"/>
          <w:lang w:val="en-US" w:eastAsia="zh-CN"/>
        </w:rPr>
      </w:pPr>
      <w:r>
        <w:rPr>
          <w:rStyle w:val="16"/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auto"/>
          <w:vertAlign w:val="baseline"/>
          <w:lang w:val="en-US" w:eastAsia="zh-CN"/>
        </w:rPr>
        <w:t>2.加大组织收入力度，持续推进税源建设工作</w:t>
      </w:r>
    </w:p>
    <w:p>
      <w:pPr>
        <w:pStyle w:val="11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1" w:firstLineChars="0"/>
        <w:jc w:val="both"/>
        <w:textAlignment w:val="baseline"/>
        <w:rPr>
          <w:rStyle w:val="16"/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auto"/>
          <w:vertAlign w:val="baseline"/>
          <w:lang w:val="en-US" w:eastAsia="zh-CN"/>
        </w:rPr>
      </w:pPr>
      <w:r>
        <w:rPr>
          <w:rStyle w:val="16"/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auto"/>
          <w:vertAlign w:val="baseline"/>
          <w:lang w:val="en-US" w:eastAsia="zh-CN"/>
        </w:rPr>
        <w:t>坚决贯彻落实市委十项行动，积极推动东丽区组织收入攻坚行动，从培植税源、挖掘存量、非税拓源等方面发力，夯实税收和非税增收基础，财政收入持续回升向好，全年一般公共预算收入增速达到16%。深入落实东丽区“稳经济35条”，加强重点企业包联帮扶，全区前200户重点税源企业税收增幅达到18%以上。健全税源建设专班工作机制，充分发挥区工作专班数据传递共享作用，纵向串联市、区与街道园区三级联动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auto"/>
          <w:vertAlign w:val="baseline"/>
          <w:lang w:val="en-US" w:eastAsia="zh-CN"/>
        </w:rPr>
        <w:fldChar w:fldCharType="begin"/>
      </w:r>
      <w:r>
        <w:rPr>
          <w:rStyle w:val="16"/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auto"/>
          <w:vertAlign w:val="baseline"/>
          <w:lang w:val="en-US" w:eastAsia="zh-CN"/>
        </w:rPr>
        <w:instrText xml:space="preserve"> HYPERLINK "http://www.baidu.com/link?url=wMZD7ctwpTAENv9Z4mkJJV6Dhmi0HEDEnaQZ1c6hvJ8BaafAgeEdsFGiAFPuMk__PceqFpnOVeyqVvzRMTPE-Xb1G-uajWEkeYhhrZOI-tm" \t "https://www.baidu.com/_blank" </w:instrTex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auto"/>
          <w:vertAlign w:val="baseline"/>
          <w:lang w:val="en-US" w:eastAsia="zh-CN"/>
        </w:rPr>
        <w:fldChar w:fldCharType="separate"/>
      </w:r>
      <w:r>
        <w:rPr>
          <w:rStyle w:val="16"/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auto"/>
          <w:vertAlign w:val="baseline"/>
          <w:lang w:val="en-US" w:eastAsia="zh-CN"/>
        </w:rPr>
        <w:t>着力优化营商环境，促进经营主体发展壮大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auto"/>
          <w:vertAlign w:val="baseline"/>
          <w:lang w:val="en-US" w:eastAsia="zh-CN"/>
        </w:rPr>
        <w:fldChar w:fldCharType="end"/>
      </w:r>
      <w:r>
        <w:rPr>
          <w:rStyle w:val="16"/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auto"/>
          <w:vertAlign w:val="baseline"/>
          <w:lang w:val="en-US" w:eastAsia="zh-CN"/>
        </w:rPr>
        <w:t>。积极协调滨海新区各功能区，全年落实税收分成资金2.78亿元，努力拓宽财源渠道。</w:t>
      </w:r>
    </w:p>
    <w:p>
      <w:pPr>
        <w:pStyle w:val="11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1" w:firstLineChars="0"/>
        <w:jc w:val="both"/>
        <w:textAlignment w:val="baseline"/>
        <w:rPr>
          <w:rStyle w:val="16"/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auto"/>
          <w:vertAlign w:val="baseline"/>
          <w:lang w:val="en-US" w:eastAsia="zh-CN"/>
        </w:rPr>
      </w:pPr>
      <w:r>
        <w:rPr>
          <w:rStyle w:val="16"/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auto"/>
          <w:vertAlign w:val="baseline"/>
          <w:lang w:val="en-US" w:eastAsia="zh-CN"/>
        </w:rPr>
        <w:t>3.坚持以人民为中心，民生保障水平稳步提升</w:t>
      </w:r>
    </w:p>
    <w:p>
      <w:pPr>
        <w:pStyle w:val="11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1" w:firstLineChars="0"/>
        <w:jc w:val="both"/>
        <w:textAlignment w:val="baseline"/>
        <w:rPr>
          <w:rStyle w:val="16"/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auto"/>
          <w:vertAlign w:val="baseline"/>
          <w:lang w:val="en-US" w:eastAsia="zh-CN"/>
        </w:rPr>
      </w:pPr>
      <w:r>
        <w:rPr>
          <w:rStyle w:val="16"/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auto"/>
          <w:vertAlign w:val="baseline"/>
          <w:lang w:val="en-US" w:eastAsia="zh-CN"/>
        </w:rPr>
        <w:t>坚持教育优先发展战略，对教育的财政投入坚持逐年只增不减，全年安排教育资金13.9亿元，推动教育高质量发展迈上新台阶。落实落细就业优先政策，健全就业公共服务体系，积极筹措资金加强困难群体就业兜底帮扶，全年各类就业补贴补助0.42亿元。强化社会保障体系，扩大社会保险覆盖面，完善基本养老、基本医疗保险筹资和待遇调整机制，全年统筹市级四类保险支出3.66亿元。重点推动保障性租赁住房筹集建设、城镇老旧小区改造、租赁补贴发放等工作，安排资金0.47亿元用于持续改善城镇人居生活环境，增进民生福祉。积极发挥财政职能作用，全面实施乡村振兴战略，全年拨付农业支出3.3亿元，促进农业生产水利基础设施建设不断提升，扎实推进乡村发展和乡村建设。</w:t>
      </w:r>
    </w:p>
    <w:p>
      <w:pPr>
        <w:pStyle w:val="11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1" w:firstLineChars="0"/>
        <w:jc w:val="both"/>
        <w:textAlignment w:val="baseline"/>
        <w:rPr>
          <w:rStyle w:val="16"/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Style w:val="16"/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4.大力优化支出结构，兜牢兜实“三保”底线</w:t>
      </w:r>
    </w:p>
    <w:p>
      <w:pPr>
        <w:pStyle w:val="11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1" w:firstLineChars="0"/>
        <w:jc w:val="both"/>
        <w:textAlignment w:val="baseline"/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</w:pPr>
      <w:r>
        <w:rPr>
          <w:rStyle w:val="16"/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严格预算执行管理，</w:t>
      </w:r>
      <w:r>
        <w:rPr>
          <w:rStyle w:val="16"/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rtl w:val="0"/>
          <w:lang w:val="en-US" w:eastAsia="zh-CN"/>
        </w:rPr>
        <w:t>全面收紧刚性支出，严控人员经费开支，除国家统一要求外，机关事业单位人员实行“退一进一”，严控编外人员规模，编外人员实行“只退不进”原则，逐步压缩编外人员数量。鼓励机关事业单位人员休“干休假”，不再自行出台民生领域增支政策，全年取消过高的民生支出0.5亿元。</w:t>
      </w:r>
      <w:r>
        <w:rPr>
          <w:rStyle w:val="16"/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坚持真过紧日子、苦日子，</w:t>
      </w:r>
      <w:r>
        <w:rPr>
          <w:rStyle w:val="16"/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rtl w:val="0"/>
          <w:lang w:val="en-US" w:eastAsia="zh-CN"/>
        </w:rPr>
        <w:t>严控物业管理费，严把物业服务标准，全年压减预算0.4亿元，</w:t>
      </w:r>
      <w:r>
        <w:rPr>
          <w:rStyle w:val="16"/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进一步降低政府运行成本。优先保障“三保”支出，足额编制“三保”支出预算，将“三保”支出预算置于预算安排的第一顺位，全年拨付“三保”支出</w:t>
      </w:r>
      <w:r>
        <w:rPr>
          <w:rStyle w:val="16"/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44</w:t>
      </w:r>
      <w:r>
        <w:rPr>
          <w:rStyle w:val="16"/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亿元，其中保工资28亿元、保运转2.8亿元、保基本民生</w:t>
      </w:r>
      <w:r>
        <w:rPr>
          <w:rStyle w:val="16"/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13.2</w:t>
      </w:r>
      <w:r>
        <w:rPr>
          <w:rStyle w:val="16"/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亿元。</w:t>
      </w:r>
    </w:p>
    <w:p>
      <w:pPr>
        <w:pStyle w:val="11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1" w:firstLineChars="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bookmarkStart w:id="1" w:name="_Hlk87535827"/>
      <w:bookmarkEnd w:id="1"/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5.树立全口径化债意识，有效防范化解债务风险</w:t>
      </w:r>
    </w:p>
    <w:p>
      <w:pPr>
        <w:pStyle w:val="11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1" w:firstLineChars="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严格落实政府债券资金“借、用、管、还、效”全生命周期管理要求，规范化使用债券资金，督促项目实施主体加快资金使用进度，尽快形成实物工作量，最大限度减少资金闲置。强化债券项目专项收入核算，积极落实专项债券偿债备付金管理制度，按项目定期跟踪预期收益实现情况，督促项目主体按计划归集到期专项债券本息。研究制定《东丽区防范化解全口径债务工作方案》和“1+14”制度体系，逐步逐项分解任务、细化目标，逐笔明确偿债来源，推动各项化债举措落实到位，全面防范化解债务风险。</w:t>
      </w:r>
    </w:p>
    <w:p>
      <w:pPr>
        <w:pStyle w:val="11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1" w:firstLineChars="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6.狠抓财政预算管理，保障基层运转稳定可持续</w:t>
      </w:r>
    </w:p>
    <w:p>
      <w:pPr>
        <w:pStyle w:val="11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1" w:firstLineChars="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积极实施街道、园区财政体制，从严从紧加强基层财政管理，充分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rtl w:val="0"/>
          <w:lang w:val="en-US" w:eastAsia="zh-CN"/>
        </w:rPr>
        <w:t>调动街道、园区干事创业积极性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。全面实施预算绩效管理，建立健全“全方位、全过程、全覆盖”的预算绩效管理体系，助力财政资金用在“刀刃”上、关键点和急需处，积极推动财政资金聚力增效。深入推进预算一体化改革，建立财力和支出动态平衡管控机制，确保全年预算实时平衡。大力加强财会监督工作，健全财会监督体系和工作机制，突出监督重点，加强与各类监督贯通协调，不断提升监督效能，进一步严肃财经纪律。</w:t>
      </w:r>
    </w:p>
    <w:p>
      <w:pPr>
        <w:pStyle w:val="11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1" w:firstLineChars="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总体来看，2023年财政收支实现合理增长，有效推进各项财政改革事业，但财政工作依然存在一些问题和困难，主要表现在：一是财政增收压力持续增加。土地市场持续低迷，房地产业对税收的支撑作用不断减弱，新的税收支撑点尚未形成，资源资产盘活招法不足，财政收入不确定性增强。二是财政收支矛盾日益突出。“三保”支出牢牢兜实，教育、农业农村等民生事业“只增不减”，政府债券利息按期足额支付，财政刚性支出规模不断扩大，预算平衡压力持续增加。三是预算管理水平有待继续增强。部分单位预算编制不够细化，政府采购预算约束力不足，依然存在过紧日子意识不牢、支出未按轻重缓急排序、财务管理基础薄弱等问题。我们需要高度重视上述问题，积极采取切实可行的措施，努力在今后工作中加以解决。</w:t>
      </w:r>
    </w:p>
    <w:p>
      <w:pPr>
        <w:pStyle w:val="11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1" w:firstLineChars="0"/>
        <w:jc w:val="both"/>
        <w:textAlignment w:val="baseline"/>
        <w:rPr>
          <w:rFonts w:hint="default" w:ascii="Times New Roman" w:hAnsi="Times New Roman" w:eastAsia="微软雅黑" w:cs="Times New Roman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highlight w:val="none"/>
        </w:rPr>
      </w:pPr>
      <w:r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</w:rPr>
        <w:t>二、</w:t>
      </w:r>
      <w:r>
        <w:rPr>
          <w:rFonts w:hint="default" w:ascii="Times New Roman" w:hAnsi="Times New Roman" w:eastAsia="微软雅黑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</w:rPr>
        <w:t>202</w:t>
      </w:r>
      <w:r>
        <w:rPr>
          <w:rFonts w:hint="default" w:ascii="Times New Roman" w:hAnsi="Times New Roman" w:eastAsia="微软雅黑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4</w:t>
      </w:r>
      <w:r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</w:rPr>
        <w:t>年预算草案</w:t>
      </w:r>
    </w:p>
    <w:p>
      <w:pPr>
        <w:pStyle w:val="11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1" w:firstLineChars="0"/>
        <w:jc w:val="both"/>
        <w:textAlignment w:val="baseline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</w:rPr>
        <w:t>2024年是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eastAsia="zh-CN"/>
        </w:rPr>
        <w:t>中华人民共和国成立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75周年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是实施“十四五”规划，全面建设科创绿谷、都市新区的关键之年，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</w:rPr>
        <w:t>做好财政工作意义重大。按照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区委、区政府工作部署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继续实施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</w:rPr>
        <w:t>积极的财政政策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eastAsia="zh-CN"/>
        </w:rPr>
        <w:t>，不断巩固和增强经济回升向好态势，扎实推动高质量发展，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</w:rPr>
        <w:t>确保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eastAsia="zh-CN"/>
        </w:rPr>
        <w:t>全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</w:rPr>
        <w:t>年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各项财政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</w:rPr>
        <w:t>重点任务落地落实。</w:t>
      </w:r>
    </w:p>
    <w:p>
      <w:pPr>
        <w:pStyle w:val="11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1" w:firstLineChars="0"/>
        <w:jc w:val="both"/>
        <w:textAlignment w:val="baseline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</w:rPr>
        <w:t>202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</w:rPr>
        <w:t>年预算编制和财政工作的总体要求是：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eastAsia="zh-CN"/>
        </w:rPr>
        <w:t>坚持以习近平新时代中国特色社会主义思想为指导，全面贯彻落实党的二十大和二十届二中全会精神，认真落实习近平总书记对天津工作的一系列重要指示要求，深入落实中央经济工作会议、市委十二届四次全会暨市委经济工作会议部署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</w:rPr>
        <w:t>，坚持稳中求进工作总基调，完整、准确、全面贯彻新发展理念，加快构建新发展格局，着力推动高质量发展，采取更加积极有力的措施，增强发展动能，切实增强经济活力、防范化解风险、改善社会预期，巩固和增强经济回升向好态势，持续推动经济实现质的有效提升和量的合理增长。坚持政府过紧日子、精打细算，加强财政资源统筹，调整优化支出结构，着力保障和改善民生；坚持系统观念，统筹高质量发展和高水平安全，加强全口径债务管理，筑牢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eastAsia="zh-CN"/>
        </w:rPr>
        <w:t>兜实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</w:rPr>
        <w:t>基层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eastAsia="zh-CN"/>
        </w:rPr>
        <w:t>“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</w:rPr>
        <w:t>三保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eastAsia="zh-CN"/>
        </w:rPr>
        <w:t>”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</w:rPr>
        <w:t>底线，防范财政运行风险；坚持推动改革攻坚，创新财政支出方式，强化预算约束和绩效管理，加快建立现代财税体制，积极打造更多财政标志性成果，为全面建设科创绿谷、都市新区提供有力保障。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rPr>
          <w:rFonts w:hint="default" w:ascii="Times New Roman" w:hAnsi="Times New Roman" w:eastAsia="楷体_GB231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auto" w:fill="FFFFFF"/>
          <w:vertAlign w:val="baseline"/>
          <w:lang w:val="en-US" w:eastAsia="zh-CN" w:bidi="ar"/>
        </w:rPr>
      </w:pPr>
      <w:r>
        <w:rPr>
          <w:rFonts w:hint="default" w:ascii="Times New Roman" w:hAnsi="Times New Roman" w:eastAsia="楷体_GB231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auto" w:fill="FFFFFF"/>
          <w:vertAlign w:val="baseline"/>
          <w:lang w:val="en-US" w:eastAsia="zh-CN" w:bidi="ar"/>
        </w:rPr>
        <w:t>（一）一般公共预算收入预计和支出安排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  <w:t>一般公共收入预算62亿元，比上年增长6%。其中，税收收入47亿元，增长8.8%；非税收入15亿元，下降2.6%。一般公共收入预算加上市级转移支付和税收返还12.27亿元、调入资金8亿元、上年结余2.63亿元，减去上解市级支出6.9亿元，预算总收入78亿元。一般公共支出预算78亿元，比上年</w:t>
      </w:r>
      <w:r>
        <w:rPr>
          <w:rFonts w:hint="eastAsia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  <w:t>下降3.7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  <w:t>%。其中：基本支出安排33.9亿元，占总支出的43.5%；项目支出安排42.8亿元，占总支出的54.8%；预备费安排1.3亿元，符合《预算法》规定的要求。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rPr>
          <w:rFonts w:hint="default" w:ascii="Times New Roman" w:hAnsi="Times New Roman" w:eastAsia="楷体_GB231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auto" w:fill="FFFFFF"/>
          <w:vertAlign w:val="baseline"/>
          <w:lang w:val="en-US" w:eastAsia="zh-CN" w:bidi="ar"/>
        </w:rPr>
      </w:pPr>
      <w:r>
        <w:rPr>
          <w:rFonts w:hint="default" w:ascii="Times New Roman" w:hAnsi="Times New Roman" w:eastAsia="楷体_GB231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auto" w:fill="FFFFFF"/>
          <w:vertAlign w:val="baseline"/>
          <w:lang w:val="en-US" w:eastAsia="zh-CN" w:bidi="ar"/>
        </w:rPr>
        <w:t>（二）政府性基金预算收入预计和支出安排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highlight w:val="none"/>
          <w:lang w:val="en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  <w:t>政府性基金收入预算15.2亿元，比上年增长38.3%，主要是土地出让增加的收入。政府性基金收入预算加上调入资金17.5亿元、上年结余30.3亿元，预算总收入63亿元。政府性基金支出预算63亿元，比上年增长70.8%，包括城乡社区支出15.2亿元、专项债务支出30.3亿元、债务付息支出17.5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rPr>
          <w:rFonts w:hint="default" w:ascii="Times New Roman" w:hAnsi="Times New Roman" w:eastAsia="楷体_GB231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auto" w:fill="FFFFFF"/>
          <w:vertAlign w:val="baseline"/>
          <w:lang w:val="en-US" w:eastAsia="zh-CN" w:bidi="ar"/>
        </w:rPr>
      </w:pPr>
      <w:r>
        <w:rPr>
          <w:rFonts w:hint="default" w:ascii="Times New Roman" w:hAnsi="Times New Roman" w:eastAsia="楷体_GB231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auto" w:fill="FFFFFF"/>
          <w:vertAlign w:val="baseline"/>
          <w:lang w:val="en-US" w:eastAsia="zh-CN" w:bidi="ar"/>
        </w:rPr>
        <w:t>（三）国有资本经营预算收入预计和支出安排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  <w:t>国有资本经营收入预算0.4亿元，比上年增长4.5%，主要是区级国有公司上缴的利润收入。国有资本经营收入0.4亿元全部调入一般公共预算。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rPr>
          <w:rFonts w:hint="default" w:ascii="Times New Roman" w:hAnsi="Times New Roman" w:eastAsia="楷体_GB231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auto" w:fill="FFFFFF"/>
          <w:vertAlign w:val="baseline"/>
          <w:lang w:val="en-US" w:eastAsia="zh-CN" w:bidi="ar"/>
        </w:rPr>
      </w:pPr>
      <w:r>
        <w:rPr>
          <w:rFonts w:hint="default" w:ascii="Times New Roman" w:hAnsi="Times New Roman" w:eastAsia="楷体_GB231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auto" w:fill="FFFFFF"/>
          <w:vertAlign w:val="baseline"/>
          <w:lang w:val="en-US" w:eastAsia="zh-CN" w:bidi="ar"/>
        </w:rPr>
        <w:t>（四）政府债务情况</w:t>
      </w:r>
    </w:p>
    <w:p>
      <w:pPr>
        <w:pStyle w:val="11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30" w:firstLineChars="0"/>
        <w:jc w:val="both"/>
        <w:textAlignment w:val="baseline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  <w:t>2024年，我区地方政府债务规模和债务限额待市政府批准下达后，区政府及时编制预算调整方案，报区人大常委会审议批准。</w:t>
      </w:r>
    </w:p>
    <w:p>
      <w:pPr>
        <w:pStyle w:val="11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baseline"/>
        <w:rPr>
          <w:rFonts w:hint="default" w:ascii="Times New Roman" w:hAnsi="Times New Roman" w:eastAsia="微软雅黑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</w:rPr>
      </w:pPr>
      <w:r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 xml:space="preserve">三、2024年财政主要工作 </w:t>
      </w:r>
    </w:p>
    <w:p>
      <w:pPr>
        <w:pStyle w:val="11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30" w:firstLineChars="0"/>
        <w:jc w:val="both"/>
        <w:textAlignment w:val="baseline"/>
        <w:rPr>
          <w:rFonts w:hint="default" w:ascii="Times New Roman" w:hAnsi="Times New Roman" w:eastAsia="楷体_GB231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auto" w:fill="FFFFFF"/>
          <w:vertAlign w:val="baseline"/>
          <w:lang w:val="en-US" w:eastAsia="zh-CN" w:bidi="ar"/>
        </w:rPr>
      </w:pPr>
      <w:r>
        <w:rPr>
          <w:rFonts w:hint="default" w:ascii="Times New Roman" w:hAnsi="Times New Roman" w:eastAsia="楷体_GB231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auto" w:fill="FFFFFF"/>
          <w:vertAlign w:val="baseline"/>
          <w:lang w:val="en-US" w:eastAsia="zh-CN" w:bidi="ar"/>
        </w:rPr>
        <w:t>（一）进一步发挥财政政策效能，推动经济高质量发展</w:t>
      </w:r>
    </w:p>
    <w:p>
      <w:pPr>
        <w:pStyle w:val="11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30" w:firstLineChars="0"/>
        <w:jc w:val="both"/>
        <w:textAlignment w:val="baseline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积极的财政政策继续提质增效，不断提升资金效益和政策效果。预计安排资金0.5亿元重点支持科技创新和制造业发展，持续加大“专精特新”、“小巨人”企业培育力度，以科技创新引领现代化产业体系建设。积极推进招商引资工作，加大培育新增税源力度，形成新的税收贡献。加快重大项目谋划建设，积极扩大有效投资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fldChar w:fldCharType="begin"/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instrText xml:space="preserve"> HYPERLINK "http://www.baidu.com/link?url=SE0mMFRbPcSVn0WMVC_0ZEdz7G1ua0IVHq-gbNQCAlWa9s7QTJAvsSH6BIO1ioIunn0ZyqvJd7i0A8Wsa5P0RK" \t "https://www.baidu.com/_blank" </w:instrTex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fldChar w:fldCharType="separate"/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更好发挥政府投资的引导带动作用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fldChar w:fldCharType="end"/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。狠抓税源建设，加大企业跟踪服务力度，持续优化营商环境，深入挖掘税收潜力。加快盘活区内各类资产资源，千方百计扩大全区财力规模。</w:t>
      </w:r>
    </w:p>
    <w:p>
      <w:pPr>
        <w:pStyle w:val="11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30" w:firstLineChars="0"/>
        <w:jc w:val="both"/>
        <w:textAlignment w:val="baseline"/>
        <w:rPr>
          <w:rFonts w:hint="default" w:ascii="Times New Roman" w:hAnsi="Times New Roman" w:eastAsia="楷体_GB231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auto" w:fill="FFFFFF"/>
          <w:vertAlign w:val="baseline"/>
          <w:lang w:val="en-US" w:eastAsia="zh-CN" w:bidi="ar"/>
        </w:rPr>
      </w:pPr>
      <w:r>
        <w:rPr>
          <w:rFonts w:hint="default" w:ascii="Times New Roman" w:hAnsi="Times New Roman" w:eastAsia="楷体_GB231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auto" w:fill="FFFFFF"/>
          <w:vertAlign w:val="baseline"/>
          <w:lang w:val="en-US" w:eastAsia="zh-CN" w:bidi="ar"/>
        </w:rPr>
        <w:t>（二）进一步落实保障和改善民生，不断增强民生福祉</w:t>
      </w:r>
    </w:p>
    <w:p>
      <w:pPr>
        <w:pStyle w:val="11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30" w:firstLineChars="0"/>
        <w:jc w:val="both"/>
        <w:textAlignment w:val="baseline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坚持尽力而为、量力而行，兜住、兜准、兜牢民生底线。安排教育支出14亿元，加快构建高质量教育体系。促进卫生健康服务水平稳定提升，安排卫生健康支出6亿元，推动医疗保障事业高质量发展。持续强化困难群众保障，安排救助资金0.6亿元，落实好特困人员救助供养、临时救助等政策。有力有效推进乡村全面振兴，安排农业支出6亿元，支持高标准农田建设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fldChar w:fldCharType="begin"/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instrText xml:space="preserve"> HYPERLINK "http://www.baidu.com/link?url=yf2_38bs1ObRH3gy3Gn8QwwjRzmetHqAfqdBz_b5_dZBH60iWtbKLGJoH26KjUz5DN5ojgTEOSlgOVngySsaVtOepObINBOejJpeadoqqOY0h6tHOD6cGV0782mS1o_fR6Dv7UEexIIGBN4nH6f48K" \t "https://www.baidu.com/_blank" </w:instrTex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fldChar w:fldCharType="separate"/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加快建设农业强国，推进农业农村现代化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fldChar w:fldCharType="end"/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。更加突出就业优先导向，安排就业补助支出0.4亿元，确保重点群体就业稳定。</w:t>
      </w:r>
    </w:p>
    <w:p>
      <w:pPr>
        <w:pStyle w:val="11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30" w:firstLineChars="0"/>
        <w:jc w:val="both"/>
        <w:textAlignment w:val="baseline"/>
        <w:rPr>
          <w:rFonts w:hint="default" w:ascii="Times New Roman" w:hAnsi="Times New Roman" w:eastAsia="楷体_GB231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auto" w:fill="FFFFFF"/>
          <w:vertAlign w:val="baseline"/>
          <w:lang w:val="en-US" w:eastAsia="zh-CN" w:bidi="ar"/>
        </w:rPr>
      </w:pPr>
      <w:r>
        <w:rPr>
          <w:rFonts w:hint="default" w:ascii="Times New Roman" w:hAnsi="Times New Roman" w:eastAsia="楷体_GB231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auto" w:fill="FFFFFF"/>
          <w:vertAlign w:val="baseline"/>
          <w:lang w:val="en-US" w:eastAsia="zh-CN" w:bidi="ar"/>
        </w:rPr>
        <w:t>（三）进一步从严控制财政支出，过紧日子理念入脑入心</w:t>
      </w:r>
    </w:p>
    <w:p>
      <w:pPr>
        <w:pStyle w:val="11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30" w:firstLineChars="0"/>
        <w:jc w:val="both"/>
        <w:textAlignment w:val="baseline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坚持真过紧日子，动真碰硬加强支出管控。严控机关事业单位编制使用，全区行政事业单位空编率不低于15%。全面核定编外人员数量，降低编制外长聘人员经费标准，减少编外人员支出预算0.5亿元。继续压降行政运行支出，公用经费、差旅费、会议费、培训费在2023年预算基础上压减15%。通过降低物业服务标准、餐标等方式，坚决压减各部门物业和用餐补助支出。夯实部门“三保”支出责任，保障年初足额编制“三保”预算，同时在预算执行中优先保障“三保”支出，牢牢兜实基层“三保”底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rPr>
          <w:rFonts w:hint="default" w:ascii="Times New Roman" w:hAnsi="Times New Roman" w:eastAsia="楷体_GB2312" w:cs="Times New Roman"/>
          <w:b w:val="0"/>
          <w:bCs w:val="0"/>
          <w:color w:val="000000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b w:val="0"/>
          <w:bCs w:val="0"/>
          <w:color w:val="000000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  <w:t>（四）进一步加强债务风险防范，妥善化解存量债务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kern w:val="2"/>
          <w:sz w:val="32"/>
          <w:szCs w:val="32"/>
          <w:highlight w:val="none"/>
          <w:shd w:val="clear" w:color="auto" w:fill="FFFFFF"/>
          <w:vertAlign w:val="baseli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  <w:t>按照“资金跟着项目走”的原则，充分发挥专项债券稳投资、扩内需、补短板、支持高质量发展的关键作用，加快债券发行使用进度。依托财经工作专班职能，毫不松懈、持之以恒抓好全口径债务风险化解方案执行，真正做到心中有数、肩上有责、手中有策、化解有效。强化各化债主体责任落实，积极稳妥化解隐性债务，坚决遏制隐性债务增量。用足用好风险化解试点再融资债券政策，防范债务逾期违约风险，将债务率控制在合理区间，牢牢守住不发生系统性风险的底线。</w:t>
      </w:r>
    </w:p>
    <w:p>
      <w:pPr>
        <w:pStyle w:val="11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30" w:firstLineChars="0"/>
        <w:jc w:val="both"/>
        <w:textAlignment w:val="baseline"/>
        <w:rPr>
          <w:rFonts w:hint="default" w:ascii="Times New Roman" w:hAnsi="Times New Roman" w:eastAsia="楷体_GB231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auto" w:fill="FFFFFF"/>
          <w:vertAlign w:val="baseline"/>
          <w:lang w:val="en-US" w:eastAsia="zh-CN" w:bidi="ar"/>
        </w:rPr>
      </w:pPr>
      <w:r>
        <w:rPr>
          <w:rFonts w:hint="default" w:ascii="Times New Roman" w:hAnsi="Times New Roman" w:eastAsia="楷体_GB231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auto" w:fill="FFFFFF"/>
          <w:vertAlign w:val="baseline"/>
          <w:lang w:val="en-US" w:eastAsia="zh-CN" w:bidi="ar"/>
        </w:rPr>
        <w:t>（五）进一步提升财政治理能力，持续深化财政体制改革</w:t>
      </w:r>
    </w:p>
    <w:p>
      <w:pPr>
        <w:pStyle w:val="11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30" w:firstLineChars="0"/>
        <w:jc w:val="both"/>
        <w:textAlignment w:val="baseline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推动预算绩效管理提质增效，提升绩效自评质量，增强财政重点评价质效，深化绩效评价结果应用。全面推进预算管理一体化，提升预算管理工作的规范化、科学化、标准化水平，建立预算执行监测机制，依托预算管理一体化系统数据信息，对财政运行进行动态监测和风险预警。深入推进街道财政体制改革，充分调动街道园区增收节支积极性，激发基层经济发展动力。建立财政承受能力评估制度，对涉及增加财政支出的重大政策或重大政府投资项目，统一进行财承评估，未通过评估的不得安排预算。</w:t>
      </w:r>
    </w:p>
    <w:p>
      <w:pPr>
        <w:pStyle w:val="11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30" w:firstLineChars="0"/>
        <w:jc w:val="both"/>
        <w:textAlignment w:val="baseline"/>
        <w:rPr>
          <w:rFonts w:hint="default" w:ascii="Times New Roman" w:hAnsi="Times New Roman" w:eastAsia="楷体_GB231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auto" w:fill="FFFFFF"/>
          <w:vertAlign w:val="baseline"/>
          <w:lang w:val="en-US" w:eastAsia="zh-CN" w:bidi="ar"/>
        </w:rPr>
      </w:pPr>
      <w:r>
        <w:rPr>
          <w:rFonts w:hint="default" w:ascii="Times New Roman" w:hAnsi="Times New Roman" w:eastAsia="楷体_GB231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auto" w:fill="FFFFFF"/>
          <w:vertAlign w:val="baseline"/>
          <w:lang w:val="en-US" w:eastAsia="zh-CN" w:bidi="ar"/>
        </w:rPr>
        <w:t>（六）进一步切实严肃财经纪律，严格预算执行规范管理</w:t>
      </w:r>
    </w:p>
    <w:p>
      <w:pPr>
        <w:pStyle w:val="11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30" w:firstLineChars="0"/>
        <w:jc w:val="both"/>
        <w:textAlignment w:val="baseline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认真贯彻预算法和预算法实施条例，严格执行人大批准的预算，严控预算追加事项，坚决禁止违反预算规定乱开口子。加大政府预决算公开力度，扩大部门预决算公开范围，细化政府预决算公开内容。依法接受人大及其常委会、审计部门的监督，充分发挥党内监督的主导作用，加强财会监督体制机制建设，稳妥推进财会监督专项行动，同时促进财会监督与党内监督、审计监督等协同发力。强化监督结果运用，对监督发现的问题，严格依规依纪依法追究有关单位和人员责任，加大处理结果公开力度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各位代表，2024年财政工作任务艰巨，责任重大。让我们更加紧密地团结在以习近平同志为核心的党中央周围，高举习近平新时代中国特色社会主义思想伟大旗帜，在区委、区政府的坚强领导下，在区人大的指导监督下，坚定信心、埋头苦干、踔厉奋发、勇毅前行，为奋力开创科创绿谷、都市新区作出新的更大贡献！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bookmarkStart w:id="2" w:name="_GoBack"/>
      <w:bookmarkEnd w:id="2"/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附件：1.2023年预算执行情况和2024年预算表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600" w:firstLineChars="5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vertAlign w:val="baseline"/>
          <w:lang w:val="en-US" w:eastAsia="zh-CN"/>
        </w:rPr>
        <w:t>2.2024年预算项目绩效表</w:t>
      </w:r>
    </w:p>
    <w:p>
      <w:pPr>
        <w:rPr>
          <w:rFonts w:hint="default" w:ascii="Times New Roman" w:hAnsi="Times New Roman" w:cs="Times New Roma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2041" w:right="1559" w:bottom="1701" w:left="1559" w:header="851" w:footer="992" w:gutter="0"/>
      <w:pgNumType w:fmt="decimal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ind w:firstLine="0" w:firstLineChars="0"/>
    </w:pPr>
    <w:r>
      <w:rPr>
        <w:sz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4488180</wp:posOffset>
              </wp:positionH>
              <wp:positionV relativeFrom="paragraph">
                <wp:posOffset>0</wp:posOffset>
              </wp:positionV>
              <wp:extent cx="1092200" cy="71755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92200" cy="717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8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53.4pt;margin-top:0pt;height:56.5pt;width:86pt;mso-position-horizontal-relative:margin;z-index:251659264;mso-width-relative:page;mso-height-relative:page;" filled="f" stroked="f" coordsize="21600,21600" o:gfxdata="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D+9FddUAAAAIAQAADwAAAAAAAAABACAAAAAiAAAAZHJzL2Rv&#10;d25yZXYueG1sUEsBAhQAFAAAAAgAh07iQCMvdIo9AgAAcAQAAA4AAAAAAAAAAQAgAAAAJAEAAGRy&#10;cy9lMm9Eb2MueG1sUEsFBgAAAAAGAAYAWQEAANM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8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ind w:firstLine="360"/>
    </w:pPr>
    <w:r>
      <w:rPr>
        <w:sz w:val="3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evenAndOddHeaders w:val="1"/>
  <w:drawingGridHorizontalSpacing w:val="160"/>
  <w:drawingGridVerticalSpacing w:val="435"/>
  <w:displayHorizontalDrawingGridEvery w:val="2"/>
  <w:displayVerticalDrawingGridEvery w:val="1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BF2B8E"/>
    <w:rsid w:val="00002068"/>
    <w:rsid w:val="000313D4"/>
    <w:rsid w:val="000832A0"/>
    <w:rsid w:val="000A67F8"/>
    <w:rsid w:val="00134981"/>
    <w:rsid w:val="00172A27"/>
    <w:rsid w:val="001773FE"/>
    <w:rsid w:val="001A6379"/>
    <w:rsid w:val="00207720"/>
    <w:rsid w:val="00296D7A"/>
    <w:rsid w:val="00332F81"/>
    <w:rsid w:val="003A5F0C"/>
    <w:rsid w:val="003B3316"/>
    <w:rsid w:val="00432E6D"/>
    <w:rsid w:val="00496073"/>
    <w:rsid w:val="004B7990"/>
    <w:rsid w:val="004E1763"/>
    <w:rsid w:val="00560F0E"/>
    <w:rsid w:val="00573B1A"/>
    <w:rsid w:val="00577D3B"/>
    <w:rsid w:val="00585516"/>
    <w:rsid w:val="00642A5C"/>
    <w:rsid w:val="00643AFC"/>
    <w:rsid w:val="0068061B"/>
    <w:rsid w:val="006874DD"/>
    <w:rsid w:val="006B33DF"/>
    <w:rsid w:val="00735E28"/>
    <w:rsid w:val="007B62E3"/>
    <w:rsid w:val="007C0838"/>
    <w:rsid w:val="007C2547"/>
    <w:rsid w:val="007E43C5"/>
    <w:rsid w:val="00814AFB"/>
    <w:rsid w:val="009107D6"/>
    <w:rsid w:val="00917262"/>
    <w:rsid w:val="00946F38"/>
    <w:rsid w:val="00992215"/>
    <w:rsid w:val="009D7044"/>
    <w:rsid w:val="00A96F57"/>
    <w:rsid w:val="00B077BA"/>
    <w:rsid w:val="00B12330"/>
    <w:rsid w:val="00B91AAA"/>
    <w:rsid w:val="00BA78FF"/>
    <w:rsid w:val="00BD2BC7"/>
    <w:rsid w:val="00BE231A"/>
    <w:rsid w:val="00BE5814"/>
    <w:rsid w:val="00C255B8"/>
    <w:rsid w:val="00CF1070"/>
    <w:rsid w:val="00CF2E59"/>
    <w:rsid w:val="00DA4D5E"/>
    <w:rsid w:val="00E04EC0"/>
    <w:rsid w:val="00E64220"/>
    <w:rsid w:val="00E708EF"/>
    <w:rsid w:val="00E8025A"/>
    <w:rsid w:val="00E95A24"/>
    <w:rsid w:val="00F6502C"/>
    <w:rsid w:val="00F82E3C"/>
    <w:rsid w:val="00FC1C98"/>
    <w:rsid w:val="00FC76A9"/>
    <w:rsid w:val="03A6307E"/>
    <w:rsid w:val="09861FC8"/>
    <w:rsid w:val="0C366B24"/>
    <w:rsid w:val="134046AD"/>
    <w:rsid w:val="1E7EEAC5"/>
    <w:rsid w:val="1F3567F3"/>
    <w:rsid w:val="243D1022"/>
    <w:rsid w:val="37BF2B8E"/>
    <w:rsid w:val="37E448BC"/>
    <w:rsid w:val="3A2F7D4C"/>
    <w:rsid w:val="3E046FDB"/>
    <w:rsid w:val="3ECF6258"/>
    <w:rsid w:val="4DEE5299"/>
    <w:rsid w:val="53C2AFE5"/>
    <w:rsid w:val="55A55682"/>
    <w:rsid w:val="5AF638E6"/>
    <w:rsid w:val="619A37E3"/>
    <w:rsid w:val="771F7C21"/>
    <w:rsid w:val="791807EB"/>
    <w:rsid w:val="7C1E1BE2"/>
    <w:rsid w:val="ACFDBE4E"/>
    <w:rsid w:val="B3FDE99E"/>
    <w:rsid w:val="EBDD0EE2"/>
    <w:rsid w:val="F3DF3A53"/>
    <w:rsid w:val="FBFF1CFE"/>
    <w:rsid w:val="FF5752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仿宋_GB2312" w:cs="Times New Roman"/>
      <w:kern w:val="2"/>
      <w:sz w:val="32"/>
      <w:szCs w:val="21"/>
      <w:lang w:val="en-US" w:eastAsia="zh-CN" w:bidi="ar-SA"/>
    </w:rPr>
  </w:style>
  <w:style w:type="paragraph" w:styleId="3">
    <w:name w:val="heading 1"/>
    <w:basedOn w:val="1"/>
    <w:next w:val="1"/>
    <w:link w:val="18"/>
    <w:qFormat/>
    <w:uiPriority w:val="9"/>
    <w:pPr>
      <w:keepNext/>
      <w:keepLines/>
      <w:ind w:firstLine="0" w:firstLineChars="0"/>
      <w:jc w:val="center"/>
      <w:outlineLvl w:val="0"/>
    </w:pPr>
    <w:rPr>
      <w:rFonts w:ascii="Times New Roman" w:hAnsi="Times New Roman" w:eastAsia="方正小标宋简体"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9"/>
    <w:pPr>
      <w:keepNext/>
      <w:keepLines/>
      <w:outlineLvl w:val="1"/>
    </w:pPr>
    <w:rPr>
      <w:rFonts w:ascii="Times New Roman" w:hAnsi="Times New Roman" w:eastAsia="黑体"/>
      <w:bCs/>
      <w:szCs w:val="32"/>
    </w:rPr>
  </w:style>
  <w:style w:type="paragraph" w:styleId="5">
    <w:name w:val="heading 3"/>
    <w:basedOn w:val="1"/>
    <w:next w:val="1"/>
    <w:qFormat/>
    <w:uiPriority w:val="9"/>
    <w:pPr>
      <w:keepNext/>
      <w:keepLines/>
      <w:outlineLvl w:val="2"/>
    </w:pPr>
    <w:rPr>
      <w:rFonts w:ascii="Times New Roman" w:hAnsi="Times New Roman" w:eastAsia="楷体_GB2312"/>
      <w:bCs/>
      <w:szCs w:val="32"/>
    </w:rPr>
  </w:style>
  <w:style w:type="paragraph" w:styleId="6">
    <w:name w:val="heading 4"/>
    <w:basedOn w:val="1"/>
    <w:next w:val="1"/>
    <w:link w:val="19"/>
    <w:unhideWhenUsed/>
    <w:qFormat/>
    <w:uiPriority w:val="9"/>
    <w:pPr>
      <w:keepNext/>
      <w:keepLines/>
      <w:spacing w:line="560" w:lineRule="exact"/>
      <w:outlineLvl w:val="3"/>
    </w:pPr>
    <w:rPr>
      <w:rFonts w:ascii="Times New Roman" w:hAnsi="Times New Roman" w:eastAsia="仿宋_GB2312"/>
      <w:b/>
      <w:bCs/>
      <w:sz w:val="32"/>
      <w:szCs w:val="28"/>
    </w:rPr>
  </w:style>
  <w:style w:type="character" w:default="1" w:styleId="15">
    <w:name w:val="Default Paragraph Font"/>
    <w:unhideWhenUsed/>
    <w:qFormat/>
    <w:uiPriority w:val="1"/>
    <w:rPr>
      <w:rFonts w:ascii="Times New Roman" w:hAnsi="Times New Roman" w:eastAsia="仿宋_GB2312"/>
      <w:sz w:val="32"/>
      <w:szCs w:val="32"/>
    </w:rPr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7">
    <w:name w:val="Normal Indent"/>
    <w:qFormat/>
    <w:uiPriority w:val="0"/>
    <w:pPr>
      <w:widowControl w:val="0"/>
      <w:ind w:firstLine="420"/>
      <w:jc w:val="both"/>
    </w:pPr>
    <w:rPr>
      <w:rFonts w:ascii="宋体" w:hAnsi="Courier New" w:eastAsia="宋体" w:cs="Times New Roman"/>
      <w:kern w:val="0"/>
      <w:sz w:val="20"/>
      <w:szCs w:val="20"/>
      <w:lang w:val="en-US" w:eastAsia="zh-CN" w:bidi="ar-SA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next w:val="1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kern w:val="2"/>
      <w:sz w:val="18"/>
      <w:szCs w:val="18"/>
      <w:lang w:val="en-US" w:eastAsia="zh-CN" w:bidi="ar-SA"/>
    </w:rPr>
  </w:style>
  <w:style w:type="paragraph" w:styleId="10">
    <w:name w:val="Subtitle"/>
    <w:basedOn w:val="1"/>
    <w:next w:val="1"/>
    <w:qFormat/>
    <w:uiPriority w:val="11"/>
    <w:pPr>
      <w:ind w:firstLine="0" w:firstLineChars="0"/>
      <w:jc w:val="center"/>
    </w:pPr>
    <w:rPr>
      <w:rFonts w:eastAsia="楷体_GB2312"/>
      <w:bCs/>
      <w:kern w:val="28"/>
      <w:szCs w:val="32"/>
    </w:rPr>
  </w:style>
  <w:style w:type="paragraph" w:styleId="11">
    <w:name w:val="Normal (Web)"/>
    <w:qFormat/>
    <w:uiPriority w:val="0"/>
    <w:pPr>
      <w:widowControl w:val="0"/>
      <w:spacing w:before="100" w:beforeAutospacing="1" w:after="100" w:afterAutospacing="1"/>
      <w:ind w:left="0" w:right="0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"/>
    </w:rPr>
  </w:style>
  <w:style w:type="paragraph" w:styleId="12">
    <w:name w:val="Title"/>
    <w:basedOn w:val="1"/>
    <w:next w:val="1"/>
    <w:link w:val="20"/>
    <w:qFormat/>
    <w:uiPriority w:val="10"/>
    <w:pPr>
      <w:ind w:firstLine="200"/>
      <w:outlineLvl w:val="0"/>
    </w:pPr>
    <w:rPr>
      <w:b/>
      <w:bCs/>
      <w:szCs w:val="32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Strong"/>
    <w:qFormat/>
    <w:uiPriority w:val="0"/>
    <w:rPr>
      <w:b/>
    </w:rPr>
  </w:style>
  <w:style w:type="character" w:styleId="17">
    <w:name w:val="page number"/>
    <w:qFormat/>
    <w:uiPriority w:val="0"/>
  </w:style>
  <w:style w:type="character" w:customStyle="1" w:styleId="18">
    <w:name w:val="标题 1 Char"/>
    <w:link w:val="3"/>
    <w:qFormat/>
    <w:uiPriority w:val="9"/>
    <w:rPr>
      <w:rFonts w:ascii="Times New Roman" w:hAnsi="Times New Roman" w:eastAsia="方正小标宋简体"/>
      <w:bCs/>
      <w:kern w:val="44"/>
      <w:sz w:val="44"/>
      <w:szCs w:val="44"/>
    </w:rPr>
  </w:style>
  <w:style w:type="character" w:customStyle="1" w:styleId="19">
    <w:name w:val="标题 4 字符"/>
    <w:link w:val="6"/>
    <w:semiHidden/>
    <w:qFormat/>
    <w:uiPriority w:val="9"/>
    <w:rPr>
      <w:rFonts w:ascii="Times New Roman" w:hAnsi="Times New Roman" w:eastAsia="仿宋_GB2312"/>
      <w:b/>
      <w:bCs/>
      <w:kern w:val="2"/>
      <w:sz w:val="32"/>
      <w:szCs w:val="28"/>
    </w:rPr>
  </w:style>
  <w:style w:type="character" w:customStyle="1" w:styleId="20">
    <w:name w:val="标题 字符"/>
    <w:link w:val="12"/>
    <w:qFormat/>
    <w:uiPriority w:val="10"/>
    <w:rPr>
      <w:rFonts w:eastAsia="仿宋_GB2312"/>
      <w:b/>
      <w:bCs/>
      <w:kern w:val="2"/>
      <w:sz w:val="32"/>
      <w:szCs w:val="32"/>
    </w:rPr>
  </w:style>
  <w:style w:type="paragraph" w:customStyle="1" w:styleId="21">
    <w:name w:val="署名"/>
    <w:basedOn w:val="1"/>
    <w:qFormat/>
    <w:uiPriority w:val="0"/>
    <w:pPr>
      <w:ind w:firstLine="0" w:firstLineChars="0"/>
      <w:jc w:val="center"/>
    </w:pPr>
    <w:rPr>
      <w:rFonts w:ascii="Times New Roman" w:hAnsi="Times New Roman" w:eastAsia="楷体_GB231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kylin\.local\share\Kingsoft\office6\templates\wps\zh_CN\&#38271;&#26464;&#21452;&#38754;&#27169;&#26495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长杠双面模板.dot</Template>
  <Pages>1</Pages>
  <Words>0</Words>
  <Characters>0</Characters>
  <Lines>0</Lines>
  <Paragraphs>0</Paragraphs>
  <TotalTime>155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2023-12-29T01:29:00Z</dcterms:created>
  <dc:creator>kylin</dc:creator>
  <cp:lastModifiedBy>Administrator</cp:lastModifiedBy>
  <cp:lastPrinted>2023-12-29T03:49:00Z</cp:lastPrinted>
  <dcterms:modified xsi:type="dcterms:W3CDTF">2024-01-23T09:19:44Z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54A0F83E9B044222BECF8CA0CFF631B1</vt:lpwstr>
  </property>
</Properties>
</file>