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东丽区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202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年区级预算调整方案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《中华人民共和国预算法》《中华人民共和国预算法实施条例》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《天津市预算审查监督条例》</w:t>
      </w:r>
      <w:r>
        <w:rPr>
          <w:rFonts w:hint="eastAsia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规定，提请区人大常委会对区十八届人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次会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议审查批准的202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年财政预算进行调整。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一、一般公共预算</w:t>
      </w:r>
      <w:r>
        <w:rPr>
          <w:rFonts w:hint="eastAsia" w:eastAsia="黑体"/>
          <w:sz w:val="32"/>
          <w:szCs w:val="32"/>
          <w:lang w:val="en-US" w:eastAsia="zh-CN"/>
        </w:rPr>
        <w:t>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市财政局</w:t>
      </w:r>
      <w:r>
        <w:rPr>
          <w:rFonts w:hint="eastAsia" w:eastAsia="仿宋_GB2312"/>
          <w:sz w:val="32"/>
          <w:szCs w:val="32"/>
          <w:lang w:eastAsia="zh-CN"/>
        </w:rPr>
        <w:t>下达当年新增净转移支付收入</w:t>
      </w:r>
      <w:r>
        <w:rPr>
          <w:rFonts w:hint="eastAsia" w:eastAsia="仿宋_GB2312"/>
          <w:sz w:val="32"/>
          <w:szCs w:val="32"/>
          <w:lang w:val="en-US" w:eastAsia="zh-CN"/>
        </w:rPr>
        <w:t>5.23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eastAsia="仿宋_GB2312"/>
          <w:sz w:val="32"/>
          <w:szCs w:val="32"/>
        </w:rPr>
        <w:t>市财政局</w:t>
      </w:r>
      <w:r>
        <w:rPr>
          <w:rFonts w:hint="eastAsia" w:eastAsia="仿宋_GB2312"/>
          <w:sz w:val="32"/>
          <w:szCs w:val="32"/>
          <w:lang w:eastAsia="zh-CN"/>
        </w:rPr>
        <w:t>下达的转移支付收入及上解市级支出。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  <w:highlight w:val="none"/>
        </w:rPr>
        <w:t>.</w:t>
      </w:r>
      <w:r>
        <w:rPr>
          <w:rFonts w:eastAsia="仿宋_GB2312"/>
          <w:sz w:val="32"/>
          <w:szCs w:val="32"/>
          <w:highlight w:val="none"/>
        </w:rPr>
        <w:t>市财政局下达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我区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新增一般债务限额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30.29亿元，目前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已全部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发行，其中用于清理消化暂付款30.1亿元，用于东丽区排水防涝一期工程等项目建设0.19亿元。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.年初为补充财力</w:t>
      </w:r>
      <w:r>
        <w:rPr>
          <w:rFonts w:hint="eastAsia" w:eastAsia="仿宋_GB2312"/>
          <w:kern w:val="0"/>
          <w:sz w:val="32"/>
          <w:szCs w:val="32"/>
          <w:lang w:eastAsia="zh-CN"/>
        </w:rPr>
        <w:t>安排调入资金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8亿元，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其中</w:t>
      </w:r>
      <w:r>
        <w:rPr>
          <w:rFonts w:eastAsia="仿宋_GB2312"/>
          <w:kern w:val="0"/>
          <w:sz w:val="32"/>
          <w:szCs w:val="32"/>
        </w:rPr>
        <w:t>滨海新区各功能区分成资金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亿元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、国有企业上缴一般债券利息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3.6亿元、国有资本经营预算调入0.4亿元。全年预计实现调入资金7.43亿元，</w:t>
      </w:r>
      <w:r>
        <w:rPr>
          <w:rFonts w:eastAsia="仿宋_GB2312"/>
          <w:kern w:val="0"/>
          <w:sz w:val="32"/>
          <w:szCs w:val="32"/>
        </w:rPr>
        <w:t>当年财力将</w:t>
      </w:r>
      <w:r>
        <w:rPr>
          <w:rFonts w:hint="eastAsia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0.57</w:t>
      </w:r>
      <w:r>
        <w:rPr>
          <w:rFonts w:eastAsia="仿宋_GB2312"/>
          <w:kern w:val="0"/>
          <w:sz w:val="32"/>
          <w:szCs w:val="32"/>
        </w:rPr>
        <w:t>亿元。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4.上年结转最终为3.47亿元，较年初财力增加0.84亿元。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5.结转下年支出1.01亿元，主要是上级转移支付及一般债券。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楷体_GB2312"/>
          <w:kern w:val="0"/>
          <w:sz w:val="32"/>
          <w:szCs w:val="32"/>
          <w:lang w:val="en-US" w:eastAsia="zh-CN"/>
        </w:rPr>
      </w:pPr>
      <w:r>
        <w:rPr>
          <w:rFonts w:eastAsia="楷体_GB2312"/>
          <w:kern w:val="0"/>
          <w:sz w:val="32"/>
          <w:szCs w:val="32"/>
        </w:rPr>
        <w:t>（二）一般公共预算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收支调整情况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年区级一般公共预算</w:t>
      </w:r>
      <w:r>
        <w:rPr>
          <w:rFonts w:hint="eastAsia" w:eastAsia="仿宋_GB2312"/>
          <w:sz w:val="32"/>
          <w:szCs w:val="32"/>
          <w:lang w:eastAsia="zh-CN"/>
        </w:rPr>
        <w:t>收入</w:t>
      </w:r>
      <w:r>
        <w:rPr>
          <w:rFonts w:hint="eastAsia" w:eastAsia="仿宋_GB2312"/>
          <w:sz w:val="32"/>
          <w:szCs w:val="32"/>
          <w:lang w:val="en-US" w:eastAsia="zh-CN"/>
        </w:rPr>
        <w:t>62亿元，不作调整。</w:t>
      </w:r>
      <w:r>
        <w:rPr>
          <w:rFonts w:eastAsia="仿宋_GB2312"/>
          <w:sz w:val="32"/>
          <w:szCs w:val="32"/>
        </w:rPr>
        <w:t>区级一般公共预算支出由</w:t>
      </w:r>
      <w:r>
        <w:rPr>
          <w:rFonts w:hint="eastAsia" w:eastAsia="仿宋_GB2312"/>
          <w:sz w:val="32"/>
          <w:szCs w:val="32"/>
          <w:lang w:val="en-US" w:eastAsia="zh-CN"/>
        </w:rPr>
        <w:t>78</w:t>
      </w:r>
      <w:r>
        <w:rPr>
          <w:rFonts w:eastAsia="仿宋_GB2312"/>
          <w:sz w:val="32"/>
          <w:szCs w:val="32"/>
        </w:rPr>
        <w:t>亿元调整为</w:t>
      </w:r>
      <w:r>
        <w:rPr>
          <w:rFonts w:hint="eastAsia" w:eastAsia="仿宋_GB2312"/>
          <w:sz w:val="32"/>
          <w:szCs w:val="32"/>
          <w:lang w:val="en-US" w:eastAsia="zh-CN"/>
        </w:rPr>
        <w:t>112.78</w:t>
      </w:r>
      <w:r>
        <w:rPr>
          <w:rFonts w:eastAsia="仿宋_GB2312"/>
          <w:sz w:val="32"/>
          <w:szCs w:val="32"/>
        </w:rPr>
        <w:t>亿元，比区</w:t>
      </w:r>
      <w:r>
        <w:rPr>
          <w:rFonts w:eastAsia="仿宋_GB2312"/>
          <w:sz w:val="32"/>
          <w:szCs w:val="32"/>
          <w:highlight w:val="none"/>
        </w:rPr>
        <w:t>十八届人大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</w:t>
      </w:r>
      <w:r>
        <w:rPr>
          <w:rFonts w:eastAsia="仿宋_GB2312"/>
          <w:sz w:val="32"/>
          <w:szCs w:val="32"/>
          <w:highlight w:val="none"/>
        </w:rPr>
        <w:t>次会议</w:t>
      </w:r>
      <w:r>
        <w:rPr>
          <w:rFonts w:eastAsia="仿宋_GB2312"/>
          <w:sz w:val="32"/>
          <w:szCs w:val="32"/>
        </w:rPr>
        <w:t>批准的预算调</w:t>
      </w:r>
      <w:r>
        <w:rPr>
          <w:rFonts w:hint="eastAsia" w:eastAsia="仿宋_GB2312"/>
          <w:sz w:val="32"/>
          <w:szCs w:val="32"/>
          <w:lang w:val="en-US" w:eastAsia="zh-CN"/>
        </w:rPr>
        <w:t>增34.78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支出预算增减变动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：当年增加支出</w:t>
      </w:r>
      <w:r>
        <w:rPr>
          <w:rFonts w:hint="eastAsia" w:eastAsia="仿宋_GB2312"/>
          <w:sz w:val="32"/>
          <w:szCs w:val="32"/>
          <w:lang w:val="en-US" w:eastAsia="zh-CN"/>
        </w:rPr>
        <w:t>37.9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val="en-US" w:eastAsia="zh-CN"/>
        </w:rPr>
        <w:t>其中30.19亿元为新增一般债券支出，7.71亿元为新增上级转移支付支出；</w:t>
      </w:r>
      <w:r>
        <w:rPr>
          <w:rFonts w:eastAsia="仿宋_GB2312"/>
          <w:sz w:val="32"/>
          <w:szCs w:val="32"/>
        </w:rPr>
        <w:t>减少支出</w:t>
      </w:r>
      <w:r>
        <w:rPr>
          <w:rFonts w:hint="eastAsia" w:eastAsia="仿宋_GB2312"/>
          <w:sz w:val="32"/>
          <w:szCs w:val="32"/>
          <w:lang w:val="en-US" w:eastAsia="zh-CN"/>
        </w:rPr>
        <w:t>3.12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主要是</w:t>
      </w:r>
      <w:r>
        <w:rPr>
          <w:rFonts w:hint="eastAsia" w:eastAsia="仿宋_GB2312"/>
          <w:sz w:val="32"/>
          <w:szCs w:val="32"/>
          <w:lang w:val="en-US" w:eastAsia="zh-CN"/>
        </w:rPr>
        <w:t>核减</w:t>
      </w:r>
      <w:r>
        <w:rPr>
          <w:rFonts w:eastAsia="仿宋_GB2312"/>
          <w:sz w:val="32"/>
          <w:szCs w:val="32"/>
        </w:rPr>
        <w:t>部门非急需项目支出</w:t>
      </w:r>
      <w:r>
        <w:rPr>
          <w:rFonts w:hint="eastAsia" w:eastAsia="仿宋_GB2312"/>
          <w:sz w:val="32"/>
          <w:szCs w:val="32"/>
          <w:lang w:eastAsia="zh-CN"/>
        </w:rPr>
        <w:t>及结转支出</w:t>
      </w:r>
      <w:r>
        <w:rPr>
          <w:rFonts w:eastAsia="仿宋_GB2312"/>
          <w:sz w:val="32"/>
          <w:szCs w:val="32"/>
        </w:rPr>
        <w:t>。增减支出相抵后最终调</w:t>
      </w:r>
      <w:r>
        <w:rPr>
          <w:rFonts w:hint="eastAsia" w:eastAsia="仿宋_GB2312"/>
          <w:sz w:val="32"/>
          <w:szCs w:val="32"/>
          <w:lang w:val="en-US" w:eastAsia="zh-CN"/>
        </w:rPr>
        <w:t>增34.78</w:t>
      </w:r>
      <w:r>
        <w:rPr>
          <w:rFonts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楷体_GB2312"/>
          <w:kern w:val="0"/>
          <w:sz w:val="32"/>
          <w:szCs w:val="32"/>
          <w:lang w:val="en-US" w:eastAsia="zh-CN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三</w:t>
      </w:r>
      <w:r>
        <w:rPr>
          <w:rFonts w:eastAsia="楷体_GB2312"/>
          <w:kern w:val="0"/>
          <w:sz w:val="32"/>
          <w:szCs w:val="32"/>
        </w:rPr>
        <w:t>）</w:t>
      </w:r>
      <w:r>
        <w:rPr>
          <w:rFonts w:hint="eastAsia" w:eastAsia="楷体_GB2312"/>
          <w:kern w:val="0"/>
          <w:sz w:val="32"/>
          <w:szCs w:val="32"/>
          <w:lang w:eastAsia="zh-CN"/>
        </w:rPr>
        <w:t>“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三公</w:t>
      </w:r>
      <w:r>
        <w:rPr>
          <w:rFonts w:hint="eastAsia" w:eastAsia="楷体_GB2312"/>
          <w:kern w:val="0"/>
          <w:sz w:val="32"/>
          <w:szCs w:val="32"/>
          <w:lang w:eastAsia="zh-CN"/>
        </w:rPr>
        <w:t>”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经费预算调整情况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</w:t>
      </w:r>
      <w:r>
        <w:rPr>
          <w:rFonts w:eastAsia="仿宋_GB2312"/>
          <w:sz w:val="32"/>
          <w:szCs w:val="32"/>
        </w:rPr>
        <w:t>经费预算</w:t>
      </w:r>
      <w:r>
        <w:rPr>
          <w:rFonts w:hint="eastAsia" w:eastAsia="仿宋_GB2312"/>
          <w:sz w:val="32"/>
          <w:szCs w:val="32"/>
          <w:lang w:val="en-US" w:eastAsia="zh-CN"/>
        </w:rPr>
        <w:t>由年初安排的906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调整为2274万元，总额调增1368万元，主要是为提高全区自然灾害应急能力，当年申请支出增发国债转移项目用于支付应急局应急公用车辆1436万元，其中</w:t>
      </w:r>
      <w:r>
        <w:rPr>
          <w:rFonts w:hint="eastAsia" w:eastAsia="仿宋_GB2312"/>
          <w:sz w:val="32"/>
          <w:szCs w:val="32"/>
        </w:rPr>
        <w:t>因公出国（境）费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万元、公务接待费由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万元调整为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公务用车购置费由</w:t>
      </w:r>
      <w:r>
        <w:rPr>
          <w:rFonts w:hint="eastAsia" w:eastAsia="仿宋_GB2312"/>
          <w:sz w:val="32"/>
          <w:szCs w:val="32"/>
          <w:lang w:val="en-US" w:eastAsia="zh-CN"/>
        </w:rPr>
        <w:t>116</w:t>
      </w:r>
      <w:r>
        <w:rPr>
          <w:rFonts w:hint="eastAsia" w:eastAsia="仿宋_GB2312"/>
          <w:sz w:val="32"/>
          <w:szCs w:val="32"/>
        </w:rPr>
        <w:t>万元调整为</w:t>
      </w:r>
      <w:r>
        <w:rPr>
          <w:rFonts w:hint="eastAsia" w:eastAsia="仿宋_GB2312"/>
          <w:sz w:val="32"/>
          <w:szCs w:val="32"/>
          <w:lang w:val="en-US" w:eastAsia="zh-CN"/>
        </w:rPr>
        <w:t>1665</w:t>
      </w:r>
      <w:r>
        <w:rPr>
          <w:rFonts w:hint="eastAsia" w:eastAsia="仿宋_GB2312"/>
          <w:sz w:val="32"/>
          <w:szCs w:val="32"/>
        </w:rPr>
        <w:t>万元、公务用车运行维护费由</w:t>
      </w:r>
      <w:r>
        <w:rPr>
          <w:rFonts w:hint="eastAsia" w:eastAsia="仿宋_GB2312"/>
          <w:sz w:val="32"/>
          <w:szCs w:val="32"/>
          <w:lang w:val="en-US" w:eastAsia="zh-CN"/>
        </w:rPr>
        <w:t>781</w:t>
      </w:r>
      <w:r>
        <w:rPr>
          <w:rFonts w:hint="eastAsia" w:eastAsia="仿宋_GB2312"/>
          <w:sz w:val="32"/>
          <w:szCs w:val="32"/>
        </w:rPr>
        <w:t>万元调整为</w:t>
      </w:r>
      <w:r>
        <w:rPr>
          <w:rFonts w:hint="eastAsia" w:eastAsia="仿宋_GB2312"/>
          <w:sz w:val="32"/>
          <w:szCs w:val="32"/>
          <w:lang w:val="en-US" w:eastAsia="zh-CN"/>
        </w:rPr>
        <w:t>602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剔除增发国债因素，“三公”经费总额为838万元，主要是坚持真过紧日子，持续压降行政运行成本。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1.受土地市场低迷等不利因素影响，原计划出让的部分土地未能实现出让。</w:t>
      </w:r>
      <w:r>
        <w:rPr>
          <w:rFonts w:hint="eastAsia" w:eastAsia="仿宋_GB2312"/>
          <w:sz w:val="32"/>
          <w:szCs w:val="32"/>
          <w:lang w:eastAsia="zh-CN"/>
        </w:rPr>
        <w:t>全年预计</w:t>
      </w:r>
      <w:r>
        <w:rPr>
          <w:rFonts w:eastAsia="仿宋_GB2312"/>
          <w:sz w:val="32"/>
          <w:szCs w:val="32"/>
        </w:rPr>
        <w:t>土地出让收入</w:t>
      </w:r>
      <w:r>
        <w:rPr>
          <w:rFonts w:hint="eastAsia" w:eastAsia="仿宋_GB2312"/>
          <w:sz w:val="32"/>
          <w:szCs w:val="32"/>
          <w:lang w:val="en-US" w:eastAsia="zh-CN"/>
        </w:rPr>
        <w:t>5.72</w:t>
      </w:r>
      <w:r>
        <w:rPr>
          <w:rFonts w:eastAsia="仿宋_GB2312"/>
          <w:sz w:val="32"/>
          <w:szCs w:val="32"/>
        </w:rPr>
        <w:t>亿元，较年初预算</w:t>
      </w:r>
      <w:r>
        <w:rPr>
          <w:rFonts w:hint="eastAsia" w:eastAsia="仿宋_GB2312"/>
          <w:sz w:val="32"/>
          <w:szCs w:val="32"/>
          <w:lang w:eastAsia="zh-CN"/>
        </w:rPr>
        <w:t>预计</w:t>
      </w:r>
      <w:r>
        <w:rPr>
          <w:rFonts w:eastAsia="仿宋_GB2312"/>
          <w:sz w:val="32"/>
          <w:szCs w:val="32"/>
        </w:rPr>
        <w:t>减收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9.55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lang w:eastAsia="zh-CN"/>
        </w:rPr>
        <w:t>。同时基础设施配套费、污水处理费预计减收</w:t>
      </w:r>
      <w:r>
        <w:rPr>
          <w:rFonts w:hint="eastAsia" w:eastAsia="仿宋_GB2312"/>
          <w:sz w:val="32"/>
          <w:szCs w:val="32"/>
          <w:lang w:val="en-US" w:eastAsia="zh-CN"/>
        </w:rPr>
        <w:t>0.1亿元。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2.加大资产盘活力度，全年预计实现专项债券对应专项收入13.08亿元，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预计</w:t>
      </w:r>
      <w:r>
        <w:rPr>
          <w:rFonts w:eastAsia="仿宋_GB2312"/>
          <w:sz w:val="32"/>
          <w:szCs w:val="32"/>
          <w:highlight w:val="none"/>
        </w:rPr>
        <w:t>较年初预算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增</w:t>
      </w:r>
      <w:r>
        <w:rPr>
          <w:rFonts w:eastAsia="仿宋_GB2312"/>
          <w:sz w:val="32"/>
          <w:szCs w:val="32"/>
          <w:highlight w:val="none"/>
        </w:rPr>
        <w:t>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13.08</w:t>
      </w:r>
      <w:r>
        <w:rPr>
          <w:rFonts w:eastAsia="仿宋_GB2312"/>
          <w:sz w:val="32"/>
          <w:szCs w:val="32"/>
          <w:highlight w:val="none"/>
        </w:rPr>
        <w:t>亿元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市财政局</w:t>
      </w:r>
      <w:r>
        <w:rPr>
          <w:rFonts w:hint="eastAsia" w:eastAsia="仿宋_GB2312"/>
          <w:sz w:val="32"/>
          <w:szCs w:val="32"/>
          <w:lang w:eastAsia="zh-CN"/>
        </w:rPr>
        <w:t>下达当年新增转移支付收入</w:t>
      </w:r>
      <w:r>
        <w:rPr>
          <w:rFonts w:hint="eastAsia" w:eastAsia="仿宋_GB2312"/>
          <w:sz w:val="32"/>
          <w:szCs w:val="32"/>
          <w:lang w:val="en-US" w:eastAsia="zh-CN"/>
        </w:rPr>
        <w:t>12.26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主要是超长期特别国债和区级土地成本收益转移支付。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sz w:val="32"/>
          <w:szCs w:val="32"/>
          <w:highlight w:val="none"/>
        </w:rPr>
        <w:t>.市财政局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今年累计</w:t>
      </w:r>
      <w:r>
        <w:rPr>
          <w:rFonts w:eastAsia="仿宋_GB2312"/>
          <w:sz w:val="32"/>
          <w:szCs w:val="32"/>
          <w:highlight w:val="none"/>
        </w:rPr>
        <w:t>下达我区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新增专项债务限额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10.86亿元，收回专项债务限额0.1亿元，已成功发行新增专项债券10.76亿元。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highlight w:val="none"/>
        </w:rPr>
        <w:t>.年初为补充财力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安排调入资金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17.48亿元，主要是国有企业上缴专项债券利息及发行费，全年预计实现调入资金1.41亿元，</w:t>
      </w:r>
      <w:r>
        <w:rPr>
          <w:rFonts w:eastAsia="仿宋_GB2312"/>
          <w:kern w:val="0"/>
          <w:sz w:val="32"/>
          <w:szCs w:val="32"/>
          <w:highlight w:val="none"/>
        </w:rPr>
        <w:t>当年财力将减少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16.07</w:t>
      </w:r>
      <w:r>
        <w:rPr>
          <w:rFonts w:eastAsia="仿宋_GB2312"/>
          <w:kern w:val="0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6.上年结转最终为30.1亿元，较年初财力减少0.2亿元。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结转下年支出27.61亿元，主要是上级转移支付及专项债券。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8.调出资金0.9亿元，主要是调入一般公共预算平衡财力。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（二）政府性基金预算调整方案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政府性基金预算</w:t>
      </w:r>
      <w:r>
        <w:rPr>
          <w:rFonts w:hint="eastAsia" w:eastAsia="仿宋_GB2312"/>
          <w:sz w:val="32"/>
          <w:szCs w:val="32"/>
          <w:lang w:val="en-US" w:eastAsia="zh-CN"/>
        </w:rPr>
        <w:t>收入由15.2亿元调整为18.9亿元。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年政府性基金预算支出由</w:t>
      </w:r>
      <w:r>
        <w:rPr>
          <w:rFonts w:hint="eastAsia" w:eastAsia="仿宋_GB2312"/>
          <w:sz w:val="32"/>
          <w:szCs w:val="32"/>
          <w:lang w:val="en-US" w:eastAsia="zh-CN"/>
        </w:rPr>
        <w:t>62.98</w:t>
      </w:r>
      <w:r>
        <w:rPr>
          <w:rFonts w:eastAsia="仿宋_GB2312"/>
          <w:sz w:val="32"/>
          <w:szCs w:val="32"/>
        </w:rPr>
        <w:t>亿元调整为</w:t>
      </w:r>
      <w:r>
        <w:rPr>
          <w:rFonts w:hint="eastAsia" w:eastAsia="仿宋_GB2312"/>
          <w:sz w:val="32"/>
          <w:szCs w:val="32"/>
          <w:lang w:val="en-US" w:eastAsia="zh-CN"/>
        </w:rPr>
        <w:t>44.92</w:t>
      </w:r>
      <w:r>
        <w:rPr>
          <w:rFonts w:eastAsia="仿宋_GB2312"/>
          <w:b w:val="0"/>
          <w:bCs w:val="0"/>
          <w:sz w:val="32"/>
          <w:szCs w:val="32"/>
        </w:rPr>
        <w:t>亿</w:t>
      </w:r>
      <w:r>
        <w:rPr>
          <w:rFonts w:eastAsia="仿宋_GB2312"/>
          <w:sz w:val="32"/>
          <w:szCs w:val="32"/>
        </w:rPr>
        <w:t>元，其中：政府专项债券安排支出</w:t>
      </w:r>
      <w:r>
        <w:rPr>
          <w:rFonts w:hint="eastAsia" w:eastAsia="仿宋_GB2312"/>
          <w:sz w:val="32"/>
          <w:szCs w:val="32"/>
          <w:lang w:val="en-US" w:eastAsia="zh-CN"/>
        </w:rPr>
        <w:t>15.1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  <w:lang w:eastAsia="zh-CN"/>
        </w:rPr>
        <w:t>债务付息支出及发行费</w:t>
      </w:r>
      <w:r>
        <w:rPr>
          <w:rFonts w:hint="eastAsia" w:eastAsia="仿宋_GB2312"/>
          <w:sz w:val="32"/>
          <w:szCs w:val="32"/>
          <w:lang w:val="en-US" w:eastAsia="zh-CN"/>
        </w:rPr>
        <w:t>16.36亿元，</w:t>
      </w:r>
      <w:r>
        <w:rPr>
          <w:rFonts w:eastAsia="仿宋_GB2312"/>
          <w:sz w:val="32"/>
          <w:szCs w:val="32"/>
        </w:rPr>
        <w:t>城乡社区支出等其他政府性基金安排支出</w:t>
      </w:r>
      <w:r>
        <w:rPr>
          <w:rFonts w:hint="eastAsia" w:eastAsia="仿宋_GB2312"/>
          <w:sz w:val="32"/>
          <w:szCs w:val="32"/>
          <w:lang w:val="en-US" w:eastAsia="zh-CN"/>
        </w:rPr>
        <w:t>13.46</w:t>
      </w:r>
      <w:r>
        <w:rPr>
          <w:rFonts w:eastAsia="仿宋_GB2312"/>
          <w:sz w:val="32"/>
          <w:szCs w:val="32"/>
        </w:rPr>
        <w:t>亿元，比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  <w:highlight w:val="none"/>
        </w:rPr>
        <w:t>十八届人大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</w:t>
      </w:r>
      <w:r>
        <w:rPr>
          <w:rFonts w:eastAsia="仿宋_GB2312"/>
          <w:sz w:val="32"/>
          <w:szCs w:val="32"/>
          <w:highlight w:val="none"/>
        </w:rPr>
        <w:t>次会议</w:t>
      </w:r>
      <w:r>
        <w:rPr>
          <w:rFonts w:eastAsia="仿宋_GB2312"/>
          <w:sz w:val="32"/>
          <w:szCs w:val="32"/>
        </w:rPr>
        <w:t>批准的预算调减</w:t>
      </w:r>
      <w:r>
        <w:rPr>
          <w:rFonts w:hint="eastAsia" w:eastAsia="仿宋_GB2312"/>
          <w:sz w:val="32"/>
          <w:szCs w:val="32"/>
          <w:lang w:val="en-US" w:eastAsia="zh-CN"/>
        </w:rPr>
        <w:t>18.06</w:t>
      </w:r>
      <w:r>
        <w:rPr>
          <w:rFonts w:eastAsia="仿宋_GB2312"/>
          <w:sz w:val="32"/>
          <w:szCs w:val="32"/>
        </w:rPr>
        <w:t>亿元，主要是土地出让金</w:t>
      </w:r>
      <w:r>
        <w:rPr>
          <w:rFonts w:hint="eastAsia" w:eastAsia="仿宋_GB2312"/>
          <w:sz w:val="32"/>
          <w:szCs w:val="32"/>
          <w:lang w:eastAsia="zh-CN"/>
        </w:rPr>
        <w:t>及结转专项债券</w:t>
      </w:r>
      <w:r>
        <w:rPr>
          <w:rFonts w:eastAsia="仿宋_GB2312"/>
          <w:sz w:val="32"/>
          <w:szCs w:val="32"/>
        </w:rPr>
        <w:t>减少的支出。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三、国有资本经营预算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（一）预算调整事由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eastAsia="仿宋_GB2312"/>
          <w:sz w:val="32"/>
          <w:szCs w:val="32"/>
        </w:rPr>
        <w:t>今年以来，</w:t>
      </w:r>
      <w:r>
        <w:rPr>
          <w:rFonts w:hint="eastAsia" w:eastAsia="仿宋_GB2312"/>
          <w:sz w:val="32"/>
          <w:szCs w:val="32"/>
          <w:lang w:eastAsia="zh-CN"/>
        </w:rPr>
        <w:t>积极的财政政策加力提效，有力推动经济总体回升向好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为国有企业改革发展提供坚强保障，</w:t>
      </w:r>
      <w:r>
        <w:rPr>
          <w:rFonts w:eastAsia="仿宋_GB2312"/>
          <w:sz w:val="32"/>
          <w:szCs w:val="32"/>
        </w:rPr>
        <w:t>预计全年国有资本经营预算收入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1.13亿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  <w:lang w:eastAsia="zh-CN"/>
        </w:rPr>
        <w:t>其中东方财信</w:t>
      </w:r>
      <w:r>
        <w:rPr>
          <w:rFonts w:eastAsia="仿宋_GB2312"/>
          <w:sz w:val="32"/>
          <w:szCs w:val="32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上缴</w:t>
      </w:r>
      <w:r>
        <w:rPr>
          <w:rFonts w:hint="eastAsia" w:eastAsia="仿宋_GB2312"/>
          <w:sz w:val="32"/>
          <w:szCs w:val="32"/>
          <w:lang w:val="en-US" w:eastAsia="zh-CN"/>
        </w:rPr>
        <w:t>0.66亿元、</w:t>
      </w:r>
      <w:r>
        <w:rPr>
          <w:rFonts w:hint="eastAsia" w:eastAsia="仿宋_GB2312"/>
          <w:sz w:val="32"/>
          <w:szCs w:val="32"/>
          <w:lang w:eastAsia="zh-CN"/>
        </w:rPr>
        <w:t>城投公司</w:t>
      </w:r>
      <w:r>
        <w:rPr>
          <w:rFonts w:eastAsia="仿宋_GB2312"/>
          <w:sz w:val="32"/>
          <w:szCs w:val="32"/>
        </w:rPr>
        <w:t>上缴</w:t>
      </w:r>
      <w:r>
        <w:rPr>
          <w:rFonts w:hint="eastAsia" w:eastAsia="仿宋_GB2312"/>
          <w:sz w:val="32"/>
          <w:szCs w:val="32"/>
          <w:lang w:val="en-US" w:eastAsia="zh-CN"/>
        </w:rPr>
        <w:t>0.47亿元</w:t>
      </w:r>
      <w:r>
        <w:rPr>
          <w:rFonts w:eastAsia="仿宋_GB2312"/>
          <w:sz w:val="32"/>
          <w:szCs w:val="32"/>
        </w:rPr>
        <w:t>，比年初预算</w:t>
      </w:r>
      <w:r>
        <w:rPr>
          <w:rFonts w:hint="eastAsia" w:eastAsia="仿宋_GB2312"/>
          <w:sz w:val="32"/>
          <w:szCs w:val="32"/>
          <w:lang w:eastAsia="zh-CN"/>
        </w:rPr>
        <w:t>超收</w:t>
      </w:r>
      <w:r>
        <w:rPr>
          <w:rFonts w:hint="eastAsia" w:eastAsia="仿宋_GB2312"/>
          <w:sz w:val="32"/>
          <w:szCs w:val="32"/>
          <w:lang w:val="en-US" w:eastAsia="zh-CN"/>
        </w:rPr>
        <w:t>0.73亿</w:t>
      </w:r>
      <w:r>
        <w:rPr>
          <w:rFonts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结转下年支出88.9万元，主要是当年</w:t>
      </w:r>
      <w:r>
        <w:rPr>
          <w:rFonts w:eastAsia="仿宋_GB2312"/>
          <w:sz w:val="32"/>
          <w:szCs w:val="32"/>
        </w:rPr>
        <w:t>国企改革</w:t>
      </w:r>
      <w:r>
        <w:rPr>
          <w:rFonts w:hint="eastAsia" w:eastAsia="仿宋_GB2312"/>
          <w:sz w:val="32"/>
          <w:szCs w:val="32"/>
          <w:lang w:val="en-US" w:eastAsia="zh-CN"/>
        </w:rPr>
        <w:t>上级</w:t>
      </w:r>
      <w:r>
        <w:rPr>
          <w:rFonts w:eastAsia="仿宋_GB2312"/>
          <w:sz w:val="32"/>
          <w:szCs w:val="32"/>
        </w:rPr>
        <w:t>转移</w:t>
      </w:r>
      <w:r>
        <w:rPr>
          <w:rFonts w:hint="eastAsia" w:eastAsia="仿宋_GB2312"/>
          <w:sz w:val="32"/>
          <w:szCs w:val="32"/>
          <w:lang w:val="en-US" w:eastAsia="zh-CN"/>
        </w:rPr>
        <w:t>支出88.9</w:t>
      </w:r>
      <w:r>
        <w:rPr>
          <w:rFonts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（二）国有资本经营预算调整方案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年区级</w:t>
      </w:r>
      <w:r>
        <w:rPr>
          <w:rFonts w:hint="eastAsia" w:eastAsia="仿宋_GB2312"/>
          <w:sz w:val="32"/>
          <w:szCs w:val="32"/>
          <w:lang w:val="en-US" w:eastAsia="zh-CN"/>
        </w:rPr>
        <w:t>国有资本经营收入预算由0.4亿元调整为1.13亿元。当年国有资本经营收入1.13亿元全部调入一般公共预算用于平衡一般公共预算财力。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四、政府债务限额调整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楷体_GB2312"/>
          <w:kern w:val="0"/>
          <w:sz w:val="32"/>
          <w:szCs w:val="32"/>
          <w:highlight w:val="none"/>
          <w:lang w:eastAsia="zh-CN"/>
        </w:rPr>
        <w:t>（一）地方政府一般债务限额调整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微软雅黑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202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kern w:val="0"/>
          <w:sz w:val="32"/>
          <w:szCs w:val="32"/>
          <w:highlight w:val="none"/>
        </w:rPr>
        <w:t>月，经区十八届人大常委会第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二十</w:t>
      </w:r>
      <w:r>
        <w:rPr>
          <w:rFonts w:hint="eastAsia" w:eastAsia="仿宋_GB2312"/>
          <w:kern w:val="0"/>
          <w:sz w:val="32"/>
          <w:szCs w:val="32"/>
          <w:highlight w:val="none"/>
        </w:rPr>
        <w:t>次会议批准，我区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地方</w:t>
      </w:r>
      <w:r>
        <w:rPr>
          <w:rFonts w:hint="eastAsia" w:eastAsia="仿宋_GB2312"/>
          <w:kern w:val="0"/>
          <w:sz w:val="32"/>
          <w:szCs w:val="32"/>
          <w:highlight w:val="none"/>
        </w:rPr>
        <w:t>政府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一般</w:t>
      </w:r>
      <w:r>
        <w:rPr>
          <w:rFonts w:hint="eastAsia" w:eastAsia="仿宋_GB2312"/>
          <w:kern w:val="0"/>
          <w:sz w:val="32"/>
          <w:szCs w:val="32"/>
          <w:highlight w:val="none"/>
        </w:rPr>
        <w:t>债务限额由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2023年底的</w:t>
      </w:r>
      <w:r>
        <w:rPr>
          <w:rFonts w:hint="eastAsia" w:eastAsia="仿宋_GB2312"/>
          <w:kern w:val="0"/>
          <w:sz w:val="32"/>
          <w:szCs w:val="32"/>
          <w:highlight w:val="none"/>
        </w:rPr>
        <w:t>263.12亿元调整为282.01亿元。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会议批准以来，市财政局再次下达我区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2024年地方政府一般债务限额11.4亿元，地方政府一般债务限额由282.01亿元调整为293.41亿元</w:t>
      </w:r>
      <w:r>
        <w:rPr>
          <w:rFonts w:eastAsia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_GB2312"/>
          <w:kern w:val="0"/>
          <w:sz w:val="32"/>
          <w:szCs w:val="32"/>
          <w:highlight w:val="none"/>
          <w:lang w:eastAsia="zh-CN"/>
        </w:rPr>
        <w:t>（二）地方政府专项债务限额调整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2024年8月，经区十八届人大常委会第二十次会议批准，我区地方政府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债务限额由2023年底的525.01亿元调整为528.31亿元。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会议批准以来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市财政局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再次</w:t>
      </w:r>
      <w:r>
        <w:rPr>
          <w:rFonts w:eastAsia="仿宋_GB2312"/>
          <w:sz w:val="32"/>
          <w:szCs w:val="32"/>
          <w:highlight w:val="none"/>
        </w:rPr>
        <w:t>下达我区202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sz w:val="32"/>
          <w:szCs w:val="32"/>
          <w:highlight w:val="none"/>
        </w:rPr>
        <w:t>年地方政府专项债务限额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64.8</w:t>
      </w:r>
      <w:r>
        <w:rPr>
          <w:rFonts w:eastAsia="仿宋_GB2312"/>
          <w:sz w:val="32"/>
          <w:szCs w:val="32"/>
          <w:highlight w:val="none"/>
        </w:rPr>
        <w:t>亿元，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包括新增专项债务限额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7.56亿元，再融资专项债务限额57.24亿元。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收回</w:t>
      </w:r>
      <w:r>
        <w:rPr>
          <w:rFonts w:eastAsia="仿宋_GB2312"/>
          <w:sz w:val="32"/>
          <w:szCs w:val="32"/>
          <w:highlight w:val="none"/>
        </w:rPr>
        <w:t>地方政府专项债务限额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0.1亿元。地方政府</w:t>
      </w:r>
      <w:r>
        <w:rPr>
          <w:rFonts w:eastAsia="仿宋_GB2312"/>
          <w:sz w:val="32"/>
          <w:szCs w:val="32"/>
          <w:highlight w:val="none"/>
        </w:rPr>
        <w:t>专项债务限额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由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528.31亿元调整</w:t>
      </w:r>
      <w:r>
        <w:rPr>
          <w:rFonts w:eastAsia="仿宋_GB2312"/>
          <w:sz w:val="32"/>
          <w:szCs w:val="32"/>
          <w:highlight w:val="none"/>
        </w:rPr>
        <w:t>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593.01</w:t>
      </w:r>
      <w:r>
        <w:rPr>
          <w:rFonts w:eastAsia="仿宋_GB2312"/>
          <w:sz w:val="32"/>
          <w:szCs w:val="32"/>
          <w:highlight w:val="none"/>
        </w:rPr>
        <w:t>亿元。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eastAsia="仿宋_GB2312"/>
          <w:sz w:val="32"/>
          <w:szCs w:val="32"/>
        </w:rPr>
        <w:t>距今年预算执行完毕还有一段时间，当年收入完成情况及上级转移支付、上解上级支出、新增政府债务限额等情况还有可能发生变化，将在十八届人大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次会议</w:t>
      </w:r>
      <w:r>
        <w:rPr>
          <w:rFonts w:hint="eastAsia" w:eastAsia="仿宋_GB2312"/>
          <w:sz w:val="32"/>
          <w:szCs w:val="32"/>
          <w:lang w:val="en-US" w:eastAsia="zh-CN"/>
        </w:rPr>
        <w:t>上</w:t>
      </w:r>
      <w:r>
        <w:rPr>
          <w:rFonts w:eastAsia="仿宋_GB2312"/>
          <w:sz w:val="32"/>
          <w:szCs w:val="32"/>
        </w:rPr>
        <w:t>一并报告。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1588" w:gutter="0"/>
      <w:pgNumType w:fmt="decimal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1280" w:firstLine="360"/>
      <w:jc w:val="right"/>
      <w:rPr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</w:pP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t xml:space="preserve">— </w:t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fldChar w:fldCharType="begin"/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fldChar w:fldCharType="separate"/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t>1</w:t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fldChar w:fldCharType="end"/>
                </w:r>
                <w:r>
                  <w:rPr>
                    <w:rStyle w:val="17"/>
                    <w:rFonts w:hint="default" w:ascii="Tahoma" w:hAnsi="Tahoma" w:cs="Tahom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GVlZWM3MTQ1ZTU4MDI3ZTkxNmRhNjZkMDkwM2YifQ=="/>
  </w:docVars>
  <w:rsids>
    <w:rsidRoot w:val="00486185"/>
    <w:rsid w:val="00001710"/>
    <w:rsid w:val="00002C08"/>
    <w:rsid w:val="00020D80"/>
    <w:rsid w:val="00021A1A"/>
    <w:rsid w:val="00024A16"/>
    <w:rsid w:val="00032C95"/>
    <w:rsid w:val="00035D3B"/>
    <w:rsid w:val="0004077B"/>
    <w:rsid w:val="00041E47"/>
    <w:rsid w:val="00041F55"/>
    <w:rsid w:val="0004521B"/>
    <w:rsid w:val="00045656"/>
    <w:rsid w:val="00050A4F"/>
    <w:rsid w:val="0005327F"/>
    <w:rsid w:val="00053E9E"/>
    <w:rsid w:val="00065403"/>
    <w:rsid w:val="00071758"/>
    <w:rsid w:val="0007223C"/>
    <w:rsid w:val="0007693D"/>
    <w:rsid w:val="000822F1"/>
    <w:rsid w:val="00082F24"/>
    <w:rsid w:val="0009083F"/>
    <w:rsid w:val="0009166B"/>
    <w:rsid w:val="000943BC"/>
    <w:rsid w:val="00095566"/>
    <w:rsid w:val="000962A3"/>
    <w:rsid w:val="000970AA"/>
    <w:rsid w:val="000A0205"/>
    <w:rsid w:val="000A0BC5"/>
    <w:rsid w:val="000A0C81"/>
    <w:rsid w:val="000A4B1A"/>
    <w:rsid w:val="000A5EBF"/>
    <w:rsid w:val="000B074E"/>
    <w:rsid w:val="000B1EDD"/>
    <w:rsid w:val="000B5099"/>
    <w:rsid w:val="000B539B"/>
    <w:rsid w:val="000C0577"/>
    <w:rsid w:val="000C0D06"/>
    <w:rsid w:val="000C0F63"/>
    <w:rsid w:val="000D3325"/>
    <w:rsid w:val="000D5007"/>
    <w:rsid w:val="000D5341"/>
    <w:rsid w:val="000D7FE0"/>
    <w:rsid w:val="000E0E14"/>
    <w:rsid w:val="000E376F"/>
    <w:rsid w:val="000E6686"/>
    <w:rsid w:val="000F3BC9"/>
    <w:rsid w:val="000F5557"/>
    <w:rsid w:val="00100F91"/>
    <w:rsid w:val="00101084"/>
    <w:rsid w:val="00101803"/>
    <w:rsid w:val="00104D9F"/>
    <w:rsid w:val="001063DB"/>
    <w:rsid w:val="001136FA"/>
    <w:rsid w:val="00115100"/>
    <w:rsid w:val="00115710"/>
    <w:rsid w:val="00116185"/>
    <w:rsid w:val="001201EE"/>
    <w:rsid w:val="001270E1"/>
    <w:rsid w:val="001276D6"/>
    <w:rsid w:val="00130035"/>
    <w:rsid w:val="001300E6"/>
    <w:rsid w:val="00131926"/>
    <w:rsid w:val="00141F83"/>
    <w:rsid w:val="00142DAB"/>
    <w:rsid w:val="001531D8"/>
    <w:rsid w:val="00153E57"/>
    <w:rsid w:val="00154CBA"/>
    <w:rsid w:val="00155419"/>
    <w:rsid w:val="001564C6"/>
    <w:rsid w:val="00156543"/>
    <w:rsid w:val="00161175"/>
    <w:rsid w:val="00166848"/>
    <w:rsid w:val="0016700A"/>
    <w:rsid w:val="0017317A"/>
    <w:rsid w:val="00173D86"/>
    <w:rsid w:val="001750B9"/>
    <w:rsid w:val="00176AF9"/>
    <w:rsid w:val="00181FEC"/>
    <w:rsid w:val="0018365A"/>
    <w:rsid w:val="00196E56"/>
    <w:rsid w:val="00197A9E"/>
    <w:rsid w:val="00197ED3"/>
    <w:rsid w:val="001A39E0"/>
    <w:rsid w:val="001A42B6"/>
    <w:rsid w:val="001A4722"/>
    <w:rsid w:val="001A609F"/>
    <w:rsid w:val="001B0741"/>
    <w:rsid w:val="001B1354"/>
    <w:rsid w:val="001B459B"/>
    <w:rsid w:val="001C19CC"/>
    <w:rsid w:val="001C2361"/>
    <w:rsid w:val="001C2597"/>
    <w:rsid w:val="001C6320"/>
    <w:rsid w:val="001D3570"/>
    <w:rsid w:val="001D78CA"/>
    <w:rsid w:val="001D79C4"/>
    <w:rsid w:val="001E16AE"/>
    <w:rsid w:val="001E316F"/>
    <w:rsid w:val="001E3DC1"/>
    <w:rsid w:val="001E587B"/>
    <w:rsid w:val="001E629A"/>
    <w:rsid w:val="001F1162"/>
    <w:rsid w:val="001F175E"/>
    <w:rsid w:val="001F3812"/>
    <w:rsid w:val="001F461B"/>
    <w:rsid w:val="001F5AB2"/>
    <w:rsid w:val="001F7F8B"/>
    <w:rsid w:val="00200217"/>
    <w:rsid w:val="00201C84"/>
    <w:rsid w:val="00202A6B"/>
    <w:rsid w:val="00205D9F"/>
    <w:rsid w:val="00212556"/>
    <w:rsid w:val="00213057"/>
    <w:rsid w:val="00216A9E"/>
    <w:rsid w:val="002208E3"/>
    <w:rsid w:val="00221135"/>
    <w:rsid w:val="00221205"/>
    <w:rsid w:val="00221D30"/>
    <w:rsid w:val="002301AA"/>
    <w:rsid w:val="002316F0"/>
    <w:rsid w:val="0023238A"/>
    <w:rsid w:val="00233318"/>
    <w:rsid w:val="00233840"/>
    <w:rsid w:val="00236CF8"/>
    <w:rsid w:val="002372F2"/>
    <w:rsid w:val="0024298A"/>
    <w:rsid w:val="002472AC"/>
    <w:rsid w:val="00251DC1"/>
    <w:rsid w:val="002555DB"/>
    <w:rsid w:val="002649A9"/>
    <w:rsid w:val="00265FAA"/>
    <w:rsid w:val="00266CDF"/>
    <w:rsid w:val="00271855"/>
    <w:rsid w:val="002728FD"/>
    <w:rsid w:val="002748C0"/>
    <w:rsid w:val="00276A37"/>
    <w:rsid w:val="002770D6"/>
    <w:rsid w:val="002818ED"/>
    <w:rsid w:val="002825C0"/>
    <w:rsid w:val="00282894"/>
    <w:rsid w:val="00284B86"/>
    <w:rsid w:val="002871A6"/>
    <w:rsid w:val="00291948"/>
    <w:rsid w:val="00292BAB"/>
    <w:rsid w:val="00293D87"/>
    <w:rsid w:val="00295595"/>
    <w:rsid w:val="00295B9F"/>
    <w:rsid w:val="00297B2B"/>
    <w:rsid w:val="002A1EBA"/>
    <w:rsid w:val="002A43DE"/>
    <w:rsid w:val="002B124F"/>
    <w:rsid w:val="002B15B9"/>
    <w:rsid w:val="002B1EE9"/>
    <w:rsid w:val="002C2146"/>
    <w:rsid w:val="002C2A00"/>
    <w:rsid w:val="002C308C"/>
    <w:rsid w:val="002C318D"/>
    <w:rsid w:val="002D2D78"/>
    <w:rsid w:val="002D34D9"/>
    <w:rsid w:val="002E4C9D"/>
    <w:rsid w:val="002E4EEE"/>
    <w:rsid w:val="002E4FDD"/>
    <w:rsid w:val="002F2765"/>
    <w:rsid w:val="002F57D8"/>
    <w:rsid w:val="002F65C4"/>
    <w:rsid w:val="002F6DBB"/>
    <w:rsid w:val="0030086C"/>
    <w:rsid w:val="00303D9F"/>
    <w:rsid w:val="003103D9"/>
    <w:rsid w:val="00314CF0"/>
    <w:rsid w:val="00315627"/>
    <w:rsid w:val="003159AB"/>
    <w:rsid w:val="00320006"/>
    <w:rsid w:val="00323323"/>
    <w:rsid w:val="003257AD"/>
    <w:rsid w:val="003266BE"/>
    <w:rsid w:val="00330730"/>
    <w:rsid w:val="00333F08"/>
    <w:rsid w:val="00334255"/>
    <w:rsid w:val="00334C50"/>
    <w:rsid w:val="00337F46"/>
    <w:rsid w:val="003427F6"/>
    <w:rsid w:val="00346D53"/>
    <w:rsid w:val="00347F4A"/>
    <w:rsid w:val="003541BA"/>
    <w:rsid w:val="00354CC8"/>
    <w:rsid w:val="00354D91"/>
    <w:rsid w:val="0035602C"/>
    <w:rsid w:val="0036009C"/>
    <w:rsid w:val="00364989"/>
    <w:rsid w:val="00366E25"/>
    <w:rsid w:val="003672AE"/>
    <w:rsid w:val="00375C1E"/>
    <w:rsid w:val="00375E1C"/>
    <w:rsid w:val="00380C5F"/>
    <w:rsid w:val="00384151"/>
    <w:rsid w:val="00384832"/>
    <w:rsid w:val="0039084C"/>
    <w:rsid w:val="00391172"/>
    <w:rsid w:val="00391668"/>
    <w:rsid w:val="00396D63"/>
    <w:rsid w:val="0039732A"/>
    <w:rsid w:val="003975D2"/>
    <w:rsid w:val="003A3606"/>
    <w:rsid w:val="003A50F0"/>
    <w:rsid w:val="003A7556"/>
    <w:rsid w:val="003B176D"/>
    <w:rsid w:val="003B4022"/>
    <w:rsid w:val="003B55F1"/>
    <w:rsid w:val="003B59EE"/>
    <w:rsid w:val="003B6813"/>
    <w:rsid w:val="003B7309"/>
    <w:rsid w:val="003B75CD"/>
    <w:rsid w:val="003C1CC0"/>
    <w:rsid w:val="003C56BD"/>
    <w:rsid w:val="003C68D4"/>
    <w:rsid w:val="003C7B28"/>
    <w:rsid w:val="003C7F97"/>
    <w:rsid w:val="003D0D20"/>
    <w:rsid w:val="003D2E5B"/>
    <w:rsid w:val="003D2F33"/>
    <w:rsid w:val="003D35A8"/>
    <w:rsid w:val="003D596E"/>
    <w:rsid w:val="003D5B15"/>
    <w:rsid w:val="003D675C"/>
    <w:rsid w:val="003E0700"/>
    <w:rsid w:val="003E2D63"/>
    <w:rsid w:val="003E42D6"/>
    <w:rsid w:val="003E53C3"/>
    <w:rsid w:val="003E64F8"/>
    <w:rsid w:val="003F071F"/>
    <w:rsid w:val="003F103A"/>
    <w:rsid w:val="00400263"/>
    <w:rsid w:val="00401536"/>
    <w:rsid w:val="00401CD7"/>
    <w:rsid w:val="00404CC5"/>
    <w:rsid w:val="0040540C"/>
    <w:rsid w:val="00405A3A"/>
    <w:rsid w:val="00405A84"/>
    <w:rsid w:val="00405F66"/>
    <w:rsid w:val="004067D0"/>
    <w:rsid w:val="004071B1"/>
    <w:rsid w:val="00407D9B"/>
    <w:rsid w:val="00415E70"/>
    <w:rsid w:val="004178AD"/>
    <w:rsid w:val="00420820"/>
    <w:rsid w:val="00422752"/>
    <w:rsid w:val="00424E9B"/>
    <w:rsid w:val="00430674"/>
    <w:rsid w:val="00430ED6"/>
    <w:rsid w:val="00433B5F"/>
    <w:rsid w:val="004344B9"/>
    <w:rsid w:val="004358E0"/>
    <w:rsid w:val="00437396"/>
    <w:rsid w:val="004373E1"/>
    <w:rsid w:val="00440938"/>
    <w:rsid w:val="0044341F"/>
    <w:rsid w:val="00450A42"/>
    <w:rsid w:val="00454B1C"/>
    <w:rsid w:val="00456470"/>
    <w:rsid w:val="00460329"/>
    <w:rsid w:val="00462F6C"/>
    <w:rsid w:val="00464F46"/>
    <w:rsid w:val="00467F59"/>
    <w:rsid w:val="004719EA"/>
    <w:rsid w:val="00473CDF"/>
    <w:rsid w:val="00474DBE"/>
    <w:rsid w:val="00475121"/>
    <w:rsid w:val="00476C81"/>
    <w:rsid w:val="00476E82"/>
    <w:rsid w:val="00484457"/>
    <w:rsid w:val="00486185"/>
    <w:rsid w:val="004904C8"/>
    <w:rsid w:val="00492666"/>
    <w:rsid w:val="00493368"/>
    <w:rsid w:val="004945AE"/>
    <w:rsid w:val="004945F8"/>
    <w:rsid w:val="004953CF"/>
    <w:rsid w:val="00495792"/>
    <w:rsid w:val="004A1C36"/>
    <w:rsid w:val="004A4DA0"/>
    <w:rsid w:val="004A5689"/>
    <w:rsid w:val="004A67CC"/>
    <w:rsid w:val="004B11E8"/>
    <w:rsid w:val="004B7B64"/>
    <w:rsid w:val="004C2288"/>
    <w:rsid w:val="004C3D51"/>
    <w:rsid w:val="004D08C5"/>
    <w:rsid w:val="004D1E4E"/>
    <w:rsid w:val="004D2809"/>
    <w:rsid w:val="004D3583"/>
    <w:rsid w:val="004D3E7F"/>
    <w:rsid w:val="004D462E"/>
    <w:rsid w:val="004D62ED"/>
    <w:rsid w:val="004E0DA2"/>
    <w:rsid w:val="004E152B"/>
    <w:rsid w:val="004F4D9E"/>
    <w:rsid w:val="00501ED9"/>
    <w:rsid w:val="00504C71"/>
    <w:rsid w:val="005072A9"/>
    <w:rsid w:val="0051099E"/>
    <w:rsid w:val="005121E6"/>
    <w:rsid w:val="005136C1"/>
    <w:rsid w:val="005164D3"/>
    <w:rsid w:val="00520216"/>
    <w:rsid w:val="00520693"/>
    <w:rsid w:val="00524F13"/>
    <w:rsid w:val="005261CA"/>
    <w:rsid w:val="00530D3E"/>
    <w:rsid w:val="0053163F"/>
    <w:rsid w:val="00533F7F"/>
    <w:rsid w:val="00534799"/>
    <w:rsid w:val="00541185"/>
    <w:rsid w:val="0054460D"/>
    <w:rsid w:val="0054760E"/>
    <w:rsid w:val="00551F5F"/>
    <w:rsid w:val="005524F0"/>
    <w:rsid w:val="00552B10"/>
    <w:rsid w:val="00552E65"/>
    <w:rsid w:val="005557B8"/>
    <w:rsid w:val="00556B6F"/>
    <w:rsid w:val="005574AE"/>
    <w:rsid w:val="0055750E"/>
    <w:rsid w:val="00560E5D"/>
    <w:rsid w:val="0056261A"/>
    <w:rsid w:val="005627C1"/>
    <w:rsid w:val="005720B1"/>
    <w:rsid w:val="005727AE"/>
    <w:rsid w:val="00572E18"/>
    <w:rsid w:val="00573AEE"/>
    <w:rsid w:val="005749D4"/>
    <w:rsid w:val="00577076"/>
    <w:rsid w:val="0057728C"/>
    <w:rsid w:val="0058014C"/>
    <w:rsid w:val="00580D84"/>
    <w:rsid w:val="00587404"/>
    <w:rsid w:val="005902D1"/>
    <w:rsid w:val="0059517E"/>
    <w:rsid w:val="005A0096"/>
    <w:rsid w:val="005B1958"/>
    <w:rsid w:val="005B1B55"/>
    <w:rsid w:val="005B1D3A"/>
    <w:rsid w:val="005B35BB"/>
    <w:rsid w:val="005B5EDB"/>
    <w:rsid w:val="005C01E7"/>
    <w:rsid w:val="005C0DCB"/>
    <w:rsid w:val="005C1310"/>
    <w:rsid w:val="005C4736"/>
    <w:rsid w:val="005C4FCB"/>
    <w:rsid w:val="005C7B21"/>
    <w:rsid w:val="005D09DB"/>
    <w:rsid w:val="005D340B"/>
    <w:rsid w:val="005D5944"/>
    <w:rsid w:val="005D6599"/>
    <w:rsid w:val="005E09E4"/>
    <w:rsid w:val="005E1D7F"/>
    <w:rsid w:val="005E1E3D"/>
    <w:rsid w:val="005E2C23"/>
    <w:rsid w:val="005F31AA"/>
    <w:rsid w:val="005F42D3"/>
    <w:rsid w:val="005F45D2"/>
    <w:rsid w:val="005F750E"/>
    <w:rsid w:val="00604D18"/>
    <w:rsid w:val="0061050C"/>
    <w:rsid w:val="00612159"/>
    <w:rsid w:val="00613124"/>
    <w:rsid w:val="00613AA9"/>
    <w:rsid w:val="00614CB6"/>
    <w:rsid w:val="00620BDD"/>
    <w:rsid w:val="00621BE8"/>
    <w:rsid w:val="0062335A"/>
    <w:rsid w:val="006242B5"/>
    <w:rsid w:val="00624A64"/>
    <w:rsid w:val="006345B1"/>
    <w:rsid w:val="00642C97"/>
    <w:rsid w:val="00644443"/>
    <w:rsid w:val="00645918"/>
    <w:rsid w:val="00645E8D"/>
    <w:rsid w:val="006517D7"/>
    <w:rsid w:val="00651995"/>
    <w:rsid w:val="00654DA2"/>
    <w:rsid w:val="00654F10"/>
    <w:rsid w:val="00654FF4"/>
    <w:rsid w:val="00656283"/>
    <w:rsid w:val="0066006E"/>
    <w:rsid w:val="006644EA"/>
    <w:rsid w:val="006648CE"/>
    <w:rsid w:val="00665696"/>
    <w:rsid w:val="00665905"/>
    <w:rsid w:val="00665EB6"/>
    <w:rsid w:val="006715FF"/>
    <w:rsid w:val="0067189E"/>
    <w:rsid w:val="00672A62"/>
    <w:rsid w:val="00672C45"/>
    <w:rsid w:val="00674603"/>
    <w:rsid w:val="006815CD"/>
    <w:rsid w:val="00683896"/>
    <w:rsid w:val="00683ED3"/>
    <w:rsid w:val="006844BC"/>
    <w:rsid w:val="00687772"/>
    <w:rsid w:val="00690C06"/>
    <w:rsid w:val="0069147D"/>
    <w:rsid w:val="0069232B"/>
    <w:rsid w:val="00693640"/>
    <w:rsid w:val="006A3265"/>
    <w:rsid w:val="006A4B5D"/>
    <w:rsid w:val="006A53DF"/>
    <w:rsid w:val="006A64EB"/>
    <w:rsid w:val="006A7615"/>
    <w:rsid w:val="006A7C79"/>
    <w:rsid w:val="006B14A2"/>
    <w:rsid w:val="006B47D9"/>
    <w:rsid w:val="006B7913"/>
    <w:rsid w:val="006C09A7"/>
    <w:rsid w:val="006C0F51"/>
    <w:rsid w:val="006C21D2"/>
    <w:rsid w:val="006C2CDD"/>
    <w:rsid w:val="006C41F9"/>
    <w:rsid w:val="006D0901"/>
    <w:rsid w:val="006D0BDF"/>
    <w:rsid w:val="006D0C89"/>
    <w:rsid w:val="006D17ED"/>
    <w:rsid w:val="006D3292"/>
    <w:rsid w:val="006E40CD"/>
    <w:rsid w:val="006E6BC9"/>
    <w:rsid w:val="006F071F"/>
    <w:rsid w:val="006F214B"/>
    <w:rsid w:val="006F2629"/>
    <w:rsid w:val="006F2D93"/>
    <w:rsid w:val="007010D0"/>
    <w:rsid w:val="0070144A"/>
    <w:rsid w:val="00703372"/>
    <w:rsid w:val="00704B85"/>
    <w:rsid w:val="00705178"/>
    <w:rsid w:val="007070A0"/>
    <w:rsid w:val="007071E6"/>
    <w:rsid w:val="007160EB"/>
    <w:rsid w:val="0071792E"/>
    <w:rsid w:val="007224EE"/>
    <w:rsid w:val="007232D9"/>
    <w:rsid w:val="00725B72"/>
    <w:rsid w:val="0072745E"/>
    <w:rsid w:val="007276A9"/>
    <w:rsid w:val="007317AA"/>
    <w:rsid w:val="00733AA2"/>
    <w:rsid w:val="00734A65"/>
    <w:rsid w:val="00741A73"/>
    <w:rsid w:val="00742C71"/>
    <w:rsid w:val="00744D7C"/>
    <w:rsid w:val="0074584E"/>
    <w:rsid w:val="00745A38"/>
    <w:rsid w:val="00751152"/>
    <w:rsid w:val="00751A1A"/>
    <w:rsid w:val="00754BC0"/>
    <w:rsid w:val="00757CB8"/>
    <w:rsid w:val="007632A5"/>
    <w:rsid w:val="00770351"/>
    <w:rsid w:val="00773DCE"/>
    <w:rsid w:val="00774219"/>
    <w:rsid w:val="00775652"/>
    <w:rsid w:val="00776833"/>
    <w:rsid w:val="00777F04"/>
    <w:rsid w:val="0078602F"/>
    <w:rsid w:val="007870B7"/>
    <w:rsid w:val="00787EFC"/>
    <w:rsid w:val="00794305"/>
    <w:rsid w:val="007943D7"/>
    <w:rsid w:val="0079485D"/>
    <w:rsid w:val="0079746E"/>
    <w:rsid w:val="007A059E"/>
    <w:rsid w:val="007A11BA"/>
    <w:rsid w:val="007A5157"/>
    <w:rsid w:val="007A578C"/>
    <w:rsid w:val="007B2BCA"/>
    <w:rsid w:val="007B35E6"/>
    <w:rsid w:val="007C2323"/>
    <w:rsid w:val="007C4571"/>
    <w:rsid w:val="007C499B"/>
    <w:rsid w:val="007C4E71"/>
    <w:rsid w:val="007C638F"/>
    <w:rsid w:val="007C6E46"/>
    <w:rsid w:val="007D2D05"/>
    <w:rsid w:val="007D604D"/>
    <w:rsid w:val="007E06C5"/>
    <w:rsid w:val="007E5E6C"/>
    <w:rsid w:val="007E7FD6"/>
    <w:rsid w:val="007F0338"/>
    <w:rsid w:val="007F4DD1"/>
    <w:rsid w:val="007F7A80"/>
    <w:rsid w:val="00800CFB"/>
    <w:rsid w:val="00801C90"/>
    <w:rsid w:val="00802E49"/>
    <w:rsid w:val="008037EC"/>
    <w:rsid w:val="00806465"/>
    <w:rsid w:val="00807175"/>
    <w:rsid w:val="00814912"/>
    <w:rsid w:val="00816046"/>
    <w:rsid w:val="00820FF6"/>
    <w:rsid w:val="008228D8"/>
    <w:rsid w:val="0082290C"/>
    <w:rsid w:val="008251FF"/>
    <w:rsid w:val="0082627B"/>
    <w:rsid w:val="0082638D"/>
    <w:rsid w:val="00826CC9"/>
    <w:rsid w:val="0082789B"/>
    <w:rsid w:val="00832D9A"/>
    <w:rsid w:val="008330E0"/>
    <w:rsid w:val="008340A0"/>
    <w:rsid w:val="008342F0"/>
    <w:rsid w:val="00834A22"/>
    <w:rsid w:val="00840AC6"/>
    <w:rsid w:val="0084400C"/>
    <w:rsid w:val="008467A1"/>
    <w:rsid w:val="00846C63"/>
    <w:rsid w:val="00846FD8"/>
    <w:rsid w:val="008522B5"/>
    <w:rsid w:val="00854826"/>
    <w:rsid w:val="00855031"/>
    <w:rsid w:val="00855FE9"/>
    <w:rsid w:val="008564E0"/>
    <w:rsid w:val="0085798F"/>
    <w:rsid w:val="00862DD9"/>
    <w:rsid w:val="00864C38"/>
    <w:rsid w:val="00865810"/>
    <w:rsid w:val="00865D48"/>
    <w:rsid w:val="00870315"/>
    <w:rsid w:val="00870DB3"/>
    <w:rsid w:val="00872570"/>
    <w:rsid w:val="00873075"/>
    <w:rsid w:val="008730A5"/>
    <w:rsid w:val="00877AB2"/>
    <w:rsid w:val="00877D4F"/>
    <w:rsid w:val="00880911"/>
    <w:rsid w:val="00881A4E"/>
    <w:rsid w:val="00882E88"/>
    <w:rsid w:val="00890659"/>
    <w:rsid w:val="00891E25"/>
    <w:rsid w:val="00895349"/>
    <w:rsid w:val="00895490"/>
    <w:rsid w:val="008962A4"/>
    <w:rsid w:val="00896C77"/>
    <w:rsid w:val="008A1DCD"/>
    <w:rsid w:val="008A5795"/>
    <w:rsid w:val="008B0654"/>
    <w:rsid w:val="008B1A53"/>
    <w:rsid w:val="008B30E3"/>
    <w:rsid w:val="008B35AA"/>
    <w:rsid w:val="008B4A4A"/>
    <w:rsid w:val="008B4FE3"/>
    <w:rsid w:val="008B5A6B"/>
    <w:rsid w:val="008B5D3F"/>
    <w:rsid w:val="008B5D78"/>
    <w:rsid w:val="008B7D4F"/>
    <w:rsid w:val="008C1C77"/>
    <w:rsid w:val="008C287D"/>
    <w:rsid w:val="008C4FBE"/>
    <w:rsid w:val="008C4FC6"/>
    <w:rsid w:val="008D022C"/>
    <w:rsid w:val="008D2D24"/>
    <w:rsid w:val="008D336D"/>
    <w:rsid w:val="008D5540"/>
    <w:rsid w:val="008D5973"/>
    <w:rsid w:val="008D74E2"/>
    <w:rsid w:val="008E261B"/>
    <w:rsid w:val="008F0BFD"/>
    <w:rsid w:val="008F1A6D"/>
    <w:rsid w:val="008F256A"/>
    <w:rsid w:val="008F4409"/>
    <w:rsid w:val="008F4C92"/>
    <w:rsid w:val="00903481"/>
    <w:rsid w:val="009045E2"/>
    <w:rsid w:val="00910724"/>
    <w:rsid w:val="00914419"/>
    <w:rsid w:val="00916638"/>
    <w:rsid w:val="00920E85"/>
    <w:rsid w:val="00925197"/>
    <w:rsid w:val="00933365"/>
    <w:rsid w:val="00941873"/>
    <w:rsid w:val="009502F8"/>
    <w:rsid w:val="0095132A"/>
    <w:rsid w:val="00954B8D"/>
    <w:rsid w:val="00955383"/>
    <w:rsid w:val="0095644E"/>
    <w:rsid w:val="009564CD"/>
    <w:rsid w:val="009666E3"/>
    <w:rsid w:val="00970788"/>
    <w:rsid w:val="00971AF9"/>
    <w:rsid w:val="00972060"/>
    <w:rsid w:val="00972521"/>
    <w:rsid w:val="009818DF"/>
    <w:rsid w:val="009878A0"/>
    <w:rsid w:val="00991383"/>
    <w:rsid w:val="00991A6F"/>
    <w:rsid w:val="00992E2C"/>
    <w:rsid w:val="00995CD6"/>
    <w:rsid w:val="0099745D"/>
    <w:rsid w:val="009A51CB"/>
    <w:rsid w:val="009A5262"/>
    <w:rsid w:val="009A52BE"/>
    <w:rsid w:val="009A6180"/>
    <w:rsid w:val="009A62F7"/>
    <w:rsid w:val="009B0EDF"/>
    <w:rsid w:val="009B1E07"/>
    <w:rsid w:val="009B20E4"/>
    <w:rsid w:val="009B23E2"/>
    <w:rsid w:val="009C0535"/>
    <w:rsid w:val="009C4CD2"/>
    <w:rsid w:val="009C7047"/>
    <w:rsid w:val="009C770F"/>
    <w:rsid w:val="009C7E1C"/>
    <w:rsid w:val="009D5494"/>
    <w:rsid w:val="009E129C"/>
    <w:rsid w:val="009E41C7"/>
    <w:rsid w:val="009E51D7"/>
    <w:rsid w:val="009F0A76"/>
    <w:rsid w:val="009F0AEF"/>
    <w:rsid w:val="009F2A62"/>
    <w:rsid w:val="009F69B4"/>
    <w:rsid w:val="009F6CC1"/>
    <w:rsid w:val="00A01B76"/>
    <w:rsid w:val="00A0261A"/>
    <w:rsid w:val="00A029C2"/>
    <w:rsid w:val="00A03F08"/>
    <w:rsid w:val="00A069C1"/>
    <w:rsid w:val="00A104F8"/>
    <w:rsid w:val="00A10BDB"/>
    <w:rsid w:val="00A111F0"/>
    <w:rsid w:val="00A11874"/>
    <w:rsid w:val="00A156D0"/>
    <w:rsid w:val="00A16145"/>
    <w:rsid w:val="00A171BD"/>
    <w:rsid w:val="00A224D9"/>
    <w:rsid w:val="00A24DB4"/>
    <w:rsid w:val="00A30FF8"/>
    <w:rsid w:val="00A31D1F"/>
    <w:rsid w:val="00A32E8B"/>
    <w:rsid w:val="00A34466"/>
    <w:rsid w:val="00A36FDC"/>
    <w:rsid w:val="00A37851"/>
    <w:rsid w:val="00A4086C"/>
    <w:rsid w:val="00A41842"/>
    <w:rsid w:val="00A429AD"/>
    <w:rsid w:val="00A43138"/>
    <w:rsid w:val="00A436D4"/>
    <w:rsid w:val="00A44430"/>
    <w:rsid w:val="00A475A7"/>
    <w:rsid w:val="00A511F2"/>
    <w:rsid w:val="00A5247A"/>
    <w:rsid w:val="00A530BF"/>
    <w:rsid w:val="00A543EB"/>
    <w:rsid w:val="00A60A1C"/>
    <w:rsid w:val="00A6117D"/>
    <w:rsid w:val="00A61B99"/>
    <w:rsid w:val="00A63FA9"/>
    <w:rsid w:val="00A66C03"/>
    <w:rsid w:val="00A71C7E"/>
    <w:rsid w:val="00A72FEB"/>
    <w:rsid w:val="00A73DF2"/>
    <w:rsid w:val="00A73F22"/>
    <w:rsid w:val="00A8296F"/>
    <w:rsid w:val="00A82A00"/>
    <w:rsid w:val="00A8301D"/>
    <w:rsid w:val="00A83FE1"/>
    <w:rsid w:val="00A87594"/>
    <w:rsid w:val="00A92551"/>
    <w:rsid w:val="00A92588"/>
    <w:rsid w:val="00A92686"/>
    <w:rsid w:val="00A927F9"/>
    <w:rsid w:val="00A92D82"/>
    <w:rsid w:val="00A936E7"/>
    <w:rsid w:val="00A95948"/>
    <w:rsid w:val="00A977C4"/>
    <w:rsid w:val="00AA345B"/>
    <w:rsid w:val="00AA3F5D"/>
    <w:rsid w:val="00AB0D41"/>
    <w:rsid w:val="00AB2087"/>
    <w:rsid w:val="00AC05C2"/>
    <w:rsid w:val="00AC0FBC"/>
    <w:rsid w:val="00AC202A"/>
    <w:rsid w:val="00AC3333"/>
    <w:rsid w:val="00AC40FB"/>
    <w:rsid w:val="00AC602D"/>
    <w:rsid w:val="00AC6E4A"/>
    <w:rsid w:val="00AC72A8"/>
    <w:rsid w:val="00AD031F"/>
    <w:rsid w:val="00AD54FA"/>
    <w:rsid w:val="00AD7C45"/>
    <w:rsid w:val="00AE21C2"/>
    <w:rsid w:val="00AE22EE"/>
    <w:rsid w:val="00AE2601"/>
    <w:rsid w:val="00AE3991"/>
    <w:rsid w:val="00AF2B50"/>
    <w:rsid w:val="00AF40A1"/>
    <w:rsid w:val="00AF4B94"/>
    <w:rsid w:val="00AF655A"/>
    <w:rsid w:val="00AF748F"/>
    <w:rsid w:val="00AF7AAD"/>
    <w:rsid w:val="00B025CF"/>
    <w:rsid w:val="00B0292D"/>
    <w:rsid w:val="00B02C86"/>
    <w:rsid w:val="00B107AE"/>
    <w:rsid w:val="00B1327D"/>
    <w:rsid w:val="00B134A7"/>
    <w:rsid w:val="00B1494B"/>
    <w:rsid w:val="00B157AA"/>
    <w:rsid w:val="00B20746"/>
    <w:rsid w:val="00B22D55"/>
    <w:rsid w:val="00B240AE"/>
    <w:rsid w:val="00B25257"/>
    <w:rsid w:val="00B269DE"/>
    <w:rsid w:val="00B3140D"/>
    <w:rsid w:val="00B3334A"/>
    <w:rsid w:val="00B40833"/>
    <w:rsid w:val="00B418C1"/>
    <w:rsid w:val="00B41A41"/>
    <w:rsid w:val="00B42BBD"/>
    <w:rsid w:val="00B52CA7"/>
    <w:rsid w:val="00B5789D"/>
    <w:rsid w:val="00B57A73"/>
    <w:rsid w:val="00B6076B"/>
    <w:rsid w:val="00B63FA5"/>
    <w:rsid w:val="00B66C11"/>
    <w:rsid w:val="00B70427"/>
    <w:rsid w:val="00B706E4"/>
    <w:rsid w:val="00B71606"/>
    <w:rsid w:val="00B739E4"/>
    <w:rsid w:val="00B7677F"/>
    <w:rsid w:val="00B77119"/>
    <w:rsid w:val="00B80EE8"/>
    <w:rsid w:val="00B81D2C"/>
    <w:rsid w:val="00B83771"/>
    <w:rsid w:val="00B8417C"/>
    <w:rsid w:val="00B8732C"/>
    <w:rsid w:val="00B95D41"/>
    <w:rsid w:val="00B9695B"/>
    <w:rsid w:val="00B97D5C"/>
    <w:rsid w:val="00BA0552"/>
    <w:rsid w:val="00BA0F40"/>
    <w:rsid w:val="00BA1251"/>
    <w:rsid w:val="00BA208F"/>
    <w:rsid w:val="00BA5051"/>
    <w:rsid w:val="00BA7C0B"/>
    <w:rsid w:val="00BB3CEF"/>
    <w:rsid w:val="00BB4BDC"/>
    <w:rsid w:val="00BB5062"/>
    <w:rsid w:val="00BB57B1"/>
    <w:rsid w:val="00BC2297"/>
    <w:rsid w:val="00BC2FD3"/>
    <w:rsid w:val="00BC36D8"/>
    <w:rsid w:val="00BC3D10"/>
    <w:rsid w:val="00BC4F5E"/>
    <w:rsid w:val="00BC7FEA"/>
    <w:rsid w:val="00BD0E4D"/>
    <w:rsid w:val="00BD18D7"/>
    <w:rsid w:val="00BD35E4"/>
    <w:rsid w:val="00BD3FA2"/>
    <w:rsid w:val="00BD544B"/>
    <w:rsid w:val="00BD569B"/>
    <w:rsid w:val="00BD667D"/>
    <w:rsid w:val="00BE2022"/>
    <w:rsid w:val="00BE39D9"/>
    <w:rsid w:val="00BE5026"/>
    <w:rsid w:val="00BE53BA"/>
    <w:rsid w:val="00BE7A1C"/>
    <w:rsid w:val="00BF07D1"/>
    <w:rsid w:val="00BF0FAF"/>
    <w:rsid w:val="00BF5003"/>
    <w:rsid w:val="00C0503E"/>
    <w:rsid w:val="00C0780E"/>
    <w:rsid w:val="00C10B7E"/>
    <w:rsid w:val="00C12371"/>
    <w:rsid w:val="00C126D4"/>
    <w:rsid w:val="00C13972"/>
    <w:rsid w:val="00C14FA2"/>
    <w:rsid w:val="00C20732"/>
    <w:rsid w:val="00C216BA"/>
    <w:rsid w:val="00C25D8C"/>
    <w:rsid w:val="00C2720C"/>
    <w:rsid w:val="00C27CF9"/>
    <w:rsid w:val="00C314B6"/>
    <w:rsid w:val="00C316A8"/>
    <w:rsid w:val="00C3291E"/>
    <w:rsid w:val="00C3374F"/>
    <w:rsid w:val="00C3416D"/>
    <w:rsid w:val="00C362BB"/>
    <w:rsid w:val="00C43770"/>
    <w:rsid w:val="00C43C42"/>
    <w:rsid w:val="00C442B1"/>
    <w:rsid w:val="00C53232"/>
    <w:rsid w:val="00C56E3C"/>
    <w:rsid w:val="00C57951"/>
    <w:rsid w:val="00C6009D"/>
    <w:rsid w:val="00C62531"/>
    <w:rsid w:val="00C63C8D"/>
    <w:rsid w:val="00C6414F"/>
    <w:rsid w:val="00C662F4"/>
    <w:rsid w:val="00C6673C"/>
    <w:rsid w:val="00C669AF"/>
    <w:rsid w:val="00C70892"/>
    <w:rsid w:val="00C71DFA"/>
    <w:rsid w:val="00C74770"/>
    <w:rsid w:val="00C75EBD"/>
    <w:rsid w:val="00C7762E"/>
    <w:rsid w:val="00C77E27"/>
    <w:rsid w:val="00C83006"/>
    <w:rsid w:val="00C8314A"/>
    <w:rsid w:val="00C90F19"/>
    <w:rsid w:val="00C969E7"/>
    <w:rsid w:val="00CA68AB"/>
    <w:rsid w:val="00CA7E1C"/>
    <w:rsid w:val="00CB0288"/>
    <w:rsid w:val="00CB042F"/>
    <w:rsid w:val="00CB4308"/>
    <w:rsid w:val="00CB471E"/>
    <w:rsid w:val="00CC02F5"/>
    <w:rsid w:val="00CC091C"/>
    <w:rsid w:val="00CC3655"/>
    <w:rsid w:val="00CC7F65"/>
    <w:rsid w:val="00CD2137"/>
    <w:rsid w:val="00CD33A8"/>
    <w:rsid w:val="00CD604B"/>
    <w:rsid w:val="00CE0BDA"/>
    <w:rsid w:val="00CE2527"/>
    <w:rsid w:val="00CE3040"/>
    <w:rsid w:val="00CE36DB"/>
    <w:rsid w:val="00CE3987"/>
    <w:rsid w:val="00CE45F7"/>
    <w:rsid w:val="00CE768C"/>
    <w:rsid w:val="00CF5A59"/>
    <w:rsid w:val="00D02A28"/>
    <w:rsid w:val="00D06800"/>
    <w:rsid w:val="00D06AC3"/>
    <w:rsid w:val="00D06CC1"/>
    <w:rsid w:val="00D0740A"/>
    <w:rsid w:val="00D079EC"/>
    <w:rsid w:val="00D11F6C"/>
    <w:rsid w:val="00D13621"/>
    <w:rsid w:val="00D158BD"/>
    <w:rsid w:val="00D1672A"/>
    <w:rsid w:val="00D17F76"/>
    <w:rsid w:val="00D20DE1"/>
    <w:rsid w:val="00D26184"/>
    <w:rsid w:val="00D318E8"/>
    <w:rsid w:val="00D34899"/>
    <w:rsid w:val="00D37724"/>
    <w:rsid w:val="00D37F45"/>
    <w:rsid w:val="00D4453C"/>
    <w:rsid w:val="00D47E55"/>
    <w:rsid w:val="00D55112"/>
    <w:rsid w:val="00D56DE6"/>
    <w:rsid w:val="00D62609"/>
    <w:rsid w:val="00D6548B"/>
    <w:rsid w:val="00D7093B"/>
    <w:rsid w:val="00D73B12"/>
    <w:rsid w:val="00D745D1"/>
    <w:rsid w:val="00D74E3B"/>
    <w:rsid w:val="00D74E55"/>
    <w:rsid w:val="00D765BD"/>
    <w:rsid w:val="00D8045B"/>
    <w:rsid w:val="00D8136B"/>
    <w:rsid w:val="00D82408"/>
    <w:rsid w:val="00D8295B"/>
    <w:rsid w:val="00D846A1"/>
    <w:rsid w:val="00D85999"/>
    <w:rsid w:val="00D85D4F"/>
    <w:rsid w:val="00D867E8"/>
    <w:rsid w:val="00D87AC9"/>
    <w:rsid w:val="00D90704"/>
    <w:rsid w:val="00D90BB0"/>
    <w:rsid w:val="00D91DE2"/>
    <w:rsid w:val="00D92FEF"/>
    <w:rsid w:val="00D9304B"/>
    <w:rsid w:val="00D933A9"/>
    <w:rsid w:val="00D953F5"/>
    <w:rsid w:val="00D97042"/>
    <w:rsid w:val="00D97BD2"/>
    <w:rsid w:val="00DA1B78"/>
    <w:rsid w:val="00DA2082"/>
    <w:rsid w:val="00DA3546"/>
    <w:rsid w:val="00DA36C7"/>
    <w:rsid w:val="00DB09A9"/>
    <w:rsid w:val="00DB2561"/>
    <w:rsid w:val="00DC4F10"/>
    <w:rsid w:val="00DD279E"/>
    <w:rsid w:val="00DD2C02"/>
    <w:rsid w:val="00DD4B42"/>
    <w:rsid w:val="00DE0F3E"/>
    <w:rsid w:val="00DE15C0"/>
    <w:rsid w:val="00DE2DE0"/>
    <w:rsid w:val="00DE4A2C"/>
    <w:rsid w:val="00DE7223"/>
    <w:rsid w:val="00DF1E9F"/>
    <w:rsid w:val="00DF27FC"/>
    <w:rsid w:val="00DF6019"/>
    <w:rsid w:val="00DF6B24"/>
    <w:rsid w:val="00E00500"/>
    <w:rsid w:val="00E02B91"/>
    <w:rsid w:val="00E040C7"/>
    <w:rsid w:val="00E0536F"/>
    <w:rsid w:val="00E065E8"/>
    <w:rsid w:val="00E12366"/>
    <w:rsid w:val="00E12E64"/>
    <w:rsid w:val="00E143D2"/>
    <w:rsid w:val="00E206F7"/>
    <w:rsid w:val="00E224A5"/>
    <w:rsid w:val="00E25547"/>
    <w:rsid w:val="00E2626A"/>
    <w:rsid w:val="00E31070"/>
    <w:rsid w:val="00E32009"/>
    <w:rsid w:val="00E32131"/>
    <w:rsid w:val="00E37172"/>
    <w:rsid w:val="00E41F48"/>
    <w:rsid w:val="00E427FE"/>
    <w:rsid w:val="00E430C2"/>
    <w:rsid w:val="00E44DE4"/>
    <w:rsid w:val="00E46F2F"/>
    <w:rsid w:val="00E509C0"/>
    <w:rsid w:val="00E547EB"/>
    <w:rsid w:val="00E56D96"/>
    <w:rsid w:val="00E61644"/>
    <w:rsid w:val="00E6253E"/>
    <w:rsid w:val="00E6276F"/>
    <w:rsid w:val="00E62B69"/>
    <w:rsid w:val="00E65F09"/>
    <w:rsid w:val="00E67942"/>
    <w:rsid w:val="00E7151F"/>
    <w:rsid w:val="00E8119E"/>
    <w:rsid w:val="00E81769"/>
    <w:rsid w:val="00E907F9"/>
    <w:rsid w:val="00E93D02"/>
    <w:rsid w:val="00E944EF"/>
    <w:rsid w:val="00EA0FD9"/>
    <w:rsid w:val="00EA2E86"/>
    <w:rsid w:val="00EA44FF"/>
    <w:rsid w:val="00EA5C10"/>
    <w:rsid w:val="00EB58AD"/>
    <w:rsid w:val="00EB6AF1"/>
    <w:rsid w:val="00EB7869"/>
    <w:rsid w:val="00EB7C13"/>
    <w:rsid w:val="00EC0538"/>
    <w:rsid w:val="00EC0CFE"/>
    <w:rsid w:val="00EC4A9B"/>
    <w:rsid w:val="00ED38CF"/>
    <w:rsid w:val="00ED5FDC"/>
    <w:rsid w:val="00ED7273"/>
    <w:rsid w:val="00EE001B"/>
    <w:rsid w:val="00EE1F1A"/>
    <w:rsid w:val="00EE518F"/>
    <w:rsid w:val="00EE57AD"/>
    <w:rsid w:val="00EE6C80"/>
    <w:rsid w:val="00EE6E4D"/>
    <w:rsid w:val="00EE7C14"/>
    <w:rsid w:val="00EF2FAE"/>
    <w:rsid w:val="00EF3A7E"/>
    <w:rsid w:val="00EF729A"/>
    <w:rsid w:val="00F07668"/>
    <w:rsid w:val="00F10657"/>
    <w:rsid w:val="00F1226F"/>
    <w:rsid w:val="00F2413A"/>
    <w:rsid w:val="00F26101"/>
    <w:rsid w:val="00F30186"/>
    <w:rsid w:val="00F3199F"/>
    <w:rsid w:val="00F33A72"/>
    <w:rsid w:val="00F352A5"/>
    <w:rsid w:val="00F35D52"/>
    <w:rsid w:val="00F36DD7"/>
    <w:rsid w:val="00F37D10"/>
    <w:rsid w:val="00F43119"/>
    <w:rsid w:val="00F43DCB"/>
    <w:rsid w:val="00F44890"/>
    <w:rsid w:val="00F5534B"/>
    <w:rsid w:val="00F61DF7"/>
    <w:rsid w:val="00F62D90"/>
    <w:rsid w:val="00F64F92"/>
    <w:rsid w:val="00F65425"/>
    <w:rsid w:val="00F66A3A"/>
    <w:rsid w:val="00F73D23"/>
    <w:rsid w:val="00F74A5E"/>
    <w:rsid w:val="00F810C5"/>
    <w:rsid w:val="00F8313B"/>
    <w:rsid w:val="00F846F7"/>
    <w:rsid w:val="00F87781"/>
    <w:rsid w:val="00F87F5C"/>
    <w:rsid w:val="00F87FFC"/>
    <w:rsid w:val="00F9028E"/>
    <w:rsid w:val="00F90588"/>
    <w:rsid w:val="00F91FF1"/>
    <w:rsid w:val="00F9286C"/>
    <w:rsid w:val="00F92AE0"/>
    <w:rsid w:val="00F937F3"/>
    <w:rsid w:val="00F956D5"/>
    <w:rsid w:val="00F960A3"/>
    <w:rsid w:val="00FA199A"/>
    <w:rsid w:val="00FA40B0"/>
    <w:rsid w:val="00FA45AA"/>
    <w:rsid w:val="00FB07B1"/>
    <w:rsid w:val="00FB0D0E"/>
    <w:rsid w:val="00FB1251"/>
    <w:rsid w:val="00FB4A50"/>
    <w:rsid w:val="00FB592E"/>
    <w:rsid w:val="00FB5A18"/>
    <w:rsid w:val="00FB7A4C"/>
    <w:rsid w:val="00FC0D49"/>
    <w:rsid w:val="00FC1AA0"/>
    <w:rsid w:val="00FC208A"/>
    <w:rsid w:val="00FC2E93"/>
    <w:rsid w:val="00FC304D"/>
    <w:rsid w:val="00FC474D"/>
    <w:rsid w:val="00FC53EF"/>
    <w:rsid w:val="00FE1071"/>
    <w:rsid w:val="00FE20A8"/>
    <w:rsid w:val="00FE2927"/>
    <w:rsid w:val="00FE53EA"/>
    <w:rsid w:val="00FE636E"/>
    <w:rsid w:val="00FF16CD"/>
    <w:rsid w:val="00FF206C"/>
    <w:rsid w:val="00FF291C"/>
    <w:rsid w:val="00FF5A56"/>
    <w:rsid w:val="00FF7240"/>
    <w:rsid w:val="027D16CA"/>
    <w:rsid w:val="03BD3D36"/>
    <w:rsid w:val="05995C65"/>
    <w:rsid w:val="06C957E3"/>
    <w:rsid w:val="07BA37D6"/>
    <w:rsid w:val="0AA55524"/>
    <w:rsid w:val="0FFD2372"/>
    <w:rsid w:val="109D6DBA"/>
    <w:rsid w:val="12313BED"/>
    <w:rsid w:val="16450063"/>
    <w:rsid w:val="165544C9"/>
    <w:rsid w:val="16582F93"/>
    <w:rsid w:val="17E34EC0"/>
    <w:rsid w:val="18077F25"/>
    <w:rsid w:val="18770500"/>
    <w:rsid w:val="18B82B47"/>
    <w:rsid w:val="1B115009"/>
    <w:rsid w:val="1CFB2500"/>
    <w:rsid w:val="20F113FC"/>
    <w:rsid w:val="23BC66A5"/>
    <w:rsid w:val="248256E4"/>
    <w:rsid w:val="258D414D"/>
    <w:rsid w:val="288B2282"/>
    <w:rsid w:val="2DBD64F5"/>
    <w:rsid w:val="2FD635CE"/>
    <w:rsid w:val="300E4B64"/>
    <w:rsid w:val="30CA5499"/>
    <w:rsid w:val="32AE4DBB"/>
    <w:rsid w:val="388D4403"/>
    <w:rsid w:val="38D330D8"/>
    <w:rsid w:val="3902639C"/>
    <w:rsid w:val="42D24401"/>
    <w:rsid w:val="442E5667"/>
    <w:rsid w:val="46D30747"/>
    <w:rsid w:val="46D63985"/>
    <w:rsid w:val="4829200B"/>
    <w:rsid w:val="48A66ACB"/>
    <w:rsid w:val="49186943"/>
    <w:rsid w:val="4B92085A"/>
    <w:rsid w:val="4CFB4B43"/>
    <w:rsid w:val="4D715C57"/>
    <w:rsid w:val="4E353561"/>
    <w:rsid w:val="506C3367"/>
    <w:rsid w:val="51B95DF9"/>
    <w:rsid w:val="52750CE7"/>
    <w:rsid w:val="53180911"/>
    <w:rsid w:val="54907C78"/>
    <w:rsid w:val="56832B25"/>
    <w:rsid w:val="5AF30DF3"/>
    <w:rsid w:val="5D5B7708"/>
    <w:rsid w:val="5D7D72B1"/>
    <w:rsid w:val="6037790A"/>
    <w:rsid w:val="6123634F"/>
    <w:rsid w:val="61DD6134"/>
    <w:rsid w:val="625F34D0"/>
    <w:rsid w:val="6326595F"/>
    <w:rsid w:val="63574253"/>
    <w:rsid w:val="67452B44"/>
    <w:rsid w:val="67CC4848"/>
    <w:rsid w:val="6A872E4B"/>
    <w:rsid w:val="6AD30444"/>
    <w:rsid w:val="6BD12BF8"/>
    <w:rsid w:val="6CB15EF0"/>
    <w:rsid w:val="6E646681"/>
    <w:rsid w:val="72C72EF7"/>
    <w:rsid w:val="739C2499"/>
    <w:rsid w:val="7C417926"/>
    <w:rsid w:val="7C7A5E66"/>
    <w:rsid w:val="7D4306D5"/>
    <w:rsid w:val="7DBB22D0"/>
    <w:rsid w:val="7DCC6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70" w:lineRule="exact"/>
      <w:jc w:val="center"/>
    </w:pPr>
    <w:rPr>
      <w:rFonts w:ascii="方正小标宋简体" w:hAnsi="Cambria" w:eastAsia="方正小标宋简体"/>
      <w:bCs/>
      <w:sz w:val="44"/>
      <w:szCs w:val="3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0"/>
    <w:rPr>
      <w:color w:val="CC0000"/>
    </w:rPr>
  </w:style>
  <w:style w:type="character" w:styleId="19">
    <w:name w:val="footnote reference"/>
    <w:basedOn w:val="15"/>
    <w:semiHidden/>
    <w:qFormat/>
    <w:uiPriority w:val="0"/>
    <w:rPr>
      <w:vertAlign w:val="superscript"/>
    </w:rPr>
  </w:style>
  <w:style w:type="character" w:customStyle="1" w:styleId="20">
    <w:name w:val="Char Char2"/>
    <w:basedOn w:val="15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1">
    <w:name w:val="HTML 预设格式 Char"/>
    <w:basedOn w:val="15"/>
    <w:link w:val="11"/>
    <w:qFormat/>
    <w:locked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22">
    <w:name w:val="不明显强调1"/>
    <w:basedOn w:val="15"/>
    <w:qFormat/>
    <w:uiPriority w:val="0"/>
    <w:rPr>
      <w:i/>
      <w:iCs/>
      <w:color w:val="808080"/>
    </w:rPr>
  </w:style>
  <w:style w:type="character" w:customStyle="1" w:styleId="23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4">
    <w:name w:val="页脚 Char"/>
    <w:basedOn w:val="15"/>
    <w:link w:val="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纯文本 Char"/>
    <w:basedOn w:val="15"/>
    <w:link w:val="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customStyle="1" w:styleId="28">
    <w:name w:val="样式 标题 1 + 居中"/>
    <w:basedOn w:val="3"/>
    <w:qFormat/>
    <w:uiPriority w:val="0"/>
    <w:pPr>
      <w:spacing w:line="500" w:lineRule="exact"/>
      <w:jc w:val="center"/>
    </w:pPr>
    <w:rPr>
      <w:rFonts w:ascii="Calibri" w:hAnsi="Calibri" w:cs="宋体"/>
      <w:sz w:val="36"/>
      <w:szCs w:val="20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0正文文本及"/>
    <w:qFormat/>
    <w:uiPriority w:val="0"/>
    <w:pPr>
      <w:spacing w:line="480" w:lineRule="exact"/>
      <w:ind w:firstLine="200" w:firstLineChars="200"/>
      <w:jc w:val="both"/>
    </w:pPr>
    <w:rPr>
      <w:rFonts w:ascii="宋体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33">
    <w:name w:val="Char Char Char Char"/>
    <w:basedOn w:val="1"/>
    <w:qFormat/>
    <w:uiPriority w:val="0"/>
  </w:style>
  <w:style w:type="paragraph" w:customStyle="1" w:styleId="3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文件标题"/>
    <w:basedOn w:val="1"/>
    <w:qFormat/>
    <w:uiPriority w:val="0"/>
    <w:rPr>
      <w:rFonts w:ascii="宋体" w:hAnsi="Calibri"/>
      <w:b/>
      <w:sz w:val="44"/>
    </w:rPr>
  </w:style>
  <w:style w:type="paragraph" w:customStyle="1" w:styleId="37">
    <w:name w:val="样式 附录表标题 + Times New Roman 段前: 7.8 磅 段后: 3.1 磅1"/>
    <w:basedOn w:val="1"/>
    <w:qFormat/>
    <w:uiPriority w:val="0"/>
    <w:pPr>
      <w:widowControl/>
      <w:adjustRightInd w:val="0"/>
      <w:snapToGrid w:val="0"/>
      <w:jc w:val="center"/>
      <w:textAlignment w:val="baseline"/>
    </w:pPr>
    <w:rPr>
      <w:rFonts w:eastAsia="黑体" w:cs="宋体"/>
      <w:kern w:val="21"/>
      <w:sz w:val="28"/>
      <w:szCs w:val="28"/>
    </w:rPr>
  </w:style>
  <w:style w:type="paragraph" w:customStyle="1" w:styleId="38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1468</Words>
  <Characters>1662</Characters>
  <Lines>2</Lines>
  <Paragraphs>3</Paragraphs>
  <TotalTime>0</TotalTime>
  <ScaleCrop>false</ScaleCrop>
  <LinksUpToDate>false</LinksUpToDate>
  <CharactersWithSpaces>1662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2018-12-04T09:24:00Z</dcterms:created>
  <dc:creator>User</dc:creator>
  <cp:lastModifiedBy>dell</cp:lastModifiedBy>
  <cp:lastPrinted>2022-10-24T10:46:00Z</cp:lastPrinted>
  <dcterms:modified xsi:type="dcterms:W3CDTF">2025-01-06T06:07:00Z</dcterms:modified>
  <dc:title>东丽区人民政府文件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9D0A7CE69ED24F7AB2014911808E31BF</vt:lpwstr>
  </property>
</Properties>
</file>