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438EAC1F">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天津市东丽区东丽湖街综合治理中心</w:t>
      </w:r>
    </w:p>
    <w:p w14:paraId="3C733AE5">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w:t>
      </w:r>
      <w:bookmarkStart w:id="0" w:name="_GoBack"/>
      <w:bookmarkEnd w:id="0"/>
      <w:r>
        <w:rPr>
          <w:rFonts w:ascii="Times New Roman" w:eastAsia="Fz_S_BiaoSong_Jt"/>
          <w:b w:val="0"/>
          <w:sz w:val="48"/>
          <w:szCs w:val="48"/>
        </w:rPr>
        <w:t>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68C54E8">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F86B29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363F805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710DB4C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221DB51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1680AE6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7553F5E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D97410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592D6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A937E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2BFE28A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F96B3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7D8AB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7D9A566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7325E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294C6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6A5D480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172625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F60F4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3842CB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1FE079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23BEB5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9CB912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33A1C15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7CE81B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5660B3E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B1B229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67DB360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7DEAD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486F7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360EFE9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41C2A71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8B4A961">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68807337">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E91305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天津市东丽区东丽湖街综合治理中心，负责辖区内社会治安综合治理、市容环境、综合执法、网络化管理等各类平台，负责平台运行的日常管理、维护，承担各类社会治理，城市管理等问题的受理、转办等工作。</w:t>
      </w:r>
    </w:p>
    <w:p w14:paraId="5454309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天津市东丽区东丽湖街综合治理中心内设1个职能部门；下辖0个预算单位。纳入天津市东丽区东丽湖街综合治理中心2024年度部门决算编制范围的单位包括：</w:t>
      </w:r>
    </w:p>
    <w:p w14:paraId="7A01AE2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58A3F66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1.​天津市东丽区东丽湖街综合治理中心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F57396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部门（单位）：天津市东丽区东丽湖街综合治理中心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609,089.27</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290,599.97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部门（单位）：天津市东丽区东丽湖街综合治理中心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6,162,288.37</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6,162,288.37</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609,089.27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609,089.27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3B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0A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9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F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609,089.27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54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609,089.27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B7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39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03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ED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B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E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6E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D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19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1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406,061.27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3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406,061.27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43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8B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95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0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85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09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EB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65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F9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5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203,028.00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8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203,028.00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B2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8E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20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A4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F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23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AF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1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32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A1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290,599.97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0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290,599.97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0B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7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38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26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49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05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76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AC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E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BF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290,599.97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290,599.97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4E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F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27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6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9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27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C8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F8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DF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95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290,599.97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7E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290,599.97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4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E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9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1F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4D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E8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D0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5E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8E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74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3,866,015.13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4A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3,866,015.13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6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3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FB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32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D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AC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AB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98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6D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5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3,866,015.13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89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3,866,015.13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74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D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20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9F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F0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3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AEE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4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03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2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3,866,015.13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9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3,866,015.13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7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BA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4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36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F0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8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FC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0F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22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E4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1,396,584.00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8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1,396,584.00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0C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ED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BF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F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8C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AC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3D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6F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D8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6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1,396,584.00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2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1,396,584.00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2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90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A9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B3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F4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7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7B8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D4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A6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A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1,396,584.00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7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1,396,584.00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3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5F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2A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47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1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8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部门（单位）：天津市东丽区东丽湖街综合治理中心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6,162,288.37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6,162,288.37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6,162,288.37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811202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天津市东丽区东丽湖街综合治理中心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6,162,288.37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6,162,288.37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6,162,288.37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部门（单位）：天津市东丽区东丽湖街综合治理中心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609,089.27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609,089.27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58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D0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7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AD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609,089.27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A1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609,089.27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E3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C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F3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BB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12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5A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0A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56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406,061.27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3C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406,061.27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73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E8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D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21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BF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A5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CD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B3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203,028.00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7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203,028.00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DB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2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CC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27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8F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55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FA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B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290,599.97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4F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290,599.97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80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7E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B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5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E6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E0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0C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6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290,599.97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B1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290,599.97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F5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28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5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3F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78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F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DF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D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290,599.97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10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290,599.97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78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79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E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8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5D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D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60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6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9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8F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A8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DD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7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C2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1A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7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E3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0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62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4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7F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B9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45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8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65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BE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8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4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A2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02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DA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14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6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BB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2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8D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92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87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C9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E3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F3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5D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4D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9B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8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B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2B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45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98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9C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18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A2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5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63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7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D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6E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部门（单位）：天津市东丽区东丽湖街综合治理中心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609,089.27</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609,089.27</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290,599.97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290,599.97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6,162,288.37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天津市东丽区东丽湖街综合治理中心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6,162,288.37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6,162,288.37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5,623,562.82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538,725.55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609,089.27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609,089.27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609,089.27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54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49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26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87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609,089.27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02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609,089.27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39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609,089.27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2C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9B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3F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EF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C7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6A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406,061.27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C7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406,061.27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FC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406,061.27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B5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64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CBC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12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C7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A3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203,028.00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94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203,028.00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30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203,028.00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50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26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F42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3B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77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36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290,599.97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EF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290,599.97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60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290,599.97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31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27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C23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6C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13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290,599.97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51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290,599.97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FB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290,599.97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F9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61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B5C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87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CB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60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290,599.97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DD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290,599.97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CA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290,599.97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65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FC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B58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CE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8B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7D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83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1A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3,327,289.58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80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538,725.55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DF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3F3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A5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1C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B5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6D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6D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3,327,289.58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93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538,725.55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6E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01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F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D9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1A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44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36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3,327,289.58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C8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538,725.55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DC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7C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EC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57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DB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1,396,584.00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6A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1,396,584.00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A2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1,396,584.00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3D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EE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A9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2F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3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8C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1,396,584.00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C2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1,396,584.00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C8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1,396,584.00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54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07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29E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77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F4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65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1,396,584.00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97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1,396,584.00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1B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1,396,584.00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C0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3C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部门（单位）：天津市东丽区东丽湖街综合治理中心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5,493,550.62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538,725.55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1,139,295.60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73,205.30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615,363.00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1,436,305.00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406,061.27</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203,028.00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253,789.97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17,765.78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1,396,584.00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130,012.20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69,455.20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11,452.00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58,606.86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169,590.00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48,915.00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46,343.39</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5,623,562.82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538,725.55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天津市东丽区东丽湖街综合治理中心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464AE1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天津市东丽区东丽湖街综合治理中心2024年政府性基金预算财政拨款收入支出决算表为空表。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天津市东丽区东丽湖街综合治理中心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3FD5979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天津市东丽区东丽湖街综合治理中心2024年国有资本经营预算财政拨款收入支出决算表为空表。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部门（单位）：天津市东丽区东丽湖街综合治理中心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32F406E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天津市东丽区东丽湖街综合治理中心2024年财政拨款“三公”经费支出决算表为空表。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部门（单位）：天津市东丽区东丽湖街综合治理中心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12CB1EF6">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天津市东丽区东丽湖街综合治理中心2024年项目支出决算表为空表。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9AF90FF">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70FBA4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459C3F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天津市东丽区东丽湖街综合治理中心2024年度收入、支出决算总计6,162,288.37元。与2023年度相比，收、支总计各减少316,885.06元，下降4.891%，主要原因是响应政府过紧日子号召，厉行节约，压减经费支出。</w:t>
      </w:r>
    </w:p>
    <w:p w14:paraId="7A84514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收入包括：一般公共预算财政拨款收入6,162,288.37元。</w:t>
      </w:r>
    </w:p>
    <w:p w14:paraId="2649A0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支出包括：社会保障和就业支出609,089.27元、卫生健康支出290,599.97元、城乡社区支出3,866,015.13元、住房保障支出1,396,584.00元。</w:t>
      </w:r>
    </w:p>
    <w:p w14:paraId="237A85C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78AFEA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天津市东丽区东丽湖街综合治理中心2024年度本年收入合计6,162,288.37元，与2023年度相比减少316,885.06元，主要原因是响应政府过紧日子号召，厉行节约，压减经费支出。其中：</w:t>
      </w:r>
    </w:p>
    <w:p w14:paraId="3F6B65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一般公共预算财政拨款收入6,162,288.37元，占100.000%。</w:t>
      </w:r>
    </w:p>
    <w:p w14:paraId="068AADC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F2093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天津市东丽区东丽湖街综合治理中心2024年度本年支出合计6,162,288.37元，与2023年度相比减少316,885.06元，主要原因是响应政府过紧日子号召，厉行节约，压减经费支出。其中：</w:t>
      </w:r>
    </w:p>
    <w:p w14:paraId="7B407D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基本支出6,162,288.37元，占100.000%。</w:t>
      </w:r>
    </w:p>
    <w:p w14:paraId="5198282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B1B44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财政拨款收入、支出决算总计6,162,288.37元。与2023年度相比，财政拨款收、支总计各减少316,885.06元，下降4.891%，主要原因是响应政府过紧日子号召，厉行节约，压减经费支出。</w:t>
      </w:r>
    </w:p>
    <w:p w14:paraId="33996DB5">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收入包括：一般公共预算财政拨款6,162,288.37元。</w:t>
      </w:r>
    </w:p>
    <w:p w14:paraId="7D92873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支出包括：社会保障和就业支出609,089.27元、卫生健康支出290,599.97元、城乡社区支出3,866,015.13元、住房保障支出1,396,584.00元。</w:t>
      </w:r>
    </w:p>
    <w:p w14:paraId="75C8EC8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05B852C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1431B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部门决算一般公共预算财政拨款支出合计6,162,288.37元，占本年支出合计的100.000%。与2023年度相比，一般公共预算财政拨款支出减少316,885.06元，下降4.891%，主要原因是响应政府过紧日子号召，厉行节约，压减经费支出。</w:t>
      </w:r>
    </w:p>
    <w:p w14:paraId="786C447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017FEC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6,162,288.37元，主要用于以下方面：社会保障和就业支出（类）609,089.27元，占9.884%；卫生健康支出（类）290,599.97元，占4.716%；城乡社区支出（类）3,866,015.13元，占62.737%；住房保障支出（类）1,396,584.00元，占22.663%。</w:t>
      </w:r>
    </w:p>
    <w:p w14:paraId="6E920F2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7B859D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2024年度一般公共预算财政拨款支出年初预算为6,402,300.00元，支出决算为6,162,288.37元，完成年初预算的96.251%。其中：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420,600.00元，支出决算为406,061.27元，完成年初预算的96.543%，决算数小于年初预算数的主要原因是：人员动态调整，基本养老保险缴费支出减少。</w:t>
      </w:r>
    </w:p>
    <w:p w14:paraId="280914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210,300.00元，支出决算为203,028.00元，完成年初预算的96.542%，决算数小于年初预算数的主要原因是：人员动态调整，职业年金缴费支出减少。</w:t>
      </w:r>
    </w:p>
    <w:p w14:paraId="0DB79A8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3.​卫生健康支出(类)行政事业单位医疗(款)事业单位医疗(项)年初预算为301,500.00元，支出决算为290,599.97元，完成年初预算的96.385%，决算数小于年初预算数的主要原因是：人员动态调整，医疗保险缴费支出减少。</w:t>
      </w:r>
    </w:p>
    <w:p w14:paraId="7D7444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城乡社区支出(类)城乡社区管理事务(款)其他城乡社区管理事务支出(项)年初预算为4,049,400.00元，支出决算为3,866,015.13元，完成年初预算的95.471%，决算数小于年初预算数的主要原因是：人员动态调整，工伤和失业保险缴费支出减少。</w:t>
      </w:r>
    </w:p>
    <w:p w14:paraId="513D7D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5.​住房保障支出(类)住房改革支出(款)住房公积金(项)年初预算为1,420,500.00元，支出决算为1,396,584.00元，完成年初预算的98.316%，决算数小于年初预算数的主要原因是：人员动态调整，住房公积金支出减少​。</w:t>
      </w:r>
    </w:p>
    <w:p w14:paraId="7AD1F71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A7CBEA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天津市东丽区东丽湖街综合治理中心2024年度部门决算一般公共预算财政拨款基本支出合计6,162,288.37元，与2023年度相比减少316,885.06元，主要原因是响应政府过紧日子号召，厉行节约，压减经费支出。其中：</w:t>
      </w:r>
    </w:p>
    <w:p w14:paraId="241E6D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5,623,562.82元，主要包括基本工资、津贴补贴、绩效工资、机关事业单位基本养老保险缴费、职业年金缴费、职工基本医疗保险缴费、其他社会保障缴费、住房公积金、医疗费、退休费、医疗费补助、奖励金和其他对个人和家庭的补助。</w:t>
      </w:r>
    </w:p>
    <w:p w14:paraId="0A1949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公用经费538,725.55元，主要包括办公费、咨询费、培训费、工会经费、福利费、其他交通费用、税金及附加费用和其他商品和服务支出。</w:t>
      </w:r>
    </w:p>
    <w:p w14:paraId="6BE0270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465AFE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天津市东丽区东丽湖街综合治理中心2024年度无政府性基金预算财政拨款收入、支出和结转结余。</w:t>
      </w:r>
    </w:p>
    <w:p w14:paraId="1B26DF3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404E9B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天津市东丽区东丽湖街综合治理中心2024年度无国有资本经营预算财政拨款收入、支出和结转结余。</w:t>
      </w:r>
    </w:p>
    <w:p w14:paraId="1BF34EB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071D9CB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B9BE8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14A545E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33DCBD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2FF252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07A1B4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3F4502D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282F08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D9B5F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12388B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12FA45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73867C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520D02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7635ECF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天津市东丽区东丽湖街综合治理中心2024年度无机关运行经费。</w:t>
      </w:r>
    </w:p>
    <w:p w14:paraId="7A27FE2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7E6857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天津市东丽区东丽湖街综合治理中心2024年度无政府采购支出。</w:t>
      </w:r>
    </w:p>
    <w:p w14:paraId="48E97B4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387748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天津市东丽区东丽湖街综合治理中心2024年度无国有资产占有使用情况。</w:t>
      </w:r>
    </w:p>
    <w:p w14:paraId="77FCA90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D3E54A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天津市东丽区东丽湖街综合治理中心2024年度没有项目支出，无需开展绩效自评。</w:t>
      </w:r>
    </w:p>
    <w:p w14:paraId="5666CC9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08C6F1A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天津市东丽区东丽湖街综合治理中心2024年度不涉及教育、医疗卫生、社会保障和就业、住房保障、涉农补贴等民生支出情况。</w:t>
      </w:r>
    </w:p>
    <w:p w14:paraId="1BABA4A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0197856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459C6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2CDE2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B74F7D-7869-4A1A-B1B1-756D738E28D3}"/>
  </w:font>
  <w:font w:name="黑体">
    <w:panose1 w:val="02010609060101010101"/>
    <w:charset w:val="86"/>
    <w:family w:val="auto"/>
    <w:pitch w:val="default"/>
    <w:sig w:usb0="800002BF" w:usb1="38CF7CFA" w:usb2="00000016" w:usb3="00000000" w:csb0="00040001" w:csb1="00000000"/>
    <w:embedRegular r:id="rId2" w:fontKey="{31EB83DC-3AA4-4409-8CEE-060A9A5B2F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8496BFA1-C5B2-4FDF-AC7A-56AD88B3A63F}"/>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8BE848EA-437B-4BDA-B77F-6EA7A3DA0B1E}"/>
  </w:font>
  <w:font w:name="仿宋_GB2312">
    <w:panose1 w:val="02010609030101010101"/>
    <w:charset w:val="86"/>
    <w:family w:val="auto"/>
    <w:pitch w:val="default"/>
    <w:sig w:usb0="00000001" w:usb1="080E0000" w:usb2="00000000" w:usb3="00000000" w:csb0="00040000" w:csb1="00000000"/>
    <w:embedRegular r:id="rId5" w:fontKey="{02075BCC-6777-4D6A-A0BF-E1FB87486745}"/>
  </w:font>
  <w:font w:name="宋体-简">
    <w:altName w:val="宋体"/>
    <w:panose1 w:val="02010800040101010101"/>
    <w:charset w:val="86"/>
    <w:family w:val="auto"/>
    <w:pitch w:val="default"/>
    <w:sig w:usb0="00000000" w:usb1="00000000" w:usb2="00000000" w:usb3="00000000" w:csb0="00040000" w:csb1="00000000"/>
    <w:embedRegular r:id="rId6" w:fontKey="{62DAFAE8-EE0D-4A2B-83B5-FB9E7FE5EDA0}"/>
  </w:font>
  <w:font w:name="楷体">
    <w:panose1 w:val="02010609060101010101"/>
    <w:charset w:val="86"/>
    <w:family w:val="auto"/>
    <w:pitch w:val="default"/>
    <w:sig w:usb0="800002BF" w:usb1="38CF7CFA" w:usb2="00000016" w:usb3="00000000" w:csb0="00040001" w:csb1="00000000"/>
    <w:embedRegular r:id="rId7" w:fontKey="{C2A71C1D-3207-409F-85C4-B5754F36B9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9D05B">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940C">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61121C"/>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E907FE"/>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1528</Words>
  <Characters>1974</Characters>
  <Lines>86</Lines>
  <Paragraphs>24</Paragraphs>
  <TotalTime>11</TotalTime>
  <ScaleCrop>false</ScaleCrop>
  <LinksUpToDate>false</LinksUpToDate>
  <CharactersWithSpaces>2027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娜就是我</cp:lastModifiedBy>
  <cp:lastPrinted>2023-08-07T01:00:00Z</cp:lastPrinted>
  <dcterms:modified xsi:type="dcterms:W3CDTF">2025-09-24T02:29:03Z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86868DB4FDAE414CA3A993DEC32F2A7B_13</vt:lpwstr>
  </property>
  <property fmtid="{D5CDD505-2E9C-101B-9397-08002B2CF9AE}" pid="4" name="KSOTemplateUUID">
    <vt:lpwstr>v1.0_mb_S7ajbG3IpAnL1wSthNCxfw==</vt:lpwstr>
  </property>
  <property fmtid="{D5CDD505-2E9C-101B-9397-08002B2CF9AE}" pid="5" name="KSOTemplateDocerSaveRecord">
    <vt:lpwstr>eyJoZGlkIjoiMTNkMmMyOTk3ZDE3YzNiNmVkNmE4MDZjMmZhNjdkNzAiLCJ1c2VySWQiOiI0NzE3NjgwNjMifQ==</vt:lpwstr>
  </property>
</Properties>
</file>