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26AD35C9">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天津市东丽区发展和改革委员会</w:t>
      </w:r>
    </w:p>
    <w:p w14:paraId="29500C01">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07277DB">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13818A5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34834D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6DE76CC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536CC5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BD603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D774DF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59F40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71182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2C737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3ED6049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31A648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00A2B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7FFE0E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0C657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F66FC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D6938A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E4150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6C677F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591AA8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22CE9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2588D9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7DA479A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4FEC8E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CFEB00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20169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F58B2B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BBF98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B3088E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58D01B8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168658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6CF04A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92A1ECC">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0F485BF">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0AE20D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72D59B6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贯彻执行国家和本市有关国民经济和社会发展、经济体制改革和对外开放等方面的法律、法规、规章和方针政策。拟订相关规范性文件，并组织实施。（二）提出本区加快建设现代化经济体系、推动高质量发展的工作目标、重大任务及相关政策。（三）拟订并组织实施全区国民经济和社会发展战略、中长期规划和年度计划。拟订非公有制经济发展战略和中长期规划，服务促进非公有制经济发展。负责区级专项规划、区域规划、空间规划与本区发展规划的统筹衔接。统筹协调经济社会发展，研究分析国内外和全区经济形势，提出经济社会发展和优化重大经济结构的目标、综合运用各种调控手段的建议。受区政府委托向区人大提交国民经济和社会发展计划的报告。牵头组织重大、较大、一般自然灾害后恢复重建的规划和编制，协调有关重大问题。（四）贯彻执行国家和本市粮食流通的法律、法规和方针、政策。起草或拟订相关规范文件，并组织实施和监督检查。拟订全区粮食调控、总量平衡以及粮食流通中的中长期规划和年度计划，并组织实施区级储备粮食和生活救助类救灾物资的收储、轮换和日常管理。负责本区粮食储备基础设施建设和管理工作。负责本区粮食流通行业管理。（五）统筹提出本区国民经济和社会发展主要目标，监测预测预警经济和社会发展态势趋势，综合协调经济政策，牵头研究提出应对措施建议，协调解决经济运行中的重大问题。跟踪研判涉及经济安全、生态安全、资源安全、科技安全、社会安全等各类风险隐患，提出相关工作建议。协调推动第一二三产业发展重大问题，并统筹衔接相关发展规划和重大政策。综合研判消费变动趋势，会同有关部门拟订实施促进消费的相关政策措施。（六）指导推进和综合协调经济体制改革相关工作。牵头推进供给侧结构性改革。协调推进完善产权保护制度和要素市场化配置改革，推动完善基本制度和现代化市场体系建设，会同有关部门组织实施市场准入负面清单。（七）牵头推进实施“一带一路”建设。推进统筹协调走出去有关工作，会同有关部门实施外商投资准入负面清单。负责本区外债监测等工作。（八）负责投资综合管理，拟订本区固定资产投资总规模和投资结构调控目标、政策措施，对需要安排区政府投资和涉及重大建设项目的专项规划进行衔接平衡。组织拟订区政府投资项目计划，并推动实施。规划重大建设项目和生产力布局，会同有关部门研究拟订区政府重大项目融资方案。拟订并推动落实鼓励民间投资政策措施。（九）落实区域发展战略和新型城镇化战略，统筹推进本区区域发展，组织编制并实施新型城镇化规划，参与研究房地产发展和保障性住房建设的政策意见。（十）推动实施创新驱动发展战略。会同有关部门拟订推动创新创业的规划和政策，提出创新发展和培育经济发展新动能的政策。会同有关部门规划布局本区重大科技基础设施。组织拟订并推动实施高科技产业和战略性新兴产业发展规划政策，协调产业升级、重大技术装备推广应用等方面的重大问题。（十一）负责社会发展与国民经济发展的政策衔接，研究拟定人口发展规划和人口政策，协调科技、教育、文化、卫生、体育、旅游、民政、社会管理等领域发展工作，推进社会事业建设。研究提出促进就业、调整收入分配、完善社会保障与经济协调发展的政策建议。负责本区社会信用体系建设的综合协调和监督管理工作。（十二）会同有关部门拟定经济建设与国防建设协调发展的战略和规划，协调有关重大问题。组织编制本区国民经济动员规划，协调和组织实施有关工作。（十三）推进实施可持续发展战略，推动生态文明建设和改革，组织落实碳达峰碳中和工作部署安排，协调推进相关工作。综合协调环保产业，综合管理全区节能工作，指导节能监察工作，组织、协调和指导清洁生产促进有关工作。组织拟定并实施能源发展规划、能源结构调整政策措施，承担实施新能源、可再生能源政策有关工作，负责本区行政区域内石油、天然气长输管道（不含城镇燃气管道和炼油、化工等企业厂区内管道）保护工作。（十四）负责组织研究拟订我区“京津冀协同发展”相关规划、计划、方案和综合性政策措施，统筹推进落实京津冀协同发展各项任务。（十五）负责组织开展东西部协作、对口支援合作，统筹有关帮扶政策、财政资金支持和项目安排。（十六）负责开展辖区内与群众生活密切相关的商品和服务价格监测，开展应急监测，分析预警价格总水平变动情况，负责行政事业性和经营服务性收费的管理，贯彻落实收费政策，规范收费行为，提出价格调控政策建议。制定和调整本级定价权限范围内重要商品和服务价格。开展重要农产品、重要商品和服务项目成本调查工作，实施本级定价权限范围内的成本监审工作。（十七）负责本领域安全生产管理工作。（十八）负责本领域人才队伍建设。（十九）组织推动本领域招商引资工作。（二十）承办区委、区政府交办的其他事项。</w:t>
      </w:r>
    </w:p>
    <w:p w14:paraId="0748C17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天津市东丽区发展和改革委员会内设11个职能部门；下辖1个预算单位。纳入天津市东丽区发展和改革委员会2024年度部门决算编制范围的单位包括：</w:t>
      </w:r>
    </w:p>
    <w:p w14:paraId="78D9D33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1.​天津市东丽区发展和改革委员会（本级）</w:t>
      </w:r>
    </w:p>
    <w:p w14:paraId="1B17C5C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2.​天津市东丽区经济发展服务中心</w:t>
      </w:r>
    </w:p>
    <w:p w14:paraId="3C96EB4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1C90596">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725.16</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43,146,028.07</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43,146,127.91</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209.12</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533,096.48</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532,787.52</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8,252.15</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43,679,124.55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43,679,124.55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43,146,028.07</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43,145,302.91</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12,046,834.25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12,046,109.09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377D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5B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784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发展与改革事务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6D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12,046,834.25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4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12,046,109.09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C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C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1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C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5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5B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725.16</w:t>
            </w:r>
          </w:p>
        </w:tc>
      </w:tr>
      <w:tr w14:paraId="5608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67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0F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0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6,862,089.60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20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6,861,573.56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4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A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F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58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D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49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516.04</w:t>
            </w:r>
          </w:p>
        </w:tc>
      </w:tr>
      <w:tr w14:paraId="5161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F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EC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1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B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1,035,492.00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1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76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9F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B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5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34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B1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D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物价管理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4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65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D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A2C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B4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B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8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590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B4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1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68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8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2,054,747.65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2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2,054,538.53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97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5C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8E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8E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D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209.12</w:t>
            </w:r>
          </w:p>
        </w:tc>
      </w:tr>
      <w:tr w14:paraId="6D2D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67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A1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其他发展与改革事务支出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A2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5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2,072,005.00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4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46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17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9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9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7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DB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47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9E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科学技术支出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F1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7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9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8E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36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3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93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9C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33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5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技术研究与开发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0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8D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8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E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0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3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8C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33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E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2060499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0B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其他技术研究与开发支出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E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8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6,590,200.00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24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2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A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B1F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B4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D8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FE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D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19E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87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3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B1F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F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8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7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A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EE1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BD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55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90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6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1,316,305.44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D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B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5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0A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4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51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D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A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877,536.96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1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877,536.96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0D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86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3C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5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2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84D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B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212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8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438,768.48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83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438,768.48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9E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8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DB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A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D72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9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5C9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39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55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4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B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77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8A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6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6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2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1B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6B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D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F0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75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644,271.98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4F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DF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E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15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9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D3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C8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CF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2A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5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D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413,604.94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C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C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7B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D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E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DB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B4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3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B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8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147,946.44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A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76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3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C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8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03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2B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3F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4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D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82,720.60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5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E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3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0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7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A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C74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BA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B3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节能环保支出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5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6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4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F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7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F2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B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F4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F8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EF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3C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污染防治</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E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81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E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1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1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3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E4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8B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86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A4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大气</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1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6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119,788.96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39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D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6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7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53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C5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AD8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DA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C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6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8A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1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6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96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72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5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8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FD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6E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2111001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3C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能源节约利用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2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0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8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FD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D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6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5A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D5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93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1C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C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D39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5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9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C4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1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D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E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5C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99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F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8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城乡社区公共设施</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E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A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A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FF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D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E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28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2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397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34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8B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其他城乡社区公共设施支出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0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B9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179,683.44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8A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4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F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472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C7B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9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5E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38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4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C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B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C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4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E9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72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F1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9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01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1C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1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A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9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CA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C9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6B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99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21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B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19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DF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52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85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7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10,519,732.00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EE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74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5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6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A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E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60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A1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AA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DC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F9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F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C7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42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9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AD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F3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45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699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3B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A1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1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C1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6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62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3E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06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F5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D4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5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8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2,810,562.00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76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66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E9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C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1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BB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71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3C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2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粮油物资储备支出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1A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8E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5B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9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7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3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82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F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C0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64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D8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粮油物资事务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08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4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8,007,650.00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AA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2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E1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F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B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6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AA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51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2220115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2C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粮食风险基金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1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83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7,982,500.00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3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CA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9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4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63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10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C2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2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DC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其他粮油物资事务支出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D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8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25,150.00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46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9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9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E1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8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A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部门（单位）：天津市东丽区发展和改革委员会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43,679,124.55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43,146,028.07</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43,145,302.91</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725.16</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533,096.48</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524,844.33</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524,844.33</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天津市东丽区发展和改革委员会（本级）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40,445,150.60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39,930,433.74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39,929,917.70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516.04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514,716.86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506,464.71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506,464.71</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8,252.15</w:t>
            </w:r>
          </w:p>
        </w:tc>
      </w:tr>
      <w:tr w14:paraId="6AD6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D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天津市东丽区经济发展服务中心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A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3,233,973.95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E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3,215,594.33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9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3,215,385.21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8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55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6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84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04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6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2B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5E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209.12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7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8D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18,379.62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D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E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5EA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88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2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43,146,127.91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13,715,496.51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8,944,357.09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2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92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DB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4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12,046,934.09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6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8,944,357.09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2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B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69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F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58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7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CE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4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0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6,862,398.56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B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4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12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0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16B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0B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8B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F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1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0B2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F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25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D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E5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B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6B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D2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E3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7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41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54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D2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F5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EC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3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E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F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2,054,538.53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D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5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5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68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94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54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5B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A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2,072,005.00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71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5E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4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F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4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AC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4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0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AE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C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A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0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9B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08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06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D7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F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82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3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8C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F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E2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F5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C1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BB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95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DA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B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7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85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B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6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BE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B2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A9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27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5D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0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7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0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EC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8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E9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6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F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2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5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55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33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55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AD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A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9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39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89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6E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FE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A9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9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74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D6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5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92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0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16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5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A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1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2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2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AB0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A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2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27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EC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4D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4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FC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E5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8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9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8C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BA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8E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9E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8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413,604.94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E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E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46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1D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94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E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DF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7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EE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147,946.44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A5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95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46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4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DB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21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5E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3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0B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EB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6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1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0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F0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5B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A9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8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9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EB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3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4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95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6F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5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56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09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5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3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5E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57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67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A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BE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58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B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1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2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6A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F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B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6C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A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4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C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7E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4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2D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BC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D4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DA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74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69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E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8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7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7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8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9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6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2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8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0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83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8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56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72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B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C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A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0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8AE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B4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2A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6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E0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8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F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7B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E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5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6A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40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9D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B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0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66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A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3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3E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D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61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1E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2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D2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71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3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67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3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2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B6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D1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D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6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EC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B5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8F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2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3C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39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57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4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07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7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F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5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0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4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0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FD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0AC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E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2A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7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F0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F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20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7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4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1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89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52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B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D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D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7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7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F3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3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FD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1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9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D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7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37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6D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D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B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5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39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0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D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F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E1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82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A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A0B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5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C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8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7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D9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7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06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A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0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796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F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20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B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12,046,109.09</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12,046,109.09</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1,316,305.44</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644,271.98</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2,810,562.00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43,145,302.91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524,844.33</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43,670,147.24</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43,145,302.91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13,714,671.51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11,912,349.25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29,430,631.40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12,046,109.09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8,943,532.09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7,141,209.83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7626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48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B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发展与改革事务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00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12,046,109.09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BD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8,943,532.09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E4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7,141,209.83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87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1,802,322.26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D4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3,102,577.00</w:t>
            </w:r>
          </w:p>
        </w:tc>
      </w:tr>
      <w:tr w14:paraId="60BD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B0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7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F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A6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6,861,573.56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C4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5,341,690.28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62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1,519,883.28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A6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A4A9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33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09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1D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FD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AC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E9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96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1,035,492.00</w:t>
            </w:r>
          </w:p>
        </w:tc>
      </w:tr>
      <w:tr w14:paraId="4DA5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B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3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物价管理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34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EBA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A1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9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8F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22,500.00</w:t>
            </w:r>
          </w:p>
        </w:tc>
      </w:tr>
      <w:tr w14:paraId="012D8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D6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6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2F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8F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2,054,538.53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FC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1,799,519.55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0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255,018.98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90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E5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F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97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其他发展与改革事务支出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6F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2,072,005.00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7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86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12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27,420.00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5E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2,044,585.00</w:t>
            </w:r>
          </w:p>
        </w:tc>
      </w:tr>
      <w:tr w14:paraId="0EB8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66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7C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科学技术支出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1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D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E6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63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1A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3C73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A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3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技术研究与开发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13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9D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AB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C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0F39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6FC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2060499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F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其他技术研究与开发支出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F9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4D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15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59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BE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6,590,200.00</w:t>
            </w:r>
          </w:p>
        </w:tc>
      </w:tr>
      <w:tr w14:paraId="6A9F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0C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4A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32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850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7B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2B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F3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E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04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8D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8B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1,316,305.44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6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93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F98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2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7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F7A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C3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64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877,536.96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0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9F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0F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7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5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27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6F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91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438,768.48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AA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51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F0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B0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09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9B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ED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C6B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BF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67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50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B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5C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36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35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E2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644,271.98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24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2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C2F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9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E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EE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E8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70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413,604.94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CD5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18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70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B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2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8F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B4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1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147,946.44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A9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A3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E3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C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8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2F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D9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4D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82,720.60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EB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8AD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CD1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4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FB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节能环保支出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0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FE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33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8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B4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1,030,788.96</w:t>
            </w:r>
          </w:p>
        </w:tc>
      </w:tr>
      <w:tr w14:paraId="235E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52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8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污染防治</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16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D64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76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94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33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2BE6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2B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17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大气</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61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1D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68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06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8F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119,788.96</w:t>
            </w:r>
          </w:p>
        </w:tc>
      </w:tr>
      <w:tr w14:paraId="0143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5F3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7D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EE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AA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B7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94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64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6825B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DD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2111001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9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能源节约利用</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E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0B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59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BF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22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911,000.00</w:t>
            </w:r>
          </w:p>
        </w:tc>
      </w:tr>
      <w:tr w14:paraId="7575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99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B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F3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3D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8A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72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72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1DD7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2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3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城乡社区公共设施</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94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9F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94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89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33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6A48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9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C1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其他城乡社区公共设施支出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6D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3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B0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FC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60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179,683.44</w:t>
            </w:r>
          </w:p>
        </w:tc>
      </w:tr>
      <w:tr w14:paraId="3A83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59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F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10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71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BE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A2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5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0B14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6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8B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3A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EA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31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54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0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4B4F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00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80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91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06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72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95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97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10,519,732.00</w:t>
            </w:r>
          </w:p>
        </w:tc>
      </w:tr>
      <w:tr w14:paraId="31AD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1B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DE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3F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898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11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CF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D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77C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AC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80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61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F9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09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50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ED0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73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8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81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25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8E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B7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2,810,562.00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07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B7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96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A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4A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粮油物资储备支出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5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67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A1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E6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54E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5CD3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64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1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粮油物资事务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D7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AC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4C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2E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95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8,007,650.00</w:t>
            </w:r>
          </w:p>
        </w:tc>
      </w:tr>
      <w:tr w14:paraId="1939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D07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2220115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FC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粮食风险基金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1F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FA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1F8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2E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3C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7,982,500.00</w:t>
            </w:r>
          </w:p>
        </w:tc>
      </w:tr>
      <w:tr w14:paraId="75C8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0C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6C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其他粮油物资事务支出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12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B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C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4E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8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25,150.00</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11,458,594.55</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1,802,322.26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2,105,883.40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170,909.10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2,329,855.80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1,398,515.00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1,272.30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777,461.00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6,177.80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877,536.96</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438,768.48</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548,463.38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203,252.00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82,720.60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164,088.00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17,712.93</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21,830.00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2,850,562.00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13,088.00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15,941.00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18,027.00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235,956.00</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453,754.70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186,181.20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2,098.00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217,848.50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33,750.00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94,572.00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82,072.00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279,680.00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49,500.00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99,471.06</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253,333.00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11,912,349.25</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1,802,322.26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47633D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天津市东丽区发展和改革委员会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4316A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天津市东丽区发展和改革委员会2024年国有资本经营预算财政拨款收入支出决算表为空表。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27,420.00</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部门（单位）：天津市东丽区发展和改革委员会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29,430,631.40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45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02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E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发展与改革事务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E4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B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3,102,577.00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3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7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94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F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BC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D5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9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3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07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1,035,492.00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63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C7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D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2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BD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C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BF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物价管理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53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31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B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4B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5E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22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A5B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6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其他发展与改革事务支出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5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1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2,044,585.00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A3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C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57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98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8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6A1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E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科学技术支出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6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D8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6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9E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D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9B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02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C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技术研究与开发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8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A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2B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2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D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C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DB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78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2060499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0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其他技术研究与开发支出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615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E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6,590,200.00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1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A5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F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6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95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7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D3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节能环保支出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F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1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A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C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4E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5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16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0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BA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污染防治</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6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F9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643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4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3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D4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86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BF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04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大气</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F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4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119,788.96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A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0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4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F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2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3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5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6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4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C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D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3A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6D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4C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2111001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E3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能源节约利用</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A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B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C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F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1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58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49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93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F9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D8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1F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F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5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C0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1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FD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7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AD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城乡社区公共设施</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B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CE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1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A0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D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04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60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E4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B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其他城乡社区公共设施支出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3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1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179,683.44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C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1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E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3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0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F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0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9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4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BDC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6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E2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0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9D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1A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3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48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BC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2A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6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DC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91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B8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107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E3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1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10,519,732.00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3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73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95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B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67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C1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27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粮油物资储备支出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44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F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F0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9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F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9C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4D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E4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D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粮油物资事务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E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A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8,007,650.00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F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6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03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9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47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C3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033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粮食风险基金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26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7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7,982,500.00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3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2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8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3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F8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9A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8C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其他粮油物资事务支出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7F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6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25,150.00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B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9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77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05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0ADA0F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FE88AD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B41FA2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2D66258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天津市东丽区发展和改革委员会2024年度收入、支出决算总计43,679,124.55元。与2023年度相比，收、支总计各增加15,501,621.70元，增长55.014%，主要原因是东西部协作职能划转，带来相应项目预算收支变化。</w:t>
      </w:r>
    </w:p>
    <w:p w14:paraId="3B4F5D4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收入包括：一般公共预算财政拨款收入43,145,302.91元、其他收入725.16元。</w:t>
      </w:r>
    </w:p>
    <w:p w14:paraId="3F66EBC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12,046,934.09元、科学技术支出6,590,200.00元、社会保障和就业支出1,316,305.44元、卫生健康支出644,271.98元、节能环保支出1,030,788.96元、城乡社区支出179,683.44元、农林水支出10,519,732.00元、住房保障支出2,810,562.00元、粮油物资储备支出8,007,650.00元。</w:t>
      </w:r>
    </w:p>
    <w:p w14:paraId="575783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659721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天津市东丽区发展和改革委员会2024年度本年收入合计43,146,028.07元，与2023年度相比增加15,438,185.25元，主要原因是东西部协作职能划转，带来相应项目预算收支变化。其中：</w:t>
      </w:r>
    </w:p>
    <w:p w14:paraId="6EF7DC5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一般公共预算财政拨款收入43,145,302.91元，占99.998%；其他收入725.16元，占0.002%。</w:t>
      </w:r>
    </w:p>
    <w:p w14:paraId="12A4F9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B3A820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天津市东丽区发展和改革委员会2024年度本年支出合计43,146,127.91元，与2023年度相比增加15,401,818.46元，主要原因是东西部协作职能划转，带来相应项目预算收支变化。其中：</w:t>
      </w:r>
    </w:p>
    <w:p w14:paraId="0C2A9D3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基本支出13,715,496.51元，占31.788%；项目支出29,430,631.40元，占68.212%。</w:t>
      </w:r>
    </w:p>
    <w:p w14:paraId="260B1B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626F9E8">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财政拨款收入、支出决算总计43,670,147.24元。与2023年度相比，财政拨款收、支总计各增加15,501,368.20元，增长55.030%，主要原因是东西部协作职能划转，带来相应项目预算收支变化。</w:t>
      </w:r>
    </w:p>
    <w:p w14:paraId="31F71357">
      <w:pPr>
        <w:widowControl/>
        <w:spacing w:before="0" w:beforeLines="0" w:beforeAutospacing="0" w:after="0" w:afterLines="0" w:afterAutospacing="0" w:line="360" w:lineRule="auto"/>
        <w:ind w:firstLine="600" w:firstLineChars="200"/>
        <w:jc w:val="both"/>
        <w:outlineLvl w:val="1"/>
        <w:rPr>
          <w:rFonts w:ascii="Times New Roman" w:eastAsia="仿宋_GB2312"/>
          <w:sz w:val="30"/>
          <w:szCs w:val="30"/>
        </w:rPr>
      </w:pPr>
      <w:r>
        <w:rPr>
          <w:rFonts w:ascii="Times New Roman" w:eastAsia="仿宋_GB2312"/>
          <w:b w:val="0"/>
          <w:sz w:val="30"/>
          <w:szCs w:val="30"/>
        </w:rPr>
        <w:t>收入包括：一般公共预算财政拨款43,145,302.91元、年初财政拨款结转和结余524,844.33元。</w:t>
      </w:r>
    </w:p>
    <w:p w14:paraId="717B6CC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支出包括：一般公共服务支出12,046,109.09元、科学技术支出6,590,200.00元、社会保障和就业支出1,316,305.44元、卫生健康支出644,271.98元、节能环保支出1,030,788.96元、城乡社区支出179,683.44元、农林水支出10,519,732.00元、住房保障支出2,810,562.00元、粮油物资储备支出8,007,650.00元。</w:t>
      </w:r>
    </w:p>
    <w:p w14:paraId="601DB9F0">
      <w:pPr>
        <w:widowControl/>
        <w:spacing w:before="0" w:beforeLines="0" w:beforeAutospacing="0" w:after="0" w:afterLines="0" w:afterAutospacing="0" w:line="360" w:lineRule="auto"/>
        <w:ind w:firstLine="602" w:firstLineChars="200"/>
        <w:jc w:val="left"/>
        <w:outlineLvl w:val="1"/>
        <w:rPr>
          <w:rFonts w:ascii="宋体" w:eastAsia="黑体"/>
          <w:b/>
          <w:sz w:val="30"/>
          <w:szCs w:val="30"/>
        </w:rPr>
      </w:pPr>
    </w:p>
    <w:p w14:paraId="002CBED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986C8E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E9118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部门决算一般公共预算财政拨款支出合计43,145,302.91元，占本年支出合计的99.998%。与2023年度相比，一般公共预算财政拨款支出增加15,401,198.46元，增长55.512%，主要原因是东西部协作职能划转，带来相应项目预算收支变化。</w:t>
      </w:r>
    </w:p>
    <w:p w14:paraId="7240C5F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C93C89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43,145,302.91元，主要用于以下方面：一般公共服务支出（类）12,046,109.09元，占27.920%；科学技术支出（类）6,590,200.00元，占15.274%；社会保障和就业支出（类）1,316,305.44元，占3.051%；卫生健康支出（类）644,271.98元，占1.493%；节能环保支出（类）1,030,788.96元，占2.389%；城乡社区支出（类）179,683.44元，占0.416%；农林水支出（类）10,519,732.00元，占24.382%；住房保障支出（类）2,810,562.00元，占6.514%；粮油物资储备支出（类）8,007,650.00元，占18.560%。</w:t>
      </w:r>
    </w:p>
    <w:p w14:paraId="4B6C801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1EA1206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2024年度一般公共预算财政拨款支出年初预算为25,983,515.94元，支出决算为43,145,302.91元，完成年初预算的166.049%。其中： </w:t>
      </w:r>
    </w:p>
    <w:p w14:paraId="54F9241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1.​一般公共服务支出(类)发展与改革事务(款)行政运行(项)年初预算为6,491,200.00元，支出决算为6,861,573.56元，完成年初预算的105.706%，决算数大于年初预算数的主要原因是：人员变动及人员相关基数调整。</w:t>
      </w:r>
    </w:p>
    <w:p w14:paraId="53A80CC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2.​一般公共服务支出(类)发展与改革事务(款)一般行政管理事务(项)年初预算为0.00元，支出决算为1,035,492.00元，决算数大于年初预算数的主要原因是：退休人员离世产生的相关支出。</w:t>
      </w:r>
    </w:p>
    <w:p w14:paraId="0035608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3.​一般公共服务支出(类)发展与改革事务(款)物价管理(项)年初预算为22,500.00元，支出决算为22,500.00元，完成年初预算的100.000%，决算数与年初预算数持平的主要原因是：按照正常收支进度完成相应工作。</w:t>
      </w:r>
    </w:p>
    <w:p w14:paraId="401F444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4.​一般公共服务支出(类)发展与改革事务(款)事业运行(项)年初预算为2,007,500.00元，支出决算为2,054,538.53元，完成年初预算的102.343%，决算数大于年初预算数的主要原因是：人员变动及人员相关基数调整。</w:t>
      </w:r>
    </w:p>
    <w:p w14:paraId="369A0B6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一般公共服务支出(类)发展与改革事务(款)其他发展与改革事务支出(项)年初预算为20,000.00元，支出决算为2,072,005.00元，完成年初预算的10,360.025%，决算数大于年初预算数的主要原因是：项目谋划及提升改造项目增加。</w:t>
      </w:r>
    </w:p>
    <w:p w14:paraId="1775C0E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科学技术支出(类)技术研究与开发(款)其他技术研究与开发支出(项)年初预算为3,199,800.00元，支出决算为6,590,200.00元，完成年初预算的205.957%，决算数大于年初预算数的主要原因是：制造业高质量发展市级专项增加。</w:t>
      </w:r>
    </w:p>
    <w:p w14:paraId="723389D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社会保障和就业支出(类)行政事业单位养老支出(款)机关事业单位基本养老保险缴费支出(项)年初预算为884,700.00元，支出决算为877,536.96元，完成年初预算的99.190%，决算数小于年初预算数的主要原因是：正常人员变动产生的数据差额。</w:t>
      </w:r>
    </w:p>
    <w:p w14:paraId="4F556C3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社会保障和就业支出(类)行政事业单位养老支出(款)机关事业单位职业年金缴费支出(项)年初预算为442,300.00元，支出决算为438,768.48元，完成年初预算的99.202%，决算数小于年初预算数的主要原因是：正常人员变动产生的数据差额。</w:t>
      </w:r>
    </w:p>
    <w:p w14:paraId="39554E8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9.​卫生健康支出(类)行政事业单位医疗(款)行政单位医疗(项)年初预算为413,700.00元，支出决算为413,604.94元，完成年初预算的99.977%，决算数小于年初预算数的主要原因是：正常人员变动产生的数据差额。</w:t>
      </w:r>
    </w:p>
    <w:p w14:paraId="23C2B1F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10.​卫生健康支出(类)行政事业单位医疗(款)事业单位医疗(项)年初预算为153,000.00元，支出决算为147,946.44元，完成年初预算的96.697%，决算数小于年初预算数的主要原因是：正常人员变动产生的数据差额。</w:t>
      </w:r>
    </w:p>
    <w:p w14:paraId="71D86906">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11.​卫生健康支出(类)行政事业单位医疗(款)公务员医疗补助(项)年初预算为82,700.00元，支出决算为82,720.60元，完成年初预算的100.025%，决算数大于年初预算数的主要原因是：正常人员变动产生的数据差额。</w:t>
      </w:r>
    </w:p>
    <w:p w14:paraId="20EEE46A">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12.​节能环保支出(类)污染防治(款)大气(项)年初预算为173,400.00元，支出决算为119,788.96元，完成年初预算的69.082%，决算数小于年初预算数的主要原因是：清洁取暖项目按照实际发生情况支出。</w:t>
      </w:r>
    </w:p>
    <w:p w14:paraId="69B5C71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13.​节能环保支出(类)能源节约利用(款)能源节约利用(项)年初</w:t>
      </w:r>
      <w:bookmarkStart w:id="0" w:name="_GoBack"/>
      <w:r>
        <w:rPr>
          <w:rFonts w:ascii="Times New Roman" w:eastAsia="仿宋_GB2312"/>
          <w:b w:val="0"/>
          <w:sz w:val="30"/>
          <w:szCs w:val="30"/>
        </w:rPr>
        <w:t>预算为0.00</w:t>
      </w:r>
      <w:bookmarkEnd w:id="0"/>
      <w:r>
        <w:rPr>
          <w:rFonts w:ascii="Times New Roman" w:eastAsia="仿宋_GB2312"/>
          <w:b w:val="0"/>
          <w:sz w:val="30"/>
          <w:szCs w:val="30"/>
        </w:rPr>
        <w:t>元，支出决算为911,000.00元，决算数大于年初预算数的主要原因是：能源项目增加产生相应支出。</w:t>
      </w:r>
    </w:p>
    <w:p w14:paraId="0F8D795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14.​城乡社区支出(类)城乡社区公共设施(款)其他城乡社区公共设施支出(项)年初预算为240,000.00元，支出决算为179,683.44元，完成年初预算的74.868%，决算数小于年初预算数的主要原因是：清洁取暖项目按照实际发生情况支出。</w:t>
      </w:r>
    </w:p>
    <w:p w14:paraId="161677D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15.​农林水支出(类)巩固脱贫攻坚成果衔接乡村振兴(款)其他巩固脱贫攻坚成果衔接乡村振兴支出(项)年初预算为0.00元，支出决算为10,519,732.00元，决算数大于年初预算数的主要原因是：东西部协作职能划转，带来相应项目预算收支变化。</w:t>
      </w:r>
    </w:p>
    <w:p w14:paraId="4D81164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16.​住房保障支出(类)住房改革支出(款)住房公积金(项)年初预算为2,890,400.00元，支出决算为2,810,562.00元，完成年初预算的97.238%，决算数小于年初预算数的主要原因是：正常人员变动产生的数据差额。</w:t>
      </w:r>
    </w:p>
    <w:p w14:paraId="4A37C5F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17.​粮油物资储备支出(类)粮油物资事务(款)粮食风险基金(项)年初预算为8,902,500.00元，支出决算为7,982,500.00元，完成年初预算的89.666%，决算数小于年初预算数的主要原因是：粮食风险基金项目核定产生的相应支出。</w:t>
      </w:r>
    </w:p>
    <w:p w14:paraId="29856CBF">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18.​粮油物资储备支出(类)粮油物资事务(款)其他粮油物资事务支出(项)年初预算为60,000.00元，支出决算为25,150.00元，完成年初预算的41.917%，决算数小于年初预算数的主要原因是：按照当年粮食相关检验检测安排调整相关费用支出。</w:t>
      </w:r>
    </w:p>
    <w:p w14:paraId="4F32140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37EC2B3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天津市东丽区发展和改革委员会2024年度部门决算一般公共预算财政拨款基本支出合计13,714,671.51元，与2023年度相比减少882,896.78元，主要原因是正常人员变动产生的数据差额。其中：</w:t>
      </w:r>
    </w:p>
    <w:p w14:paraId="77B82107">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11,912,349.25元，主要包括基本工资、津贴补贴、奖金、绩效工资、机关事业单位基本养老保险缴费、职业年金缴费、职工基本医疗保险缴费、公务员医疗补助缴费、其他社会保障缴费、住房公积金、医疗费、其他工资福利支出、离休费、退休费、奖励金和其他对个人和家庭的补助。</w:t>
      </w:r>
    </w:p>
    <w:p w14:paraId="709FD733">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1,802,322.26元，主要包括办公费、手续费、水费、电费、邮电费、取暖费、物业管理费、差旅费、维修(护)费、租赁费、培训费、公务接待费、委托业务费、工会经费、福利费、其他交通费用、税金及附加费用和其他商品和服务支出。</w:t>
      </w:r>
    </w:p>
    <w:p w14:paraId="58DDD97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07170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天津市东丽区发展和改革委员会2024年度无政府性基金预算财政拨款收入、支出和结转结余。</w:t>
      </w:r>
    </w:p>
    <w:p w14:paraId="3FA60CA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C2EC6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天津市东丽区发展和改革委员会2024年度无国有资本经营预算财政拨款收入、支出和结转结余。</w:t>
      </w:r>
    </w:p>
    <w:p w14:paraId="7475D5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293D5B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794B67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27,420.00元，支出决算27,420.00元，与2024年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41CDFB1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CAC4B2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4439C58D">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14:paraId="66B56BE5">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678FA8FC">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64648030">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A51341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0C6A8E9">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14:paraId="11456FE4">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27,420.00元，支出决算27,420.00元，与预算相比持平，完成预算的100.000%；支出决算较上年增加27,420.00元，增长100.000%。决算数与预算数持平的主要原因是按照正常收支进度完成相应工作；决算数较上年增加的主要原因是东西部协作职能划转，带来相应项目预算收支变化。</w:t>
      </w:r>
    </w:p>
    <w:p w14:paraId="3A6EF6FB">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2024年本单位国内公务接待11批次，279人次；其中，外事接待0批次，0人次。</w:t>
      </w:r>
    </w:p>
    <w:p w14:paraId="5FC9CE3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D51950E">
      <w:pPr>
        <w:widowControl/>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发展和改革委员会2024年度机关运行经费年初预算0.00元，决算数1,547,303.28元，与年初预算相比增加1,547,303.28元，完成年初预算的0.000%；比2023年增加155,362.36元，增长11.162%。主要原因是：正常人员变动产生的数据差额 。</w:t>
      </w:r>
    </w:p>
    <w:p w14:paraId="203CA9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FED64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天津市东丽区发展和改革委员会2024年度无政府采购支出。</w:t>
      </w:r>
    </w:p>
    <w:p w14:paraId="26EF855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470F7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天津市东丽区发展和改革委员会2024年度无国有资产占有使用情况。</w:t>
      </w:r>
    </w:p>
    <w:p w14:paraId="0E6F73A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F3DB67C">
      <w:pPr>
        <w:widowControl/>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根据预算绩效管理要求，天津市东丽区发展和改革委员会（本级）已对21个2024年度项目开展绩效自评，涉及金额29430631.40元，自评结果已随部门决算一并公开。天津市东丽区发展和改革委员会2024年度未开展部门评价。</w:t>
      </w:r>
    </w:p>
    <w:p w14:paraId="528B763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1E5352B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天津市东丽区发展和改革委员会不属于乡、镇、街级单位，不涉及公开2024年度教育、医疗卫生、社会保障和就业、住房保障、涉农补贴等民生支出情况。</w:t>
      </w:r>
    </w:p>
    <w:p w14:paraId="44EAE3A5">
      <w:pPr>
        <w:widowControl/>
        <w:spacing w:before="0" w:beforeLines="0" w:beforeAutospacing="0" w:after="0" w:afterLines="0" w:afterAutospacing="0" w:line="360" w:lineRule="auto"/>
        <w:jc w:val="center"/>
        <w:outlineLvl w:val="0"/>
        <w:rPr>
          <w:rFonts w:ascii="黑体" w:eastAsia="黑体"/>
          <w:b w:val="0"/>
          <w:sz w:val="44"/>
          <w:szCs w:val="44"/>
        </w:rPr>
      </w:pPr>
    </w:p>
    <w:p w14:paraId="49ECBEAB">
      <w:pPr>
        <w:widowControl/>
        <w:spacing w:before="0" w:beforeLines="0" w:beforeAutospacing="0" w:after="0" w:afterLines="0" w:afterAutospacing="0" w:line="360" w:lineRule="auto"/>
        <w:jc w:val="center"/>
        <w:outlineLvl w:val="0"/>
        <w:rPr>
          <w:rFonts w:ascii="黑体" w:eastAsia="黑体"/>
          <w:b w:val="0"/>
          <w:sz w:val="44"/>
          <w:szCs w:val="44"/>
        </w:rPr>
      </w:pPr>
    </w:p>
    <w:p w14:paraId="0EA8AB31">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3164D1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34A8C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A2536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F1CE877-3329-46D8-880F-47D80DD8A347}"/>
  </w:font>
  <w:font w:name="黑体">
    <w:panose1 w:val="02010609060101010101"/>
    <w:charset w:val="86"/>
    <w:family w:val="auto"/>
    <w:pitch w:val="default"/>
    <w:sig w:usb0="800002BF" w:usb1="38CF7CFA" w:usb2="00000016" w:usb3="00000000" w:csb0="00040001" w:csb1="00000000"/>
    <w:embedRegular r:id="rId2" w:fontKey="{7282D1BD-6ADF-46B1-B513-7DE75EC4DAB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E52CF94-871D-4EA3-96B3-118CA5EBD9C3}"/>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A93BF469-3870-402F-A2D4-501D1659C9C5}"/>
  </w:font>
  <w:font w:name="仿宋_GB2312">
    <w:panose1 w:val="02010609030101010101"/>
    <w:charset w:val="86"/>
    <w:family w:val="auto"/>
    <w:pitch w:val="default"/>
    <w:sig w:usb0="00000001" w:usb1="080E0000" w:usb2="00000000" w:usb3="00000000" w:csb0="00040000" w:csb1="00000000"/>
    <w:embedRegular r:id="rId5" w:fontKey="{ABEE47C0-75FF-4F44-BBF7-D9088CFA59B3}"/>
  </w:font>
  <w:font w:name="宋体-简">
    <w:altName w:val="宋体"/>
    <w:panose1 w:val="02010800040101010101"/>
    <w:charset w:val="86"/>
    <w:family w:val="auto"/>
    <w:pitch w:val="default"/>
    <w:sig w:usb0="00000000" w:usb1="00000000" w:usb2="00000000" w:usb3="00000000" w:csb0="00040000" w:csb1="00000000"/>
    <w:embedRegular r:id="rId6" w:fontKey="{5AD8A1C1-FEB0-40B1-A9A5-5FE7D4AF7400}"/>
  </w:font>
  <w:font w:name="楷体">
    <w:panose1 w:val="02010609060101010101"/>
    <w:charset w:val="86"/>
    <w:family w:val="auto"/>
    <w:pitch w:val="default"/>
    <w:sig w:usb0="800002BF" w:usb1="38CF7CFA" w:usb2="00000016" w:usb3="00000000" w:csb0="00040001" w:csb1="00000000"/>
    <w:embedRegular r:id="rId7" w:fontKey="{865B785A-6A07-40FC-9047-61433A7C43FD}"/>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A07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BCAD">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IsImhkaWQiOiJmOTg5NTljM2ZmNWIxYzY0MTcwMzMyZTlkNGIzNmVmNCIsInVzZXJDb3VudCI6M3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A81F9A"/>
    <w:rsid w:val="42BC7E02"/>
    <w:rsid w:val="42C82575"/>
    <w:rsid w:val="42D420F8"/>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595454"/>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46</Pages>
  <Words>11810</Words>
  <Characters>18462</Characters>
  <Lines>86</Lines>
  <Paragraphs>24</Paragraphs>
  <TotalTime>33</TotalTime>
  <ScaleCrop>false</ScaleCrop>
  <LinksUpToDate>false</LinksUpToDate>
  <CharactersWithSpaces>18738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2025-09-23T02:28:52Z</cp:lastPrinted>
  <dcterms:modified xsi:type="dcterms:W3CDTF">2025-09-23T03:09:56Z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