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40ADFFC">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天津市东丽区经济发展服务中心</w:t>
      </w:r>
    </w:p>
    <w:p w14:paraId="6E1EF732">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302A25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897B66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8F663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4DBEB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5B4C9F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6528B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2BDE9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04CD3A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95B3B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85A72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68F33C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411B8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F8B7A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DB393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1E21E5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62763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9AD2BB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AA4DC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91AFF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5634C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E41553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6AD832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12FF0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37E1F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E1D39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9E2CC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E0827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B97FD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5EDC8DA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DD4637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55B4D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EDBD13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1A79E3D">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16B46E4">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67356B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78638E4">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贯彻落实中央关于政府服务企业、信用体系建设、价格认定等工作的方针政策和中央、市委、区委关于政府服务企业、信用体系建设、价格认定等工作的决策部署，在履行职责过程中坚持和加强党对政府服务企业、信用体系建设、价格认定等工作的集中统一领导。主要职责是：（一）承担区域经济发展相关政策咨询服务保障工作，协助做好中小企业、重点企业等发展环境优化相关工作。（二）负责东丽区社会信用建设的综合协调和监督管理相关事务性工作，为有关部门和社会提供信息服务，统筹推进全区信用体系建设。（三）承担全区“双万双服促发展”活动牵头组织推动工作，协调解决企业发展相关问题。（四）按照相关工作制度和规则程序，接受有关国家机关申请的价格认定工作。（五）承担主管部门交办的其他事项。</w:t>
      </w:r>
    </w:p>
    <w:p w14:paraId="2BBD265C">
      <w:pPr>
        <w:widowControl/>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天津市东丽区经济发展服务中心内设3个职能部门；下辖0个预算单位。纳入天津市东丽区经济发展服务中心2024年度部门决算编制范围的单位包括：</w:t>
      </w:r>
    </w:p>
    <w:p w14:paraId="1B31D766">
      <w:pPr>
        <w:widowControl/>
        <w:spacing w:before="0" w:beforeLines="0" w:beforeAutospacing="0" w:after="0" w:afterLines="0" w:afterAutospacing="0" w:line="240" w:lineRule="auto"/>
        <w:ind w:firstLine="600" w:firstLineChars="200"/>
        <w:jc w:val="both"/>
        <w:rPr>
          <w:rFonts w:ascii="Times New Roman" w:eastAsia="仿宋_GB2312"/>
          <w:sz w:val="30"/>
          <w:szCs w:val="30"/>
        </w:rPr>
      </w:pPr>
    </w:p>
    <w:p w14:paraId="2882715C">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1.​天津市东丽区经济发展服务中心</w:t>
      </w:r>
    </w:p>
    <w:p w14:paraId="498B519F">
      <w:pPr>
        <w:widowControl/>
        <w:spacing w:line="600" w:lineRule="exact"/>
        <w:jc w:val="both"/>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F4779C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209.12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3,215,594.33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209.12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3,233,973.95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3,233,973.95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3,215,594.33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3,215,385.21</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2,054,747.65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2,054,538.53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74DB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B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74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发展与改革事务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0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2,054,747.65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D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2,054,538.53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0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8C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4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B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F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3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3CCD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B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37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F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2,054,747.65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FC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2,054,538.53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5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C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E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F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D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466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11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D2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00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323,658.24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D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323,658.24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9A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0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B1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D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3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04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4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AE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3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323,658.24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D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323,658.24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9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4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F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23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F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7C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52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FF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DC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C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215,772.16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0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215,772.16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F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E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9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B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E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98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2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4B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4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107,886.08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B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107,886.08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4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C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2A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1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E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81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A2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BE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0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2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2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F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2F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D5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7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E7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C3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FF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A1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5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D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D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8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8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2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5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40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88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6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0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D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0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B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6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6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2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2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19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42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F8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72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3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DC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06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B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A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3F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818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BA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51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2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A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6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B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B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1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2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69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5E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2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B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4B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689,242.00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9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6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EF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5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0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2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部门（单位）：天津市东丽区经济发展服务中心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3,233,973.95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3,215,594.33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3,215,385.21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209.12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天津市东丽区经济发展服务中心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3,233,973.95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3,215,594.33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3,215,385.21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209.12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18,379.62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A6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37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90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A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8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B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F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9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3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4E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0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12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4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4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D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A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0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E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4F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D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A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8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0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C3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C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57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8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7D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B5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B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9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02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2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8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2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5E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99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32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6E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6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215,772.16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91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215,772.16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4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4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4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B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AE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6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5F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0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107,886.08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A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107,886.08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6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5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4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2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3B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6D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4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E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A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2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B9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0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4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93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8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3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00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33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6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7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1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03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F0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6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5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B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0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C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2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3A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F2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0B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2A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9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1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9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E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8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0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22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2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B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E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D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B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B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89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B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BC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16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3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1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88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D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B4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F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2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323,658.24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689,242.00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3,215,385.21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18,379.62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3,233,764.83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3,233,764.83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3,233,764.83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天津市东丽区经济发展服务中心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3,215,385.21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3,215,385.21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2,960,366.23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1,799,519.55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64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B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1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发展与改革事务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66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EF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77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1,799,519.55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FB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45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7A9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C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F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0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B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A9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1,799,519.55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45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47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B6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2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C6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0E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E3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36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8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DF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0DF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0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BA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BF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21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39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323,658.24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3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2C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AE3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3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BE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CF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215,772.16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B3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215,772.16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68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215,772.16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9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78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5B7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C6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F5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24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107,886.08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4E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107,886.08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6D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107,886.08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4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21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D29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65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D7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5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0B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05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01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65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92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9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2F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4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E5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79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C9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38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64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9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E2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FF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D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EC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E1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D9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10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5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5A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EB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46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E8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7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94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C9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4B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C6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B9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E8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7D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9C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3B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72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D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8C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A8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0C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F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689,242.00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34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A7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2,960,246.23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255,018.98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636,729.00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74,403.00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331,269.00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777,461.00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215,772.16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107,886.08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134,858.44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9,440.55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729,242.00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29,083.20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13,864.00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22,998.78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2,960,366.23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255,018.98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天津市东丽区经济发展服务中心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75AA0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天津市东丽区经济发展服务中心2024年政府性基金预算财政拨款收入支出决算表为空表。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天津市东丽区经济发展服务中心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612F4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天津市东丽区经济发展服务中心2024年国有资本经营预算财政拨款收入支出决算表为空表。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E09B2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天津市东丽区经济发展服务中心2024年财政拨款“三公”经费支出决算表为空表。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部门（单位）：天津市东丽区经济发展服务中心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57BDE3">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天津市东丽区经济发展服务中心2024年项目支出决算表为空表。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5CE02A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5C3F6A0">
      <w:pPr>
        <w:widowControl/>
        <w:spacing w:before="0" w:beforeLines="0" w:beforeAutospacing="0" w:after="0" w:afterLines="0" w:afterAutospacing="0" w:line="360" w:lineRule="auto"/>
        <w:jc w:val="center"/>
        <w:outlineLvl w:val="0"/>
        <w:rPr>
          <w:rFonts w:ascii="黑体" w:eastAsia="黑体"/>
          <w:sz w:val="44"/>
          <w:szCs w:val="44"/>
        </w:rPr>
      </w:pPr>
      <w:bookmarkStart w:id="0" w:name="_GoBack"/>
      <w:r>
        <w:rPr>
          <w:rFonts w:ascii="黑体" w:eastAsia="黑体"/>
          <w:b w:val="0"/>
          <w:sz w:val="44"/>
          <w:szCs w:val="44"/>
        </w:rPr>
        <w:t>第三部分  2024年度部门决算情况说明</w:t>
      </w:r>
    </w:p>
    <w:bookmarkEnd w:id="0"/>
    <w:p w14:paraId="3DC6B610">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一、收入支出决算总体情况说明</w:t>
      </w:r>
    </w:p>
    <w:p w14:paraId="2F78BE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天津市东丽区经济发展服务中心2024年度收入、支出决算总计3,233,973.95元。与2023年度相比，收、支总计各增加35,777.17元，增长1.119%，主要原因是正常人员变动产生的数据差额。</w:t>
      </w:r>
    </w:p>
    <w:p w14:paraId="3AE6158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收入包括：一般公共预算财政拨款收入3,215,385.21元、其他收入209.12元。</w:t>
      </w:r>
    </w:p>
    <w:p w14:paraId="6E96D73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支出包括：一般公共服务支出2,054,538.53元、社会保障和就业支出323,658.24元、卫生健康支出147,946.44元、住房保障支出689,242.00元。</w:t>
      </w:r>
    </w:p>
    <w:p w14:paraId="15807A07">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二、收入决算情况说明</w:t>
      </w:r>
    </w:p>
    <w:p w14:paraId="7336D05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天津市东丽区经济发展服务中心2024年度本年收入合计3,215,594.33元，与2023年度相比增加153,410.77元，主要原因是正常人员变动产生的数据差额。其中：</w:t>
      </w:r>
    </w:p>
    <w:p w14:paraId="4FA618B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一般公共预算财政拨款收入3,215,385.21元，占99.993%；其他收入209.12元，占0.007%。</w:t>
      </w:r>
    </w:p>
    <w:p w14:paraId="628B1B4A">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三、支出决算情况说明</w:t>
      </w:r>
    </w:p>
    <w:p w14:paraId="26C36AC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天津市东丽区经济发展服务中心2024年度本年支出合计3,215,385.21元，与2023年度相比增加124,543.82元，主要原因是正常人员变动产生的数据差额。其中：</w:t>
      </w:r>
    </w:p>
    <w:p w14:paraId="60CDE1B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基本支出3,215,385.21元，占100.000%。</w:t>
      </w:r>
    </w:p>
    <w:p w14:paraId="6BB481F5">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四、财政拨款收支决算总体情况说明</w:t>
      </w:r>
    </w:p>
    <w:p w14:paraId="1AE4D1F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天津市东丽区经济发展服务中心2024年度财政拨款收入、支出决算总计3,233,764.83元。与2023年度相比，财政拨款收、支总计各增加35,834.71元，增长1.121%，主要原因是正常人员变动产生的数据差额。</w:t>
      </w:r>
    </w:p>
    <w:p w14:paraId="7910436C">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收入包括：一般公共预算财政拨款3,215,385.21元、年初财政拨款结转和结余18,379.62元。</w:t>
      </w:r>
    </w:p>
    <w:p w14:paraId="7D622D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支出包括：一般公共服务支出2,054,538.53元、社会保障和就业支出323,658.24元、卫生健康支出147,946.44元、住房保障支出689,242.00元。</w:t>
      </w:r>
    </w:p>
    <w:p w14:paraId="62696F64">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五、一般公共预算财政拨款支出决算情况说明</w:t>
      </w:r>
    </w:p>
    <w:p w14:paraId="12182C2E">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4E5420B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部门决算一般公共预算财政拨款支出合计3,215,385.21元，占本年支出合计的100.000%。与2023年度相比，一般公共预算财政拨款支出增加124,543.82元，增长4.029%，主要原因是正常人员变动产生的数据差额。</w:t>
      </w:r>
    </w:p>
    <w:p w14:paraId="3151C544">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（二）支出结构情况</w:t>
      </w:r>
    </w:p>
    <w:p w14:paraId="6C108DE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3,215,385.21元，主要用于以下方面：一般公共服务支出（类）2,054,538.53元，占63.897%；社会保障和就业支出（类）323,658.24元，占10.066%；卫生健康支出（类）147,946.44元，占4.601%；住房保障支出（类）689,242.00元，占21.436%。</w:t>
      </w:r>
    </w:p>
    <w:p w14:paraId="75A077B2">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（三）具体情况</w:t>
      </w:r>
    </w:p>
    <w:p w14:paraId="5CEA88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2024年度一般公共预算财政拨款支出年初预算为3,252,930.02元，支出决算为3,215,385.21元，完成年初预算的98.846%。其中： </w:t>
      </w:r>
    </w:p>
    <w:p w14:paraId="31D45AB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1.​一般公共服务支出(类)发展与改革事务(款)事业运行(项)年初预算为2,007,500.00元，支出决算为2,054,538.53元，完成年初预算的102.343%，决算数大于年初预算数的主要原因是：正常人员变动产生的数据差额。</w:t>
      </w:r>
    </w:p>
    <w:p w14:paraId="6AFCDB5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222,900.00元，支出决算为215,772.16元，完成年初预算的96.802%，决算数小于年初预算数的主要原因是：正常人员变动产生的数据差额。</w:t>
      </w:r>
    </w:p>
    <w:p w14:paraId="3DF293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111,400.00元，支出决算为107,886.08元，完成年初预算的96.846%，决算数小于年初预算数的主要原因是：正常人员变动产生的数据差额。</w:t>
      </w:r>
    </w:p>
    <w:p w14:paraId="3808185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4.​卫生健康支出(类)行政事业单位医疗(款)事业单位医疗(项)年初预算为153,000.00元，支出决算为147,946.44元，完成年初预算的96.697%，决算数小于年初预算数的主要原因是：正常人员变动产生的数据差额。</w:t>
      </w:r>
    </w:p>
    <w:p w14:paraId="68ABE94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5.​住房保障支出(类)住房改革支出(款)住房公积金(项)年初预算为758,200.00元，支出决算为689,242.00元，完成年初预算的90.905%，决算数小于年初预算数的主要原因是：正常人员变动产生的数据差额。</w:t>
      </w:r>
    </w:p>
    <w:p w14:paraId="5743CDEC">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六、一般公共预算财政拨款基本支出决算情况说明</w:t>
      </w:r>
    </w:p>
    <w:p w14:paraId="240E4CD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天津市东丽区经济发展服务中心2024年度部门决算一般公共预算财政拨款基本支出合计3,215,385.21元，与2023年度相比增加124,543.82元，主要原因是正常人员变动产生的数据差额。其中：</w:t>
      </w:r>
    </w:p>
    <w:p w14:paraId="4054320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2,960,366.23元，主要包括基本工资、津贴补贴、绩效工资、机关事业单位基本养老保险缴费、职业年金缴费、职工基本医疗保险缴费、其他社会保障缴费、住房公积金、医疗费、其他工资福利支出和奖励金。</w:t>
      </w:r>
    </w:p>
    <w:p w14:paraId="5A73F9E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公用经费255,018.98元，主要包括办公费、手续费、电费、差旅费、培训费、委托业务费、工会经费、福利费、其他交通费用、税金及附加费用和其他商品和服务支出。</w:t>
      </w:r>
    </w:p>
    <w:p w14:paraId="79E766F5">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七、政府性基金预算财政拨款收支决算情况说明</w:t>
      </w:r>
    </w:p>
    <w:p w14:paraId="77A89E9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天津市东丽区经济发展服务中心2024年度无政府性基金预算财政拨款收入、支出和结转结余。</w:t>
      </w:r>
    </w:p>
    <w:p w14:paraId="67CF4DCC">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八、国有资本经营预算财政拨款收支决算情况说明</w:t>
      </w:r>
    </w:p>
    <w:p w14:paraId="61F3950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天津市东丽区经济发展服务中心2024年度无国有资本经营预算财政拨款收入、支出和结转结余。</w:t>
      </w:r>
    </w:p>
    <w:p w14:paraId="6E0FEE64">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九、财政拨款“三公”经费支出决算情况说明</w:t>
      </w:r>
    </w:p>
    <w:p w14:paraId="3C7958EE">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40C5E51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4766D5D6">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（二）具体情况</w:t>
      </w:r>
    </w:p>
    <w:p w14:paraId="3CA8C36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26BC71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1A5324C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124F728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A6734C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845F1E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3D0845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05468B9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60711B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13B44D2">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十、机关运行经费支出情况说明</w:t>
      </w:r>
    </w:p>
    <w:p w14:paraId="54DC43F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天津市东丽区经济发展服务中心2024年度无机关运行经费。</w:t>
      </w:r>
    </w:p>
    <w:p w14:paraId="2039AD88">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十一、政府采购支出情况说明</w:t>
      </w:r>
    </w:p>
    <w:p w14:paraId="18A75F1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天津市东丽区经济发展服务中心2024年度无政府采购支出。</w:t>
      </w:r>
    </w:p>
    <w:p w14:paraId="05EADF4E">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十二、国有资产占有使用情况说明</w:t>
      </w:r>
    </w:p>
    <w:p w14:paraId="38690D5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天津市东丽区经济发展服务中心2024年度无国有资产占有使用情况。</w:t>
      </w:r>
    </w:p>
    <w:p w14:paraId="4B5D28C9">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十三、预算绩效情况说明</w:t>
      </w:r>
    </w:p>
    <w:p w14:paraId="1EB01729">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天津市东丽区经济发展服务中心2024年度没有项目支出，无需开展绩效自评。</w:t>
      </w:r>
    </w:p>
    <w:p w14:paraId="25728ACA">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201266B">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天津市东丽区经济发展服务中心不属于乡、镇、街级单位，不涉及公开2024年度教育、医疗卫生、社会保障和就业、住房保障、涉农补贴等民生支出情况。</w:t>
      </w:r>
    </w:p>
    <w:p w14:paraId="1ED652F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06840E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902B82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904B1C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jc w:val="both"/>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8F5C24-87C0-4549-8BC5-84B51C1ECC03}"/>
  </w:font>
  <w:font w:name="黑体">
    <w:panose1 w:val="02010609060101010101"/>
    <w:charset w:val="86"/>
    <w:family w:val="auto"/>
    <w:pitch w:val="default"/>
    <w:sig w:usb0="800002BF" w:usb1="38CF7CFA" w:usb2="00000016" w:usb3="00000000" w:csb0="00040001" w:csb1="00000000"/>
    <w:embedRegular r:id="rId2" w:fontKey="{424BE7F7-506F-4243-AA4A-8B9A8EE8BC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6B352BE6-6112-4FBF-AEE4-F6ED8E622264}"/>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9FB2227C-7DAB-4709-8D6F-C6B1FFB49024}"/>
  </w:font>
  <w:font w:name="仿宋_GB2312">
    <w:panose1 w:val="02010609030101010101"/>
    <w:charset w:val="86"/>
    <w:family w:val="auto"/>
    <w:pitch w:val="default"/>
    <w:sig w:usb0="00000001" w:usb1="080E0000" w:usb2="00000000" w:usb3="00000000" w:csb0="00040000" w:csb1="00000000"/>
    <w:embedRegular r:id="rId5" w:fontKey="{32D219AB-FBAD-4105-B432-9BC82C7B00FD}"/>
  </w:font>
  <w:font w:name="宋体-简">
    <w:altName w:val="宋体"/>
    <w:panose1 w:val="02010800040101010101"/>
    <w:charset w:val="86"/>
    <w:family w:val="auto"/>
    <w:pitch w:val="default"/>
    <w:sig w:usb0="00000000" w:usb1="00000000" w:usb2="00000000" w:usb3="00000000" w:csb0="00040000" w:csb1="00000000"/>
    <w:embedRegular r:id="rId6" w:fontKey="{0C83F7F0-612F-491D-89AA-C5E2D1BCC878}"/>
  </w:font>
  <w:font w:name="楷体">
    <w:panose1 w:val="02010609060101010101"/>
    <w:charset w:val="86"/>
    <w:family w:val="auto"/>
    <w:pitch w:val="default"/>
    <w:sig w:usb0="800002BF" w:usb1="38CF7CFA" w:usb2="00000016" w:usb3="00000000" w:csb0="00040001" w:csb1="00000000"/>
    <w:embedRegular r:id="rId7" w:fontKey="{D7B38C51-594A-4F0F-93E9-183DF9C7674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3D0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B73A">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mOTg5NTljM2ZmNWIxYzY0MTcwMzMyZTlkNGIzNmVmNC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070158"/>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B723B6"/>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7535</Words>
  <Characters>10397</Characters>
  <Lines>86</Lines>
  <Paragraphs>24</Paragraphs>
  <TotalTime>12</TotalTime>
  <ScaleCrop>false</ScaleCrop>
  <LinksUpToDate>false</LinksUpToDate>
  <CharactersWithSpaces>10670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2025-09-23T03:27:22Z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6D022A13D551493FA019159970DBFF26_13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