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left"/>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left"/>
        <w:rPr>
          <w:rFonts w:hint="eastAsia" w:asciiTheme="minorEastAsia" w:hAnsiTheme="minorEastAsia" w:eastAsiaTheme="minorEastAsia" w:cstheme="minorEastAsia"/>
          <w:b w:val="0"/>
          <w:bCs w:val="0"/>
          <w:color w:val="000000"/>
          <w:sz w:val="22"/>
          <w:szCs w:val="22"/>
        </w:rPr>
      </w:pPr>
    </w:p>
    <w:p w14:paraId="35F3F732">
      <w:pPr>
        <w:spacing w:line="600" w:lineRule="auto"/>
        <w:jc w:val="center"/>
        <w:rPr>
          <w:rFonts w:hint="eastAsia" w:asciiTheme="minorEastAsia" w:hAnsiTheme="minorEastAsia" w:eastAsiaTheme="minorEastAsia" w:cstheme="minorEastAsia"/>
          <w:b w:val="0"/>
          <w:bCs w:val="0"/>
          <w:color w:val="000000"/>
          <w:sz w:val="22"/>
          <w:szCs w:val="22"/>
        </w:rPr>
      </w:pPr>
    </w:p>
    <w:p w14:paraId="1D33B2E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天津市东丽区发展和改革委员会（本级）</w:t>
      </w:r>
    </w:p>
    <w:p w14:paraId="6B44EBB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left"/>
        <w:rPr>
          <w:rFonts w:hint="eastAsia" w:asciiTheme="minorEastAsia" w:hAnsiTheme="minorEastAsia" w:eastAsiaTheme="minorEastAsia" w:cstheme="minorEastAsia"/>
          <w:b w:val="0"/>
          <w:bCs w:val="0"/>
          <w:color w:val="000000"/>
          <w:sz w:val="22"/>
          <w:szCs w:val="22"/>
        </w:rPr>
      </w:pPr>
    </w:p>
    <w:p w14:paraId="4437E50E">
      <w:pPr>
        <w:spacing w:line="600" w:lineRule="auto"/>
        <w:jc w:val="left"/>
        <w:rPr>
          <w:rFonts w:hint="eastAsia" w:asciiTheme="minorEastAsia" w:hAnsiTheme="minorEastAsia" w:eastAsiaTheme="minorEastAsia" w:cstheme="minorEastAsia"/>
          <w:b w:val="0"/>
          <w:bCs w:val="0"/>
          <w:color w:val="000000"/>
          <w:sz w:val="22"/>
          <w:szCs w:val="22"/>
        </w:rPr>
      </w:pPr>
    </w:p>
    <w:p w14:paraId="4B15A028">
      <w:pPr>
        <w:spacing w:line="600" w:lineRule="auto"/>
        <w:jc w:val="left"/>
        <w:rPr>
          <w:rFonts w:hint="eastAsia" w:asciiTheme="minorEastAsia" w:hAnsiTheme="minorEastAsia" w:eastAsiaTheme="minorEastAsia" w:cstheme="minorEastAsia"/>
          <w:b w:val="0"/>
          <w:bCs w:val="0"/>
          <w:color w:val="000000"/>
          <w:sz w:val="22"/>
          <w:szCs w:val="22"/>
        </w:rPr>
      </w:pPr>
    </w:p>
    <w:p w14:paraId="6DFD9925">
      <w:pPr>
        <w:jc w:val="left"/>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531881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A0331D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23901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D23A0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7D43CC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17DC4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5267E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17002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D1ECD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D000B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7FEA9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858AC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A25B4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69180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E5370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1AA772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DE100C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17C13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B871C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414729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137A2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60F6C6B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E9899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79EDC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7669D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2BBB9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1547B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A1341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59FBE2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E2703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A28CB4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205CC8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jc w:val="left"/>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1F173AAF">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D43972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FD7E09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7B3CB4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国民经济和社会发展、经济体制改革和对外开放等方面的法律、法规、规章和方针政策。拟订相关规范性文件，并组织实施。（二）提出本区加快建设现代化经济体系、推动高质量发展的工作目标、重大任务及相关政策。（三）拟订并组织实施全区国民经济和社会发展战略、中长期规划和年度计划。拟订非公有制经济发展战略和中长期规划，服务促进非公有制经济发展。负责区级专项规划、区域规划、空间规划与本区发展规划的统筹衔接。统筹协调经济社会发展，研究分析国内外和全区经济形势，提出经济社会发展和优化重大经济结构的目标、综合运用各种调控手段的建议。受区政府委托向区人大提交国民经济和社会发展计划的报告。牵头组织重大、较大、一般自然灾害后恢复重建的规划和编制，协调有关重大问题。（四）贯彻执行国家和本市粮食流通的法律、法规和方针、政策。起草或拟订相关规范文件，并组织实施和监督检查。拟订全区粮食调控、总量平衡以及粮食流通中的中长期规划和年度计划，并组织实施区级储备粮食和生活救助类救灾物资的收储、轮换和日常管理。负责本区粮食储备基础设施建设和管理工作。负责本区粮食流通行业管理。（五）统筹提出本区国民经济和社会发展主要目标，监测预测预警经济和社会发展态势趋势，综合协调经济政策，牵头研究提出应对措施建议，协调解决经济运行中的重大问题。跟踪研判涉及经济安全、生态安全、资源安全、科技安全、社会安全等各类风险隐患，提出相关工作建议。协调推动第一二三产业发展重大问题，并统筹衔接相关发展规划和重大政策。综合研判消费变动趋势，会同有关部门拟订实施促进消费的相关政策措施。（六）指导推进和综合协调经济体制改革相关工作。牵头推进供给侧结构性改革。协调推进完善产权保护制度和要素市场化配置改革，推动完善基本制度和现代化市场体系建设，会同有关部门组织实施市场准入负面清单。（七）牵头推进实施“一带一路”建设。推进统筹协调走出去有关工作，会同有关部门实施外商投资准入负面清单。负责本区外债监测等工作。（八）负责投资综合管理，拟订本区固定资产投资总规模和投资结构调控目标、政策措施，对需要安排区政府投资和涉及重大建设项目的专项规划进行衔接平衡。组织拟订区政府投资项目计划，并推动实施。规划重大建设项目和生产力布局，会同有关部门研究拟订区政府重大项目融资方案。拟订并推动落实鼓励民间投资政策措施。（九）落实区域发展战略和新型城镇化战略，统筹推进本区区域发展，组织编制并实施新型城镇化规划，参与研究房地产发展和保障性住房建设的政策意见。（十）推动实施创新驱动发展战略。会同有关部门拟订推动创新创业的规划和政策，提出创新发展和培育经济发展新动能的政策。会同有关部门规划布局本区重大科技基础设施。组织拟订并推动实施高科技产业和战略性新兴产业发展规划政策，协调产业升级、重大技术装备推广应用等方面的重大问题。（十一）负责社会发展与国民经济发展的政策衔接，研究拟定人口发展规划和人口政策，协调科技、教育、文化、卫生、体育、旅游、民政、社会管理等领域发展工作，推进社会事业建设。研究提出促进就业、调整收入分配、完善社会保障与经济协调发展的政策建议。负责本区社会信用体系建设的综合协调和监督管理工作。（十二）会同有关部门拟定经济建设与国防建设协调发展的战略和规划，协调有关重大问题。组织编制本区国民经济动员规划，协调和组织实施有关工作。（十三）推进实施可持续发展战略，推动生态文明建设和改革，组织落实碳达峰碳中和工作部署安排，协调推进相关工作。综合协调环保产业，综合管理全区节能工作，指导节能监察工作，组织、协调和指导清洁生产促进有关工作。组织拟定并实施能源发展规划、能源结构调整政策措施，承担实施新能源、可再生能源政策有关工作，负责本区行政区域内石油、天然气长输管道（不含城镇燃气管道和炼油、化工等企业厂区内管道）保护工作。（十四）负责组织研究拟订我区“京津冀协同发展”相关规划、计划、方案和综合性政策措施，统筹推进落实京津冀协同发展各项任务。（十五）负责组织开展东西部协作、对口支援合作，统筹有关帮扶政策、财政资金支持和项目安排。（十六）负责开展辖区内与群众生活密切相关的商品和服务价格监测，开展应急监测，分析预警价格总水平变动情况，负责行政事业性和经营服务性收费的管理，贯彻落实收费政策，规范收费行为，提出价格调控政策建议。制定和调整本级定价权限范围内重要商品和服务价格。开展重要农产品、重要商品和服务项目成本调查工作，实施本级定价权限范围内的成本监审工作。（十七）负责本领域安全生产管理工作。（十八）负责本领域人才队伍建设。（十九）组织推动本领域招商引资工作。（二十）承办区委、区政府交办的其他事项。</w:t>
      </w:r>
    </w:p>
    <w:p w14:paraId="631523B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79F1B93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天津市东丽区发展和改革委员会（本级）内设八个职能部门；下辖0个预算单位。纳入天津市东丽区发展和改革委员会（本级）2024年度部门决算编制范围的单位包括：</w:t>
      </w:r>
    </w:p>
    <w:p w14:paraId="3CC9421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1.​天津市东丽区发展和改革委员会（本级）</w:t>
      </w:r>
    </w:p>
    <w:p w14:paraId="2BC75265">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36791B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jc w:val="left"/>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left"/>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516.04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39,930,433.74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39,930,742.70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514,716.86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514,407.90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8,252.15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40,445,150.60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40,445,150.60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jc w:val="left"/>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left"/>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left"/>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left"/>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left"/>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left"/>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left"/>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39,930,433.74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39,929,917.70</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9,992,086.60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9,991,570.56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30D1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F0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1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发展与改革事务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C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9,992,086.60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85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9,991,570.56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8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3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E0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43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D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53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52FD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C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9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0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6,862,089.60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A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6,861,573.56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A4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D8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14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9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8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6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1864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11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62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AE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4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B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F8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E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D1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60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6B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B9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ED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物价管理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1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F0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A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5F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F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13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B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8A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EC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17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其他发展与改革事务支出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E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79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7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1D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DF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B0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71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67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A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1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C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79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5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B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B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4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C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C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0D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8E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A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EA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2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D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02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3B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F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E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B4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33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F7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1B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A0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E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2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85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9A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07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0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FF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7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DB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1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1B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11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A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F8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A6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EA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B2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9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D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1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D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D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09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D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A0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3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B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12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1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0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1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661,764.80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F7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661,764.80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7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18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A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5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A9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8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1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1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330,882.40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A5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330,882.40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4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12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E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C4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4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9D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AE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AA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16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26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60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3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EB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B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31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5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8E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2B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9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50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B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1F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2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88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A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1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1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2D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8F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DB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18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A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4D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21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C4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5B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8A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07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A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7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6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6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E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14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5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41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1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D3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6C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2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F2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99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A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40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9A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59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6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E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99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74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污染防治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0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30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0E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9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E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D7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B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0F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89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A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大气</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1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B0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16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7F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B7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AE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17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6B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7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F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A3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C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D8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0B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40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2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7E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E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29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8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2A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3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3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8D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A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B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D3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09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8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6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B0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F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3B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90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85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A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3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50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C0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C5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67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D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84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B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EE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7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CD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6C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3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D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B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90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其他城乡社区公共设施支出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7B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0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2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0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3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F7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BD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0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34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D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4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23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0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6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E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1C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6A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E2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29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56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4D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7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5A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45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1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C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5E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2E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3B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13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1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1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9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B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C9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C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57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8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25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44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E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F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E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9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10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E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57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E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10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A0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8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5F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72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0C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5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6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F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A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13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096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1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7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D9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A0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1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0D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1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A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CB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5A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8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E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B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0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2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F6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1A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61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E2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3B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8B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73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B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B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8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F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3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05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6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A1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2F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C9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1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F1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粮食风险基金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8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0B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5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19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E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5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F5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70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22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2D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其他粮油物资事务支出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74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0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F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C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C6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1D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63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部门（单位）：天津市东丽区发展和改革委员会（本级） </w:t>
            </w:r>
          </w:p>
        </w:tc>
        <w:tc>
          <w:tcPr>
            <w:tcW w:w="245" w:type="pct"/>
            <w:tcBorders>
              <w:top w:val="nil"/>
              <w:left w:val="nil"/>
              <w:bottom w:val="nil"/>
              <w:right w:val="nil"/>
            </w:tcBorders>
            <w:shd w:val="clear" w:color="auto" w:fill="auto"/>
            <w:noWrap/>
            <w:vAlign w:val="bottom"/>
          </w:tcPr>
          <w:p w14:paraId="49E32D13">
            <w:pPr>
              <w:jc w:val="left"/>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jc w:val="left"/>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jc w:val="left"/>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jc w:val="left"/>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jc w:val="left"/>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jc w:val="left"/>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jc w:val="left"/>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jc w:val="left"/>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jc w:val="left"/>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jc w:val="left"/>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left"/>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left"/>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left"/>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left"/>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left"/>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left"/>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left"/>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left"/>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left"/>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left"/>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left"/>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40,445,150.60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39,930,433.74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39,929,917.70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516.04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514,716.86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天津市东丽区发展和改革委员会（本级）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40,445,150.60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39,930,433.74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39,929,917.70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516.04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514,716.86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left"/>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left"/>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left"/>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left"/>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39,930,742.70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10,500,111.30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6,889,818.56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AB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EB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3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7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4A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6,889,818.56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E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12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C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52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D2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3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A9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03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1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E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B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70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1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E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9D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E6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2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1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9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1C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82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9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A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54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F1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D8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0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8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0B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D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E1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B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2,072,005.00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D4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B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9B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7B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31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EA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D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DA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26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27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1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C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A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CE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83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AE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8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2E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7E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6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C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C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9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D7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9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98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E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E8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4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A9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F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B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43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5C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76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CF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5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05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05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56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3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6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87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0B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1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88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6F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E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7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58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4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9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4F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D3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1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1C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1C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8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74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3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1F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1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55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6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C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A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97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79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77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EC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B4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EC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7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0E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1A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0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BC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C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A0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09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B2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0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69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8D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8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9E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B7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01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D5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9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A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A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34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A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43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11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DF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A6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7C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5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95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C8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E9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AD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79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6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68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2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21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7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3E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7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66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E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7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1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D8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B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4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1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36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9B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7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F1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E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E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9C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A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80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38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A6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A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EB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4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2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7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82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4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B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4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9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7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6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E1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5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64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0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C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5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6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C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8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BE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8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4A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6A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7E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0C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7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12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A4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7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A1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B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8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59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6F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7E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5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D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13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5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8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0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B1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1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2E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1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3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A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1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B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6D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F6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3B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3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5E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14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61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46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26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7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0C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5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ED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8F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9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DB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DD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4C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AF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1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B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98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B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9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16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B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BF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32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3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4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94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5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7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9B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9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8A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F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D0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A1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57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7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E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20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7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7D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E1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2D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3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C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FC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E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E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7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02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8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E6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2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A0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2D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9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E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08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FD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E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7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3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D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AB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9,991,570.56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9,991,570.56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left"/>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left"/>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39,929,917.70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10,499,286.30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8,951,983.02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29,430,631.40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9,991,570.56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6,888,993.56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1036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D5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2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发展与改革事务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0E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9,991,570.56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0F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6,888,993.56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71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E6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B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416A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8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A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3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94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5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5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1,519,883.28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75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C1D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9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8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1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C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71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E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r>
      <w:tr w14:paraId="44B0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8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06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物价管理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0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6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6B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9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r>
      <w:tr w14:paraId="4A0E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7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A5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其他发展与改革事务支出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3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2,072,005.00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E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3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6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8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2,044,585.00</w:t>
            </w:r>
          </w:p>
        </w:tc>
      </w:tr>
      <w:tr w14:paraId="04F1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7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2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1C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4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E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B8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75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1076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4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48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9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E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A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5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50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7E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F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B4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A6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3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C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E7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B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D43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A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8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79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7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71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A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DA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D3C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F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5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0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9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F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3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7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1A66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4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98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0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A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D9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C4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F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4F1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2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C6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D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6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A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A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C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2232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2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9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B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62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00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D2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C58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6B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0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A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1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F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4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B8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33FB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5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5E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4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2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F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CE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8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2F20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0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6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32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7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6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1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A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335D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BF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1B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83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AD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98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9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0B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r>
      <w:tr w14:paraId="368F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5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3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污染防治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8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D7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A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07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7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53CC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46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大气</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2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5E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0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85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56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484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8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5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19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51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6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B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D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1748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0F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3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C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4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9A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4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F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70B1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2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1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82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2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2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D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8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4EE3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B7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6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7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27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5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9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7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1C76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6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3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其他城乡社区公共设施支出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9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9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C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3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F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486E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F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7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9A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2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F2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B0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ED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4E81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E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2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8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0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F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0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098E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7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3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F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0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D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7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6A34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9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E5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9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2D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E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98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1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45F5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3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5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1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24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3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F9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0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5C5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6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2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6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B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4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1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64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DAB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B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F6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D5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4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5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99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A3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4836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CA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6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E3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7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C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0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5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4CEB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A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C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粮食风险基金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8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F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F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A2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r>
      <w:tr w14:paraId="59AC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0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04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其他粮油物资事务支出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91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08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1F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A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6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8,498,348.32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1,547,303.28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1,469,154.40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96,506.10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1,998,586.80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1,398,515.00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562.30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6,177.80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203,252.00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8,272.38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21,160.00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15,941.00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13,527.00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235,956.00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453,634.70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186,181.20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217,848.50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32,950.00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65,488.80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68,208.00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278,890.00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76,472.28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173,333.00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8,951,983.02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1,547,303.28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left"/>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left"/>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left"/>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8842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天津市东丽区发展和改革委员会（本级）2024年政府性基金预算财政拨款收入支出决算表为空表。</w:t>
      </w:r>
    </w:p>
    <w:p w14:paraId="1B989249">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left"/>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left"/>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left"/>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8DF46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天津市东丽区发展和改革委员会（本级）2024年国有资本经营预算财政拨款收入支出决算表为空表。</w:t>
      </w:r>
    </w:p>
    <w:p w14:paraId="25B7E058">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left"/>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left"/>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left"/>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1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714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1022" w:type="pct"/>
            <w:tcBorders>
              <w:top w:val="nil"/>
              <w:left w:val="nil"/>
              <w:bottom w:val="single" w:color="000000" w:sz="4" w:space="0"/>
              <w:right w:val="single" w:color="000000" w:sz="4" w:space="0"/>
            </w:tcBorders>
            <w:shd w:val="clear" w:color="auto" w:fill="auto"/>
            <w:noWrap/>
            <w:vAlign w:val="center"/>
          </w:tcPr>
          <w:p w14:paraId="2CDD9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4CF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E10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823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1539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4CE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1BB3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20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96DB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3272B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CAD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7FC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D54B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F0D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6C718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782F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C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1FF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7A0382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90F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148,802.00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55EE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148,802.00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47D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28D9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7C6D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77D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8D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1466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14ADE9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B93A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192,362.00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6B6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192,362.00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9351E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694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63E9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9CFC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72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912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28520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0F4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526,806.00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E7C0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526,806.00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9A1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94CD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9B0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1254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12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E71A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56DA23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6FDE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8D43A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5A4A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D2B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A0E4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BAF9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4E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3A66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22" w:type="pct"/>
            <w:tcBorders>
              <w:top w:val="nil"/>
              <w:left w:val="nil"/>
              <w:bottom w:val="single" w:color="000000" w:sz="4" w:space="0"/>
              <w:right w:val="single" w:color="000000" w:sz="4" w:space="0"/>
            </w:tcBorders>
            <w:shd w:val="clear" w:color="auto" w:fill="auto"/>
            <w:noWrap/>
            <w:vAlign w:val="center"/>
          </w:tcPr>
          <w:p w14:paraId="78809C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C54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90A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572C7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E12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D0F1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7DA0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5D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910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22" w:type="pct"/>
            <w:tcBorders>
              <w:top w:val="nil"/>
              <w:left w:val="nil"/>
              <w:bottom w:val="single" w:color="000000" w:sz="4" w:space="0"/>
              <w:right w:val="single" w:color="000000" w:sz="4" w:space="0"/>
            </w:tcBorders>
            <w:shd w:val="clear" w:color="auto" w:fill="auto"/>
            <w:noWrap/>
            <w:vAlign w:val="center"/>
          </w:tcPr>
          <w:p w14:paraId="3DB80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2024年中央财政农产品成本调查经费津财建二指【2023】32号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F4F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E91D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26EA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66D0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328B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A6B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84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D9836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498D7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0BDB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08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2CAF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CDE6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BD55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70781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DA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0AEE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59DBD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重大项目推动专项经费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B6FD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660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82A2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08D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7C7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92EB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C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0045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B87C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天津市航天航空商用科创园项目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3E1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BFB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02C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631E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C5A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BB8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E3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04D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25370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粮食办公室房改售房经费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6F4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54473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DE5B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9FFF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F32FD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BCF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B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F62C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42F399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东丽区信用体系建设一体化服务项目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D681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9B5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F713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39D8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249D7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64E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1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95AD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220A70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东丽湖全域提升改造项目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BD0F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D11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9D9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1E82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69C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C28D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D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02E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22" w:type="pct"/>
            <w:tcBorders>
              <w:top w:val="nil"/>
              <w:left w:val="nil"/>
              <w:bottom w:val="single" w:color="000000" w:sz="4" w:space="0"/>
              <w:right w:val="single" w:color="000000" w:sz="4" w:space="0"/>
            </w:tcBorders>
            <w:shd w:val="clear" w:color="auto" w:fill="auto"/>
            <w:noWrap/>
            <w:vAlign w:val="center"/>
          </w:tcPr>
          <w:p w14:paraId="73542E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D34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62B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2930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EFB7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FF98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B4F4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B7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9A5D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22" w:type="pct"/>
            <w:tcBorders>
              <w:top w:val="nil"/>
              <w:left w:val="nil"/>
              <w:bottom w:val="single" w:color="000000" w:sz="4" w:space="0"/>
              <w:right w:val="single" w:color="000000" w:sz="4" w:space="0"/>
            </w:tcBorders>
            <w:shd w:val="clear" w:color="auto" w:fill="auto"/>
            <w:noWrap/>
            <w:vAlign w:val="center"/>
          </w:tcPr>
          <w:p w14:paraId="0ADDD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FCF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87985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436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000F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ACF8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9146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A9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EA6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85CBA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AFC8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FB42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B240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467F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9CE6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FEB9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BC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AEB8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473674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2024年第三批制造业高质量发展专项资金（津财建一指[2024]72号）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9D07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F5C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AC12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B26E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F2F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F9E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9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2B5C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51AB6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2024年第二批制造业高质量发展专项资金（津财建一指[2024]11号）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6E16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EAB8B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BCDF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A339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CA33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084D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36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187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3F4FE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2024年第一批制造业高质量发展专项资金（津财建一指[2024]10号）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DC73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929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0E55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6B9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458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0617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72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252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22" w:type="pct"/>
            <w:tcBorders>
              <w:top w:val="nil"/>
              <w:left w:val="nil"/>
              <w:bottom w:val="single" w:color="000000" w:sz="4" w:space="0"/>
              <w:right w:val="single" w:color="000000" w:sz="4" w:space="0"/>
            </w:tcBorders>
            <w:shd w:val="clear" w:color="auto" w:fill="auto"/>
            <w:noWrap/>
            <w:vAlign w:val="center"/>
          </w:tcPr>
          <w:p w14:paraId="6E3CF1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F3C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B7F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616A9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5737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48E5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6544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32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27C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1022" w:type="pct"/>
            <w:tcBorders>
              <w:top w:val="nil"/>
              <w:left w:val="nil"/>
              <w:bottom w:val="single" w:color="000000" w:sz="4" w:space="0"/>
              <w:right w:val="single" w:color="000000" w:sz="4" w:space="0"/>
            </w:tcBorders>
            <w:shd w:val="clear" w:color="auto" w:fill="auto"/>
            <w:noWrap/>
            <w:vAlign w:val="center"/>
          </w:tcPr>
          <w:p w14:paraId="1F4B96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2CB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FEAB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79C24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24169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1B1D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C8D23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4F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EAF9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22" w:type="pct"/>
            <w:tcBorders>
              <w:top w:val="nil"/>
              <w:left w:val="nil"/>
              <w:bottom w:val="single" w:color="000000" w:sz="4" w:space="0"/>
              <w:right w:val="single" w:color="000000" w:sz="4" w:space="0"/>
            </w:tcBorders>
            <w:shd w:val="clear" w:color="auto" w:fill="auto"/>
            <w:noWrap/>
            <w:vAlign w:val="center"/>
          </w:tcPr>
          <w:p w14:paraId="0B874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4FE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EA9B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99E2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1718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3259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6524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AB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AAC97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22" w:type="pct"/>
            <w:tcBorders>
              <w:top w:val="nil"/>
              <w:left w:val="nil"/>
              <w:bottom w:val="single" w:color="000000" w:sz="4" w:space="0"/>
              <w:right w:val="single" w:color="000000" w:sz="4" w:space="0"/>
            </w:tcBorders>
            <w:shd w:val="clear" w:color="auto" w:fill="auto"/>
            <w:noWrap/>
            <w:vAlign w:val="center"/>
          </w:tcPr>
          <w:p w14:paraId="06BFF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2023年大气污染防治资金津财基指【2022】103号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A8D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E6F9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27C2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9E2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313B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8F4B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14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AA05C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1022" w:type="pct"/>
            <w:tcBorders>
              <w:top w:val="nil"/>
              <w:left w:val="nil"/>
              <w:bottom w:val="single" w:color="000000" w:sz="4" w:space="0"/>
              <w:right w:val="single" w:color="000000" w:sz="4" w:space="0"/>
            </w:tcBorders>
            <w:shd w:val="clear" w:color="auto" w:fill="auto"/>
            <w:noWrap/>
            <w:vAlign w:val="center"/>
          </w:tcPr>
          <w:p w14:paraId="5B172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8A6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AB8F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FC6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24E8E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BBF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C92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B0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30173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22" w:type="pct"/>
            <w:tcBorders>
              <w:top w:val="nil"/>
              <w:left w:val="nil"/>
              <w:bottom w:val="single" w:color="000000" w:sz="4" w:space="0"/>
              <w:right w:val="single" w:color="000000" w:sz="4" w:space="0"/>
            </w:tcBorders>
            <w:shd w:val="clear" w:color="auto" w:fill="auto"/>
            <w:noWrap/>
            <w:vAlign w:val="center"/>
          </w:tcPr>
          <w:p w14:paraId="015442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D8D2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AA8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9454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EE2E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F6F7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48F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0A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E31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22" w:type="pct"/>
            <w:tcBorders>
              <w:top w:val="nil"/>
              <w:left w:val="nil"/>
              <w:bottom w:val="single" w:color="000000" w:sz="4" w:space="0"/>
              <w:right w:val="single" w:color="000000" w:sz="4" w:space="0"/>
            </w:tcBorders>
            <w:shd w:val="clear" w:color="auto" w:fill="auto"/>
            <w:noWrap/>
            <w:vAlign w:val="center"/>
          </w:tcPr>
          <w:p w14:paraId="25A53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2024年天津市节能降碳专项资金津财建一指[2024]26号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2125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B7026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576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BCCF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96E9D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C2070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A9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696CD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0BF48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057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0AC5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9C5C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634D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1F21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503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FF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359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1022" w:type="pct"/>
            <w:tcBorders>
              <w:top w:val="nil"/>
              <w:left w:val="nil"/>
              <w:bottom w:val="single" w:color="000000" w:sz="4" w:space="0"/>
              <w:right w:val="single" w:color="000000" w:sz="4" w:space="0"/>
            </w:tcBorders>
            <w:shd w:val="clear" w:color="auto" w:fill="auto"/>
            <w:noWrap/>
            <w:vAlign w:val="center"/>
          </w:tcPr>
          <w:p w14:paraId="1949D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9A5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AACA9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DE99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AF910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D8A4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2413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9A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4DBF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43454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403E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A235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E0F4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A836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110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92973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4F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924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48DDBD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采暖期居民冬季清洁取暖运行补贴（2023-2024年度）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CD4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DA9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06D9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153C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AE2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D16D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5C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AAE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F35D3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6A52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A1F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1177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831F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F77B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58A9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42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1AE0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0E1041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7A2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CEAC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571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C15FB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D78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845B0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C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CF86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6BA70E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1A27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4E7F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24C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D3B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17B49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0FF8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4E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BCD5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2E836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2024年东西部协作财政支援专项经费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534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B8C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99D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233D3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78BBB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C77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CD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B2B87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38F82D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东西部协作及对口合作专项业务经费项目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8E814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F30FD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2CA7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8CD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8B85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1B9E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06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4EC4F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22" w:type="pct"/>
            <w:tcBorders>
              <w:top w:val="nil"/>
              <w:left w:val="nil"/>
              <w:bottom w:val="single" w:color="000000" w:sz="4" w:space="0"/>
              <w:right w:val="single" w:color="000000" w:sz="4" w:space="0"/>
            </w:tcBorders>
            <w:shd w:val="clear" w:color="auto" w:fill="auto"/>
            <w:noWrap/>
            <w:vAlign w:val="center"/>
          </w:tcPr>
          <w:p w14:paraId="23FCD4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0D5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8A3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03B2B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E2C7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4FAD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ACDB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E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67E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1022" w:type="pct"/>
            <w:tcBorders>
              <w:top w:val="nil"/>
              <w:left w:val="nil"/>
              <w:bottom w:val="single" w:color="000000" w:sz="4" w:space="0"/>
              <w:right w:val="single" w:color="000000" w:sz="4" w:space="0"/>
            </w:tcBorders>
            <w:shd w:val="clear" w:color="auto" w:fill="auto"/>
            <w:noWrap/>
            <w:vAlign w:val="center"/>
          </w:tcPr>
          <w:p w14:paraId="7984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522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2C14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B655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DC1C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56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B9C2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3E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E142B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22" w:type="pct"/>
            <w:tcBorders>
              <w:top w:val="nil"/>
              <w:left w:val="nil"/>
              <w:bottom w:val="single" w:color="000000" w:sz="4" w:space="0"/>
              <w:right w:val="single" w:color="000000" w:sz="4" w:space="0"/>
            </w:tcBorders>
            <w:shd w:val="clear" w:color="auto" w:fill="auto"/>
            <w:noWrap/>
            <w:vAlign w:val="center"/>
          </w:tcPr>
          <w:p w14:paraId="04AD2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B64B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AA05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8280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8CAA1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054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9EBD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EA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C10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22" w:type="pct"/>
            <w:tcBorders>
              <w:top w:val="nil"/>
              <w:left w:val="nil"/>
              <w:bottom w:val="single" w:color="000000" w:sz="4" w:space="0"/>
              <w:right w:val="single" w:color="000000" w:sz="4" w:space="0"/>
            </w:tcBorders>
            <w:shd w:val="clear" w:color="auto" w:fill="auto"/>
            <w:noWrap/>
            <w:vAlign w:val="center"/>
          </w:tcPr>
          <w:p w14:paraId="27AE5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2024年粮食风险基金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CDE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5D64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023E1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6D6B7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C86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8B74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2F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4231A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22" w:type="pct"/>
            <w:tcBorders>
              <w:top w:val="nil"/>
              <w:left w:val="nil"/>
              <w:bottom w:val="single" w:color="000000" w:sz="4" w:space="0"/>
              <w:right w:val="single" w:color="000000" w:sz="4" w:space="0"/>
            </w:tcBorders>
            <w:shd w:val="clear" w:color="auto" w:fill="auto"/>
            <w:noWrap/>
            <w:vAlign w:val="center"/>
          </w:tcPr>
          <w:p w14:paraId="416A8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C3225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1FB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20A4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596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618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1C79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1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425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22" w:type="pct"/>
            <w:tcBorders>
              <w:top w:val="nil"/>
              <w:left w:val="nil"/>
              <w:bottom w:val="single" w:color="000000" w:sz="4" w:space="0"/>
              <w:right w:val="single" w:color="000000" w:sz="4" w:space="0"/>
            </w:tcBorders>
            <w:shd w:val="clear" w:color="auto" w:fill="auto"/>
            <w:noWrap/>
            <w:vAlign w:val="center"/>
          </w:tcPr>
          <w:p w14:paraId="45D53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储备粮质量安全检验检测费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9AEA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A8FB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441EE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A50B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FB3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B4E91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460699A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03B411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587C4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9B23A9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天津市东丽区发展和改革委员会（本级）2024年度收入、支出决算总计40,445,150.60元。与2023年度相比，收、支总计各增加15,465,844.53元，增长61.915%，主要原因是东西部协作职能划转，带来相应项目预算收支变化。</w:t>
      </w:r>
    </w:p>
    <w:p w14:paraId="2DC3623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收入包括：一般公共预算财政拨款收入39,929,917.70元、其他收入516.04元。</w:t>
      </w:r>
    </w:p>
    <w:p w14:paraId="4E9AD0A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9,992,395.56元、科学技术支出6,590,200.00元、社会保障和就业支出992,647.20元、卫生健康支出496,325.54元、节能环保支出1,030,788.96元、城乡社区支出179,683.44元、农林水支出10,519,732.00元、住房保障支出2,121,320.00元、粮油物资储备支出8,007,650.00元。</w:t>
      </w:r>
    </w:p>
    <w:p w14:paraId="543DEFD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DD1CDD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天津市东丽区发展和改革委员会（本级）2024年度本年收入合计39,930,433.74元，与2023年度相比增加15,284,774.48元，主要原因是东西部协作职能划转，带来相应项目预算收支变化。其中：</w:t>
      </w:r>
    </w:p>
    <w:p w14:paraId="0F2FD90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一般公共预算财政拨款收入39,929,917.70元，占99.999%；其他收入516.04元，占0.001%。</w:t>
      </w:r>
    </w:p>
    <w:p w14:paraId="3D35725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4EE152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天津市东丽区发展和改革委员会（本级）2024年度本年支出合计39,930,742.70元，与2023年度相比增加15,277,274.64元，主要原因是东西部协作职能划转，带来相应项目预算收支变化。其中：</w:t>
      </w:r>
    </w:p>
    <w:p w14:paraId="02D138C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基本支出10,500,111.30元，占26.296%；项目支出29,430,631.40元，占73.704%。</w:t>
      </w:r>
    </w:p>
    <w:p w14:paraId="3366428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9550CF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财政拨款收入、支出决算总计40,436,382.41元。与2023年度相比，财政拨款收、支总计各增加15,465,533.49元，增长61.934%，主要原因是东西部协作职能划转，带来相应项目预算收支变化。</w:t>
      </w:r>
    </w:p>
    <w:p w14:paraId="62A290B1">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收入包括：一般公共预算财政拨款39,929,917.70元、年初财政拨款结转和结余506,464.71元。</w:t>
      </w:r>
    </w:p>
    <w:p w14:paraId="5545B8C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9,991,570.56元、科学技术支出6,590,200.00元、社会保障和就业支出992,647.20元、卫生健康支出496,325.54元、节能环保支出1,030,788.96元、城乡社区支出179,683.44元、农林水支出10,519,732.00元、住房保障支出2,121,320.00元、粮油物资储备支出8,007,650.00元。</w:t>
      </w:r>
    </w:p>
    <w:p w14:paraId="5B3906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0FE26E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B563DC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部门决算一般公共预算财政拨款支出合计39,929,917.70元，占本年支出合计的99.998%。与2023年度相比，一般公共预算财政拨款支出增加15,276,654.64元，增长61.966%，主要原因是东西部协作职能划转，带来相应项目预算收支变化。</w:t>
      </w:r>
    </w:p>
    <w:p w14:paraId="15C4A01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F05D32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39,929,917.70元，主要用于以下方面：一般公共服务支出（类）9,991,570.56元，占25.023%；科学技术支出（类）6,590,200.00元，占16.504%；社会保障和就业支出（类）992,647.20元，占2.486%；卫生健康支出（类）496,325.54元，占1.243%；节能环保支出（类）1,030,788.96元，占2.581%；城乡社区支出（类）179,683.44元，占0.450%；农林水支出（类）10,519,732.00元，占26.345%；住房保障支出（类）2,121,320.00元，占5.313%；粮油物资储备支出（类）8,007,650.00元，占20.054%。</w:t>
      </w:r>
    </w:p>
    <w:p w14:paraId="5EB5237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F2C012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2024年度一般公共预算财政拨款支出年初预算为22,730,585.92元，支出决算为39,929,917.70元，完成年初预算的175.666%。其中： </w:t>
      </w:r>
    </w:p>
    <w:p w14:paraId="31D45AB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1.​一般公共服务支出(类)发展与改革事务(款)行政运行(项)年初预算为6,491,114.64元，支出决算为6,861,573.56元，完成年初预算的105.707%，决算数大于年初预算数的主要原因是：人员变动及人员相关基数调整。</w:t>
      </w:r>
    </w:p>
    <w:p w14:paraId="706A705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2.​一般公共服务支出(类)发展与改革事务(款)一般行政管理事务(项)年初预算为0.00元，支出决算为1,035,492.00元，决算数大于年初预算数的主要原因是：退休人员离世产生的相关支出。</w:t>
      </w:r>
    </w:p>
    <w:p w14:paraId="16362B2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3.​一般公共服务支出(类)发展与改革事务(款)物价管理(项)年初预算为22,500.00元，支出决算为22,500.00元，完成年初预算的100.000%，决算数与年初预算数持平的主要原因是：按照正常收支进度完成相应工作。</w:t>
      </w:r>
    </w:p>
    <w:p w14:paraId="539F768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一般公共服务支出(类)发展与改革事务(款)其他发展与改革事务支出(项)年初预算为20,000.00元，支出决算为2,072,005.00元，完成年初预算的10,360.025%，决算数大于年初预算数的主要原因是：项目谋划及提升改造项目增加。</w:t>
      </w:r>
    </w:p>
    <w:p w14:paraId="1551C81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科学技术支出(类)技术研究与开发(款)其他技术研究与开发支出(项)年初预算为3,199,800.00元，支出决算为6,590,200.00元，完成年初预算的205.957%，决算数大于年初预算数的主要原因是：制造业高质量发展市级专项增加。</w:t>
      </w:r>
    </w:p>
    <w:p w14:paraId="23D68D3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社会保障和就业支出(类)行政事业单位养老支出(款)机关事业单位基本养老保险缴费支出(项)年初预算为661,843.20元，支出决算为661,764.80元，完成年初预算的99.988%，决算数小于年初预算数的主要原因是：正常人员变动产生的数据差额。</w:t>
      </w:r>
    </w:p>
    <w:p w14:paraId="4C2DEB4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社会保障和就业支出(类)行政事业单位养老支出(款)机关事业单位职业年金缴费支出(项)年初预算为330,921.60元，支出决算为330,882.40元，完成年初预算的99.988%，决算数小于年初预算数的主要原因是：正常人员变动产生的数据差额。</w:t>
      </w:r>
    </w:p>
    <w:p w14:paraId="1D3A523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8.​卫生健康支出(类)行政事业单位医疗(款)行政单位医疗(项)年初预算为413,652.00元，支出决算为413,604.94元，完成年初预算的99.989%，决算数小于年初预算数的主要原因是：正常人员变动产生的数据差额。</w:t>
      </w:r>
    </w:p>
    <w:p w14:paraId="1FDF4B3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9.​卫生健康支出(类)行政事业单位医疗(款)公务员医疗补助(项)年初预算为82,730.40元，支出决算为82,720.60元，完成年初预算的99.988%，决算数小于年初预算数的主要原因是：正常人员变动产生的数据差额。</w:t>
      </w:r>
    </w:p>
    <w:p w14:paraId="19D1D75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10.​节能环保支出(类)污染防治(款)大气(项)年初预算为173,352.08元，支出决算为119,788.96元，完成年初预算的69.102%，决算数小于年初预算数的主要原因是：清洁取暖项目按照实际发生情况支出。</w:t>
      </w:r>
    </w:p>
    <w:p w14:paraId="32BE607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11.​节能环保支出(类)能源节约利用(款)能源节约利用(项)年初预算为0.00元，支出决算为911,000.00元，决算数大于年初预算数的主要原因是：能源项目增加产生相应支出。</w:t>
      </w:r>
    </w:p>
    <w:p w14:paraId="484306F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12.​城乡社区支出(类)城乡社区公共设施(款)其他城乡社区公共设施支出(项)年初预算为240,000.00元，支出决算为179,683.44元，完成年初预算的74.868%，决算数小于年初预算数的主要原因是：清洁取暖项目按照实际发生情况支出。</w:t>
      </w:r>
    </w:p>
    <w:p w14:paraId="6A02056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13.​农林水支出(类)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衔接乡村振兴支出(项)年初预算为0.00元，支出决算为10,519,732.00元，决算数大于年初预算数的主要原因是：东西部协作职能划转，带来相应项目预算收支变化。</w:t>
      </w:r>
    </w:p>
    <w:p w14:paraId="7CB9950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14.​住房保障支出(类)住房改革支出(款)住房公积金(项)年初预算为2,132,172.00元，支出决算为2,121,320.00元，完成年初预算的99.491%，决算数小于年初预算数的主要原因是：正常人员变动产生的数据差额。</w:t>
      </w:r>
    </w:p>
    <w:p w14:paraId="63FFED4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15.​粮油物资储备支出(类)粮油物资事务(款)粮食风险基金(项)年初预算为8,902,500.00元，支出决算为7,982,500.00元，完成年初预算的89.666%，决算数小于年初预算数的主要原因是：粮食风险基金项目核定产生的相应支出。</w:t>
      </w:r>
    </w:p>
    <w:p w14:paraId="62E7444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16.​粮油物资储备支出(类)粮油物资事务(款)其他粮油物资事务支出(项)年初预算为60,000.00元，支出决算为25,150.00元，完成年初预算的41.917%，决算数小于年初预算数的主要原因是：按照当年粮食相关检验检测安排调整相关费用支出。</w:t>
      </w:r>
    </w:p>
    <w:p w14:paraId="193C03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6234E28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天津市东丽区发展和改革委员会（本级）2024年度部门决算一般公共预算财政拨款基本支出合计10,499,286.30元，与2023年度相比减少1,007,440.60元，主要原因是正常人员变动产生的数据差额。其中：</w:t>
      </w:r>
    </w:p>
    <w:p w14:paraId="2CD1D25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8,951,983.02元，主要包括基本工资、津贴补贴、奖金、机关事业单位基本养老保险缴费、职业年金缴费、职工基本医疗保险缴费、公务员医疗补助缴费、其他社会保障缴费、住房公积金、其他工资福利支出、离休费、退休费、奖励金和其他对个人和家庭的补助。</w:t>
      </w:r>
    </w:p>
    <w:p w14:paraId="4E0D8CE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1,547,303.28元，主要包括办公费、手续费、水费、电费、邮电费、取暖费、物业管理费、差旅费、维修(护)费、租赁费、培训费、公务接待费、委托业务费、工会经费、福利费、其他交通费用、税金及附加费用和其他商品和服务支出。</w:t>
      </w:r>
    </w:p>
    <w:p w14:paraId="71B6C3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739043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天津市东丽区发展和改革委员会（本级）2024年度无政府性基金预算财政拨款收入、支出和结转结余。</w:t>
      </w:r>
    </w:p>
    <w:p w14:paraId="535E206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7F063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天津市东丽区发展和改革委员会（本级）2024年度无国有资本经营预算财政拨款收入、支出和结转结余。</w:t>
      </w:r>
    </w:p>
    <w:p w14:paraId="70E968E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CD7418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473A79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27,420.00元，支出决算27,420.00元，与2024年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614F9C7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B1CE68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89E8B7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7FC25D9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896A7E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9A2227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28FC00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2CD25B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3EBE5D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27,420.00元，支出决算27,420.00元，与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7728BA4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2024年本单位国内公务接待11批次，279人次；其中，外事接待0批次，0人次。</w:t>
      </w:r>
    </w:p>
    <w:p w14:paraId="56A387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7E3C3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发展和改革委员会（本级）2024年度机关运行经费年初预算0.00元，决算数1,547,303.28元，与年初预算相比增加1,547,303.28元，完成年初预算的0.000%；比2023年增加155,362.36元，增长11.162%。主要原因是：正常人员变动产生的数据差额 。</w:t>
      </w:r>
    </w:p>
    <w:p w14:paraId="3B1381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12D61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天津市东丽区发展和改革委员会（本级）2024年度无政府采购支出。</w:t>
      </w:r>
    </w:p>
    <w:p w14:paraId="486685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D2515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天津市东丽区发展和改革委员会（本级）2024年度无国有资产占有使用情况。</w:t>
      </w:r>
    </w:p>
    <w:p w14:paraId="62E628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4B36E1">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根据预算绩效管理要求，天津市东丽区发展和改革委员会（本级）已对21个2024年度项目开展绩效自评，涉及金额29430631.40元，自评结果已随部门决算一并公开。</w:t>
      </w:r>
    </w:p>
    <w:p w14:paraId="7D43C96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CA6668C">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天津市东丽区发展和改革委员会（本级）不属于乡、镇、街级单位，不涉及公开2024年度教育、医疗卫生、社会保障和就业、住房保障、涉农补贴等民生支出情况。</w:t>
      </w:r>
    </w:p>
    <w:p w14:paraId="303E1D7A">
      <w:pPr>
        <w:widowControl/>
        <w:spacing w:before="0" w:beforeLines="0" w:beforeAutospacing="0" w:after="0" w:afterLines="0" w:afterAutospacing="0" w:line="360" w:lineRule="auto"/>
        <w:jc w:val="left"/>
        <w:outlineLvl w:val="0"/>
        <w:rPr>
          <w:rFonts w:ascii="黑体" w:eastAsia="黑体"/>
          <w:sz w:val="44"/>
          <w:szCs w:val="44"/>
        </w:rPr>
      </w:pPr>
      <w:r>
        <w:rPr>
          <w:rFonts w:ascii="黑体" w:eastAsia="黑体"/>
          <w:b w:val="0"/>
          <w:sz w:val="44"/>
          <w:szCs w:val="44"/>
        </w:rPr>
        <w:t>第四部分 名词解释</w:t>
      </w:r>
    </w:p>
    <w:p w14:paraId="12B3B27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62D4B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91DD41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jc w:val="left"/>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85E98EFB-D35D-4694-8B81-A4960C94FDD5}"/>
  </w:font>
  <w:font w:name="黑体">
    <w:panose1 w:val="02010609060101010101"/>
    <w:charset w:val="86"/>
    <w:family w:val="auto"/>
    <w:pitch w:val="default"/>
    <w:sig w:usb0="800002BF" w:usb1="38CF7CFA" w:usb2="00000016" w:usb3="00000000" w:csb0="00040001" w:csb1="00000000"/>
    <w:embedRegular r:id="rId2" w:fontKey="{DEDB51D1-9B08-4713-8885-CEE690CB86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74B4A69-CD2A-4CD6-ABCC-27E370D80DBC}"/>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BFBD99C-7198-4302-B3DC-B87097AB02EE}"/>
  </w:font>
  <w:font w:name="仿宋_GB2312">
    <w:panose1 w:val="02010609030101010101"/>
    <w:charset w:val="86"/>
    <w:family w:val="auto"/>
    <w:pitch w:val="default"/>
    <w:sig w:usb0="00000001" w:usb1="080E0000" w:usb2="00000000" w:usb3="00000000" w:csb0="00040000" w:csb1="00000000"/>
    <w:embedRegular r:id="rId5" w:fontKey="{F2D04BD2-B157-4602-8DFE-BDBFB31719BD}"/>
  </w:font>
  <w:font w:name="宋体-简">
    <w:altName w:val="宋体"/>
    <w:panose1 w:val="02010800040101010101"/>
    <w:charset w:val="86"/>
    <w:family w:val="auto"/>
    <w:pitch w:val="default"/>
    <w:sig w:usb0="00000000" w:usb1="00000000" w:usb2="00000000" w:usb3="00000000" w:csb0="00040000" w:csb1="00000000"/>
    <w:embedRegular r:id="rId6" w:fontKey="{E530C6E7-F41D-4D10-A72F-68C6D9E20CD9}"/>
  </w:font>
  <w:font w:name="楷体">
    <w:panose1 w:val="02010609060101010101"/>
    <w:charset w:val="86"/>
    <w:family w:val="auto"/>
    <w:pitch w:val="default"/>
    <w:sig w:usb0="800002BF" w:usb1="38CF7CFA" w:usb2="00000016" w:usb3="00000000" w:csb0="00040001" w:csb1="00000000"/>
    <w:embedRegular r:id="rId7" w:fontKey="{A0D6F459-2352-420F-878E-63A6DC55671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8EB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D10B">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mOTg5NTljM2ZmNWIxYzY0MTcwMzMyZTlkNGIzNmVmNC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702146"/>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625FCB"/>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3154</Words>
  <Characters>3364</Characters>
  <Lines>86</Lines>
  <Paragraphs>24</Paragraphs>
  <TotalTime>15</TotalTime>
  <ScaleCrop>false</ScaleCrop>
  <LinksUpToDate>false</LinksUpToDate>
  <CharactersWithSpaces>3416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咖啡伴侣</cp:lastModifiedBy>
  <cp:lastPrinted>2023-08-07T01:00:00Z</cp:lastPrinted>
  <dcterms:modified xsi:type="dcterms:W3CDTF">2026-01-13T13:52:59Z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eyJoZGlkIjoiZWRjNzljYTE2ZTUwODA5YjZlNTBiMDdhMjkwMmRmMzQiLCJ1c2VySWQiOiIzNjgyODMyOTcifQ==</vt:lpwstr>
  </property>
</Properties>
</file>