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0F60A8D9">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天津市东丽区丰年村街党群服务中心</w:t>
      </w:r>
    </w:p>
    <w:p w14:paraId="0F885F7E">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5BD718DA">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399AEEA5">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162CCF9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491DD39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5DB3A40F">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5036F6E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1BAC40E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1317466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7631530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7D5592C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4CF07CA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46C906B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2B01B96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1ABF5D2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4CF1F33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526E45A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5AD13A08">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588C746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7FBF5B7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17B3BF2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4EB677E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4668DE9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365D8BC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7B1CA51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260667C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75FCA0F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5B94502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2D58AD0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7867C2E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06ED97D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027ECA7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161365A8">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7A267BE0">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01D55159">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305B9DC8">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负责辖区服务群众工作；负责审批服务、公共服务等各类便民事项的受理等事务性工作；负责本辖区群众性文化体育活动，发展和扶持基层文化体育队伍，积极开展全民健身活动；搞好社区文化宣传阵地建设，抓好社区文艺团队的发展，组织开展经常性的群众文体活动；配合区级有关部门做好辖区内文化娱乐场所和设施的管理工作。</w:t>
      </w:r>
    </w:p>
    <w:p w14:paraId="356CB5F7">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天津市东丽区丰年村街党群服务中心内设0个职能部门；下辖0个预算单位。纳入天津市东丽区丰年村街党群服务中心2024年度部门决算编制范围的单位包括：</w:t>
      </w:r>
    </w:p>
    <w:p w14:paraId="6343384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2B1E9C4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1.​天津市东丽区丰年村街党群服务中心</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30CFFA96">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部门（单位）：天津市东丽区丰年村街党群服务中心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8,003,839.66</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6,648,947.75</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361,449.12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169,419.12</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822,678.00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8,003,839.66</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8,002,493.99</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1,795.67</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8,004,289.66</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8,004,289.66</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部门（单位）：天津市东丽区丰年村街党群服务中心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8,003,839.66</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8,003,839.66</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6,648,947.75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6,648,947.75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443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6C1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C7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84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6,648,947.75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3D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6,648,947.75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47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1D2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91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4F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70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4C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58B6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C48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1D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4D0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6,648,947.75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42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6,648,947.75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161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3B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E8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DF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4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98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690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A1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8A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EA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362,794.79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71B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362,794.79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8E5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4D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269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49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9CC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B7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9E3E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7A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B7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9F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362,794.79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770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362,794.79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70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3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A6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40B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96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FB2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6C2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9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1A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9B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242,311.75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C5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242,311.75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28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46C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7E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11B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702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58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00F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A25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2F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C7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120,483.04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D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120,483.04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FB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04D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4F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FE7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9CD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F74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F64D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0A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DF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BB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169,419.12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EC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169,419.12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6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361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F52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3B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BC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D3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B69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FB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BF0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E0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169,419.12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75A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169,419.12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6F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6B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4D0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0EC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BB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A4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EA0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A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78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71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169,419.12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1F7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169,419.12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24A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CED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059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1D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C2E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D7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AB8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9C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8C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D4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822,678.00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41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822,678.00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6B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38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9A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F75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4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C43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6066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37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23D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30F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822,678.00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42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822,678.00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3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4E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A8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0B8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B83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B1A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F45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5D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0A2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ED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822,678.00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D1C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822,678.00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36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C30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CE7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97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81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9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部门（单位）：天津市东丽区丰年村街党群服务中心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8,004,289.66</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8,003,839.66</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8,003,839.66</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450.00</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450.00</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450.00</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802201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天津市东丽区丰年村街党群服务中心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8,004,289.66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8,003,839.66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8,003,839.66</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450.00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450.00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450.00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部门（单位）：天津市东丽区丰年村街党群服务中心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8,002,493.99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8,002,493.99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6,648,947.75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6,648,947.75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405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35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0D4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99F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6,648,947.75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DC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6,648,947.75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68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E6B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C20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C1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257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50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8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5A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6,648,947.75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CA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6,648,947.75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440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614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7D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59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826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7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E2D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0B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361,449.12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01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361,449.12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D63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C9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FB9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40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4EDC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683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A7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4C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361,449.12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1FD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361,449.12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F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BA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1D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90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30B7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1CB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C6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38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240,966.08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6D4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240,966.08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845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A2C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6B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72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784A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CD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69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9B9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120,483.04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F18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120,483.04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7D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49F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67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5F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9A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CC2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18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58B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169,419.12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D7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169,419.12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21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404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4E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4D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0E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FC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00A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74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169,419.12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C1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169,419.12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6E3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FAA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9E5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8C7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5D3E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76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54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D0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169,419.12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7A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169,419.12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25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12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1A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EC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55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01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3DE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9CA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822,678.00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4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822,678.00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2DF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3D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CC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A1C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FC1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0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B8F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28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822,678.00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CF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822,678.00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A7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A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42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8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4F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7D4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BC3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E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822,678.00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2D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822,678.00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E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411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BC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B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部门（单位）：天津市东丽区丰年村街党群服务中心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8,003,839.66</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6,648,947.75</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6,648,947.75</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361,449.12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361,449.12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169,419.12</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169,419.12</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822,678.00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822,678.00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8,003,839.66</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8,002,493.99</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8,002,493.99</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1,795.67</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1,795.67</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8,004,289.66</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8,004,289.66</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8,004,289.66</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天津市东丽区丰年村街党群服务中心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8,002,493.99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8,002,493.99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7,753,326.68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249,167.31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6,648,947.75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6,648,947.75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6,399,780.44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249,167.31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306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262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C4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C1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6,648,947.75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197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6,648,947.75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D8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6,399,780.44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69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249,167.31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AE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4F6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6E2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B7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7EE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6,648,947.75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BD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6,648,947.75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005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6,399,780.44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2BB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249,167.31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80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D4B1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3F8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3F5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71B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361,449.12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20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361,449.12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91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361,449.12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E3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083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471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7EA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AF0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7B0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361,449.12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3F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361,449.12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2BC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361,449.12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8DC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71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9D41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6D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13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F1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240,966.08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2D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240,966.08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9A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240,966.08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D1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946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82A9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2E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E1C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823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120,483.04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C63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120,483.04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01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120,483.04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29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9A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46E9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040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CC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7C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169,419.12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FC0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169,419.12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20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169,419.12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85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896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6F68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30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62D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D8C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169,419.12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1D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169,419.12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0A7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169,419.12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C3A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F94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9EB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77E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B7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7DC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169,419.12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DA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169,419.12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E3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169,419.12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4CE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DC7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C464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76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D3B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FB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822,678.00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D26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822,678.00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07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822,678.00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3A9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8B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AB8B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60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97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8A0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822,678.00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E4D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822,678.00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B4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822,678.00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A2A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DA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3FCE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56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8C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6E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822,678.00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2C3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822,678.00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CC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822,678.00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23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AA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部门（单位）：天津市东丽区丰年村街党群服务中心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7,727,601.48</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249,167.31</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700,526.40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40,387.00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347,560.00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816,420.40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19,994.90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240,966.08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120,483.04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150,605.12</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10,543.04</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5,997.00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822,678.00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15,542.00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4,502,277.40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25,725.20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18,363.20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3,272.00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37,226.54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21,794.00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28,767.87</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7,753,326.68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249,167.31</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天津市东丽区丰年村街党群服务中心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07896D0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天津市东丽区丰年村街党群服务中心2024年政府性基金预算财政拨款收入支出决算表为空表。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天津市东丽区丰年村街党群服务中心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6E33F58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天津市东丽区丰年村街党群服务中心2024年国有资本经营预算财政拨款收入支出决算表为空表。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部门（单位）：天津市东丽区丰年村街党群服务中心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23B0D1D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天津市东丽区丰年村街党群服务中心2024年财政拨款“三公”经费支出决算表为空表。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部门（单位）：天津市东丽区丰年村街党群服务中心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0B75CF5A">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天津市东丽区丰年村街党群服务中心2024年项目支出决算表为空表。</w:t>
      </w:r>
    </w:p>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7F1D0FD5">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3331E1C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1268C21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天津市东丽区丰年村街党群服务中心2024年度收入、支出决算总计8,004,289.66元。与2023年度相比，收、支总计各减少17,434.18元，下降0.217%，主要原因是本年人员减少，公用支出减少。</w:t>
      </w:r>
    </w:p>
    <w:p w14:paraId="41BBA83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收入包括：一般公共预算财政拨款收入8,003,839.66元。</w:t>
      </w:r>
    </w:p>
    <w:p w14:paraId="1A71811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支出包括：一般公共服务支出6,648,947.75元、社会保障和就业支出361,449.12元、卫生健康支出169,419.12元、住房保障支出822,678.00元。</w:t>
      </w:r>
    </w:p>
    <w:p w14:paraId="7BEA9F0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7A22A9A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天津市东丽区丰年村街党群服务中心2024年度本年收入合计8,003,839.66元，与2023年度相比减少17,434.18元，主要原因是本年人员减少，公用支出减少。其中：</w:t>
      </w:r>
    </w:p>
    <w:p w14:paraId="337C234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一般公共预算财政拨款收入8,003,839.66元，占100.000%。</w:t>
      </w:r>
    </w:p>
    <w:p w14:paraId="0230E63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5379D73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天津市东丽区丰年村街党群服务中心2024年度本年支出合计8,002,493.99元，与2023年度相比减少18,779.85元，主要原因是本年公用支出减少。其中：</w:t>
      </w:r>
    </w:p>
    <w:p w14:paraId="30392BF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基本支出8,002,493.99元，占100.000%。</w:t>
      </w:r>
    </w:p>
    <w:p w14:paraId="2CE4BBA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7AAC167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天津市东丽区丰年村街党群服务中心2024年度财政拨款收入、支出决算总计8,004,289.66元。与2023年度相比，财政拨款收、支总计各减少17,434.18元，下降0.217%，主要原因是本年人员减少，公用支出减少。</w:t>
      </w:r>
    </w:p>
    <w:p w14:paraId="566C3141">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收入包括：一般公共预算财政拨款8,003,839.66元、年初财政拨款结转和结余450.00元。</w:t>
      </w:r>
    </w:p>
    <w:p w14:paraId="31F982B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支出包括：一般公共服务支出6,648,947.75元、社会保障和就业支出361,449.12元、卫生健康支出169,419.12元、住房保障支出822,678.00元。</w:t>
      </w:r>
    </w:p>
    <w:p w14:paraId="4D534BE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3753A2A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3F5D5E7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党群服务中心2024年度部门决算一般公共预算财政拨款支出合计8,002,493.99元，占本年支出合计的100.000%。与2023年度相比，一般公共预算财政拨款支出减少18,779.85元，下降0.234%，主要原因是本年人员减少，公用支出减少。</w:t>
      </w:r>
    </w:p>
    <w:p w14:paraId="0FBF81E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2710DB0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8,002,493.99元，主要用于以下方面：一般公共服务支出（类）6,648,947.75元，占83.086%；社会保障和就业支出（类）361,449.12元，占4.517%；卫生健康支出（类）169,419.12元，占2.117%；住房保障支出（类）822,678.00元，占10.280%。</w:t>
      </w:r>
    </w:p>
    <w:p w14:paraId="691F440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7E8327F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2024年度一般公共预算财政拨款支出年初预算为8,517,900.00元，支出决算为8,002,493.99元，完成年初预算的93.949%。其中：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政府办公厅（室）及相关机构事务(款)事业运行(项)年初预算为7,057,700.00元，支出决算为6,648,947.75元，完成年初预算的94.208%，决算数小于年初预算数的主要原因是：人员动态调整（调出3人），导致在职人员经费支出减少。</w:t>
      </w:r>
    </w:p>
    <w:p w14:paraId="64153FF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基本养老保险缴费支出(项)年初预算为263,600.00元，支出决算为240,966.08元，完成年初预算的91.414%，决算数小于年初预算数的主要原因是：人员动态调整（调出3人），导致在职人员经费支出减少。</w:t>
      </w:r>
    </w:p>
    <w:p w14:paraId="1F69BBD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行政事业单位养老支出(款)机关事业单位职业年金缴费支出(项)年初预算为131,800.00元，支出决算为120,483.04元，完成年初预算的91.414%，决算数小于年初预算数的主要原因是：人员动态调整（调出3人），导致在职人员经费支出减少。</w:t>
      </w:r>
    </w:p>
    <w:p w14:paraId="268C6B3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卫生健康支出(类)行政事业单位医疗(款)事业单位医疗(项)年初预算为184,400.00元，支出决算为169,419.12元，完成年初预算的91.876%，决算数小于年初预算数的主要原因是：人员动态调整（调出3人），导致在职人员经费支出减少。</w:t>
      </w:r>
    </w:p>
    <w:p w14:paraId="3E2791F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住房保障支出(类)住房改革支出(款)住房公积金(项)年初预算为880,400.00元，支出决算为822,678.00元，完成年初预算的93.444%，决算数小于年初预算数的主要原因是：人员动态调整（调出3人），导致在职人员经费支出减少。</w:t>
      </w:r>
    </w:p>
    <w:p w14:paraId="62A06A5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171778E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天津市东丽区丰年村街党群服务中心2024年度部门决算一般公共预算财政拨款基本支出合计8,002,493.99元，与2023年度相比减少18,779.85元，主要原因是本年人员减少，公用支出减少。其中：</w:t>
      </w:r>
    </w:p>
    <w:p w14:paraId="06CEFD1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7,753,326.68元，主要包括基本工资、津贴补贴、绩效工资、机关事业单位基本养老保险缴费、职业年金缴费、职工基本医疗保险缴费、其他社会保障缴费、住房公积金、医疗费、其他工资福利支出、退休费、医疗费补助、奖励金和其他对个人和家庭的补助。</w:t>
      </w:r>
    </w:p>
    <w:p w14:paraId="547C271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公用经费249,167.31元，主要包括办公费、水费、差旅费、工会经费、福利费、税金及附加费用和其他商品和服务支出。</w:t>
      </w:r>
    </w:p>
    <w:p w14:paraId="20AF18A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0B293F6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天津市东丽区丰年村街党群服务中心2024年度无政府性基金预算财政拨款收入、支出和结转结余。</w:t>
      </w:r>
    </w:p>
    <w:p w14:paraId="29E3133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389269B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天津市东丽区丰年村街党群服务中心2024年度无国有资本经营预算财政拨款收入、支出和结转结余。</w:t>
      </w:r>
    </w:p>
    <w:p w14:paraId="10850E9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1C3B307A">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42EB11E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3946066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60EF640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60C7B29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7495095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2CBAC82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4D39236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1C55954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w:t>
      </w:r>
      <w:bookmarkStart w:id="0" w:name="_GoBack"/>
      <w:bookmarkEnd w:id="0"/>
      <w:r>
        <w:rPr>
          <w:rFonts w:ascii="Times New Roman" w:eastAsia="仿宋_GB2312"/>
          <w:b w:val="0"/>
          <w:sz w:val="30"/>
          <w:szCs w:val="30"/>
        </w:rPr>
        <w:t>本年未用财政拨款列支公务用车购置费；决算数较上年持平的主要原因是本年未用财政拨款列支公务用车购置费。</w:t>
      </w:r>
    </w:p>
    <w:p w14:paraId="30779A8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1EC0835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4147D3B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01A7D68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03CD688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天津市东丽区丰年村街党群服务中心2024年度无机关运行经费。</w:t>
      </w:r>
    </w:p>
    <w:p w14:paraId="322A75D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14E8AF9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天津市东丽区丰年村街党群服务中心2024年度无政府采购支出。</w:t>
      </w:r>
    </w:p>
    <w:p w14:paraId="188513A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4C4DF56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天津市东丽区丰年村街党群服务中心2024年度无国有资产占有使用情况。</w:t>
      </w:r>
    </w:p>
    <w:p w14:paraId="029E2E0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1620002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天津市东丽区丰年村街党群服务中心2024年度没有项目支出，无需开展绩效自评。</w:t>
      </w:r>
    </w:p>
    <w:p w14:paraId="23B24D5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52A8FFA5">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天津市东丽区丰年村街党群服务中心2024年度不涉及公开教育、医疗卫生、社会保障和就业、住房保障、涉农补贴等民生支出情况。</w:t>
      </w:r>
    </w:p>
    <w:p w14:paraId="54AB4262">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2519EE2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137D4ED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80A118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49D6B4D-8C72-4FF0-9646-B6770AD7DC0C}"/>
  </w:font>
  <w:font w:name="黑体">
    <w:panose1 w:val="02010609060101010101"/>
    <w:charset w:val="86"/>
    <w:family w:val="auto"/>
    <w:pitch w:val="default"/>
    <w:sig w:usb0="800002BF" w:usb1="38CF7CFA" w:usb2="00000016" w:usb3="00000000" w:csb0="00040001" w:csb1="00000000"/>
    <w:embedRegular r:id="rId2" w:fontKey="{378C2E55-F03E-4DA8-A23E-DB84C4C4CE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4602CFE0-9066-42D5-8258-246540A0053A}"/>
  </w:font>
  <w:font w:name="Calibri Light">
    <w:altName w:val="Calibri"/>
    <w:panose1 w:val="020F0302020204030204"/>
    <w:charset w:val="00"/>
    <w:family w:val="auto"/>
    <w:pitch w:val="default"/>
    <w:sig w:usb0="00000000" w:usb1="00000000"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DC8A56D5-03BF-4EDF-8CA4-57AE5FEAACB3}"/>
  </w:font>
  <w:font w:name="仿宋_GB2312">
    <w:panose1 w:val="02010609030101010101"/>
    <w:charset w:val="86"/>
    <w:family w:val="auto"/>
    <w:pitch w:val="default"/>
    <w:sig w:usb0="00000001" w:usb1="080E0000" w:usb2="00000000" w:usb3="00000000" w:csb0="00040000" w:csb1="00000000"/>
    <w:embedRegular r:id="rId5" w:fontKey="{F59782F2-1978-42A6-AAFD-B75921933ED1}"/>
  </w:font>
  <w:font w:name="宋体-简">
    <w:altName w:val="宋体"/>
    <w:panose1 w:val="02010800040101010101"/>
    <w:charset w:val="86"/>
    <w:family w:val="auto"/>
    <w:pitch w:val="default"/>
    <w:sig w:usb0="00000000" w:usb1="00000000" w:usb2="00000000" w:usb3="00000000" w:csb0="00040000" w:csb1="00000000"/>
    <w:embedRegular r:id="rId6" w:fontKey="{27E4B57E-BBD2-4B2F-86C9-64F9BF39D1E5}"/>
  </w:font>
  <w:font w:name="楷体">
    <w:panose1 w:val="02010609060101010101"/>
    <w:charset w:val="86"/>
    <w:family w:val="auto"/>
    <w:pitch w:val="default"/>
    <w:sig w:usb0="800002BF" w:usb1="38CF7CFA" w:usb2="00000016" w:usb3="00000000" w:csb0="00040001" w:csb1="00000000"/>
    <w:embedRegular r:id="rId7" w:fontKey="{FC04385E-022F-4A8F-815F-1617B1BF71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C95F">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C95F">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81E7F"/>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31</Pages>
  <Words>7462</Words>
  <Characters>10237</Characters>
  <Lines>86</Lines>
  <Paragraphs>24</Paragraphs>
  <TotalTime>12</TotalTime>
  <ScaleCrop>false</ScaleCrop>
  <LinksUpToDate>false</LinksUpToDate>
  <CharactersWithSpaces>10510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若风</cp:lastModifiedBy>
  <cp:lastPrinted>2023-08-07T01:00:00Z</cp:lastPrinted>
  <dcterms:modified xsi:type="dcterms:W3CDTF">2025-09-22T02:47:18Z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eyJoZGlkIjoiOWJjZDcwZTU2OGQxZTRlZTQ3MTliOGJjYjgwMjI0YjAiLCJ1c2VySWQiOiI3NDQxMjYyMDcifQ==</vt:lpwstr>
  </property>
</Properties>
</file>