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E5B614">
      <w:pPr>
        <w:spacing w:line="600" w:lineRule="auto"/>
        <w:jc w:val="both"/>
        <w:rPr>
          <w:rFonts w:hint="eastAsia" w:asciiTheme="minorEastAsia" w:hAnsiTheme="minorEastAsia" w:eastAsiaTheme="minorEastAsia" w:cstheme="minorEastAsia"/>
          <w:b w:val="0"/>
          <w:bCs w:val="0"/>
          <w:color w:val="000000"/>
          <w:sz w:val="22"/>
          <w:szCs w:val="22"/>
        </w:rPr>
      </w:pPr>
    </w:p>
    <w:p w14:paraId="6F62B7A0">
      <w:pPr>
        <w:spacing w:line="600" w:lineRule="auto"/>
        <w:jc w:val="both"/>
        <w:rPr>
          <w:rFonts w:hint="eastAsia" w:asciiTheme="minorEastAsia" w:hAnsiTheme="minorEastAsia" w:eastAsiaTheme="minorEastAsia" w:cstheme="minorEastAsia"/>
          <w:b w:val="0"/>
          <w:bCs w:val="0"/>
          <w:color w:val="000000"/>
          <w:sz w:val="22"/>
          <w:szCs w:val="22"/>
        </w:rPr>
      </w:pPr>
    </w:p>
    <w:p w14:paraId="35F3F732">
      <w:pPr>
        <w:spacing w:line="600" w:lineRule="auto"/>
        <w:jc w:val="both"/>
        <w:rPr>
          <w:rFonts w:hint="eastAsia" w:asciiTheme="minorEastAsia" w:hAnsiTheme="minorEastAsia" w:eastAsiaTheme="minorEastAsia" w:cstheme="minorEastAsia"/>
          <w:b w:val="0"/>
          <w:bCs w:val="0"/>
          <w:color w:val="000000"/>
          <w:sz w:val="22"/>
          <w:szCs w:val="22"/>
        </w:rPr>
      </w:pPr>
    </w:p>
    <w:p w14:paraId="00BEB1AE">
      <w:pPr>
        <w:widowControl/>
        <w:spacing w:before="0" w:beforeLines="0" w:beforeAutospacing="0" w:after="0" w:afterLines="0" w:afterAutospacing="0" w:line="240" w:lineRule="auto"/>
        <w:jc w:val="center"/>
        <w:rPr>
          <w:rFonts w:ascii="Fz_S_BiaoSong_Jt" w:eastAsia="Fz_S_BiaoSong_Jt"/>
          <w:sz w:val="48"/>
          <w:szCs w:val="48"/>
        </w:rPr>
      </w:pPr>
      <w:r>
        <w:rPr>
          <w:rFonts w:ascii="Fz_S_BiaoSong_Jt" w:eastAsia="Fz_S_BiaoSong_Jt"/>
          <w:b w:val="0"/>
          <w:sz w:val="48"/>
          <w:szCs w:val="48"/>
        </w:rPr>
        <w:t>天津市东丽区丰年村街退役军人服务站</w:t>
      </w:r>
    </w:p>
    <w:p w14:paraId="25BAB655">
      <w:pPr>
        <w:widowControl/>
        <w:spacing w:before="0" w:beforeLines="0" w:beforeAutospacing="0" w:after="0" w:afterLines="0" w:afterAutospacing="0" w:line="240" w:lineRule="auto"/>
        <w:jc w:val="center"/>
        <w:rPr>
          <w:rFonts w:ascii="Times New Roman" w:eastAsia="Fz_S_BiaoSong_Jt"/>
          <w:sz w:val="48"/>
          <w:szCs w:val="48"/>
        </w:rPr>
      </w:pPr>
      <w:r>
        <w:rPr>
          <w:rFonts w:ascii="Times New Roman" w:eastAsia="Fz_S_BiaoSong_Jt"/>
          <w:b w:val="0"/>
          <w:sz w:val="48"/>
          <w:szCs w:val="48"/>
        </w:rPr>
        <w:t>2024年度部门决算</w:t>
      </w:r>
    </w:p>
    <w:p w14:paraId="5A869284">
      <w:pPr>
        <w:spacing w:line="600" w:lineRule="auto"/>
        <w:jc w:val="both"/>
        <w:rPr>
          <w:rFonts w:hint="eastAsia" w:asciiTheme="minorEastAsia" w:hAnsiTheme="minorEastAsia" w:eastAsiaTheme="minorEastAsia" w:cstheme="minorEastAsia"/>
          <w:b w:val="0"/>
          <w:bCs w:val="0"/>
          <w:color w:val="000000"/>
          <w:sz w:val="22"/>
          <w:szCs w:val="22"/>
        </w:rPr>
      </w:pPr>
    </w:p>
    <w:p w14:paraId="4437E50E">
      <w:pPr>
        <w:spacing w:line="600" w:lineRule="auto"/>
        <w:jc w:val="both"/>
        <w:rPr>
          <w:rFonts w:hint="eastAsia" w:asciiTheme="minorEastAsia" w:hAnsiTheme="minorEastAsia" w:eastAsiaTheme="minorEastAsia" w:cstheme="minorEastAsia"/>
          <w:b w:val="0"/>
          <w:bCs w:val="0"/>
          <w:color w:val="000000"/>
          <w:sz w:val="22"/>
          <w:szCs w:val="22"/>
        </w:rPr>
      </w:pPr>
    </w:p>
    <w:p w14:paraId="4B15A028">
      <w:pPr>
        <w:spacing w:line="600" w:lineRule="auto"/>
        <w:jc w:val="both"/>
        <w:rPr>
          <w:rFonts w:hint="eastAsia" w:asciiTheme="minorEastAsia" w:hAnsiTheme="minorEastAsia" w:eastAsiaTheme="minorEastAsia" w:cstheme="minorEastAsia"/>
          <w:b w:val="0"/>
          <w:bCs w:val="0"/>
          <w:color w:val="000000"/>
          <w:sz w:val="22"/>
          <w:szCs w:val="22"/>
        </w:rPr>
      </w:pPr>
    </w:p>
    <w:p w14:paraId="6DFD9925">
      <w:pPr>
        <w:rPr>
          <w:rFonts w:hint="eastAsia" w:asciiTheme="minorEastAsia" w:hAnsiTheme="minorEastAsia" w:eastAsiaTheme="minorEastAsia" w:cstheme="minorEastAsia"/>
          <w:b w:val="0"/>
          <w:bCs w:val="0"/>
          <w:color w:val="000000"/>
          <w:sz w:val="22"/>
          <w:szCs w:val="22"/>
        </w:rPr>
      </w:pPr>
      <w:r>
        <w:rPr>
          <w:rFonts w:hint="eastAsia" w:asciiTheme="minorEastAsia" w:hAnsiTheme="minorEastAsia" w:eastAsiaTheme="minorEastAsia" w:cstheme="minorEastAsia"/>
          <w:b w:val="0"/>
          <w:bCs w:val="0"/>
          <w:color w:val="000000"/>
          <w:sz w:val="22"/>
          <w:szCs w:val="22"/>
        </w:rPr>
        <w:br w:type="page"/>
      </w:r>
    </w:p>
    <w:p w14:paraId="6FCA4F7E">
      <w:pPr>
        <w:widowControl/>
        <w:spacing w:before="0" w:beforeLines="0" w:beforeAutospacing="0" w:after="0" w:afterLines="0" w:afterAutospacing="0" w:line="240" w:lineRule="auto"/>
        <w:jc w:val="center"/>
        <w:outlineLvl w:val="0"/>
        <w:rPr>
          <w:rFonts w:ascii="宋体" w:eastAsia="黑体"/>
          <w:sz w:val="44"/>
          <w:szCs w:val="44"/>
        </w:rPr>
      </w:pPr>
      <w:r>
        <w:rPr>
          <w:rFonts w:ascii="宋体" w:eastAsia="黑体"/>
          <w:b w:val="0"/>
          <w:sz w:val="44"/>
          <w:szCs w:val="44"/>
        </w:rPr>
        <w:t>目  录</w:t>
      </w:r>
    </w:p>
    <w:p w14:paraId="1AA25854">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第一部分   概况</w:t>
      </w:r>
    </w:p>
    <w:p w14:paraId="4B2DFDBB">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一、主要职责</w:t>
      </w:r>
    </w:p>
    <w:p w14:paraId="22993AD6">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二、机构设置</w:t>
      </w:r>
    </w:p>
    <w:p w14:paraId="020C4218">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第二部分   2024年度部门决算报表</w:t>
      </w:r>
    </w:p>
    <w:p w14:paraId="5DA22317">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一、收入支出决算总表</w:t>
      </w:r>
    </w:p>
    <w:p w14:paraId="48FD6323">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二、收入决算表（按功能分类列示）</w:t>
      </w:r>
    </w:p>
    <w:p w14:paraId="75E83A68">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三、收入决算表（按单位列示）</w:t>
      </w:r>
    </w:p>
    <w:p w14:paraId="19EFDD2E">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四、支出决算表</w:t>
      </w:r>
    </w:p>
    <w:p w14:paraId="1C6B2DA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五、财政拨款收入支出决算总表</w:t>
      </w:r>
    </w:p>
    <w:p w14:paraId="2D7C7D20">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六、一般公共预算财政拨款支出决算表</w:t>
      </w:r>
    </w:p>
    <w:p w14:paraId="36935163">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七、一般公共预算财政拨款基本支出决算明细表</w:t>
      </w:r>
    </w:p>
    <w:p w14:paraId="6F6CD817">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八、政府性基金预算财政拨款收入支出决算表</w:t>
      </w:r>
    </w:p>
    <w:p w14:paraId="6A2AE099">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九、国有资本经营预算财政拨款支出决算表</w:t>
      </w:r>
    </w:p>
    <w:p w14:paraId="6956FA4E">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十、财政拨款“三公”经费支出决算表</w:t>
      </w:r>
    </w:p>
    <w:p w14:paraId="330D1EA6">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十一、项目支出决算表</w:t>
      </w:r>
    </w:p>
    <w:p w14:paraId="62F2FE7C">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第三部分   2024年度部门决算情况说明</w:t>
      </w:r>
    </w:p>
    <w:p w14:paraId="420D45E6">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一、收支决算总体情况说明</w:t>
      </w:r>
    </w:p>
    <w:p w14:paraId="7D840AA5">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二、收入决算情况说明</w:t>
      </w:r>
    </w:p>
    <w:p w14:paraId="64D14946">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三、支出决算情况说明</w:t>
      </w:r>
    </w:p>
    <w:p w14:paraId="3D5D1465">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四、财政拨款收支决算总体情况说明</w:t>
      </w:r>
    </w:p>
    <w:p w14:paraId="3BC0C8DA">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五、一般公共预算财政拨款支出决算情况说明</w:t>
      </w:r>
    </w:p>
    <w:p w14:paraId="3293748F">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六、一般公共预算财政拨款基本支出决算情况说明</w:t>
      </w:r>
    </w:p>
    <w:p w14:paraId="571967A0">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七、政府性基金预算财政拨款收支决算情况说明</w:t>
      </w:r>
    </w:p>
    <w:p w14:paraId="07E37EA3">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八、国有资本经营预算财政拨款收支决算情况说明</w:t>
      </w:r>
    </w:p>
    <w:p w14:paraId="25AA6583">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九、财政拨款“三公”经费支出决算情况说明</w:t>
      </w:r>
    </w:p>
    <w:p w14:paraId="3AFC2DAC">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十、机关运行经费支出情况说明</w:t>
      </w:r>
    </w:p>
    <w:p w14:paraId="2AA6EB2C">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十一、政府采购支出情况说明</w:t>
      </w:r>
    </w:p>
    <w:p w14:paraId="6AF4E42D">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十二、国有资产占有使用情况说明</w:t>
      </w:r>
    </w:p>
    <w:p w14:paraId="19860655">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十三、预算绩效情况说明</w:t>
      </w:r>
    </w:p>
    <w:p w14:paraId="5DEDE5F5">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十四、教育、医疗卫生、社会保障和就业、住房保障、涉农补贴等民生支出情况说明</w:t>
      </w:r>
    </w:p>
    <w:p w14:paraId="2E4D3C9C">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第四部分   名词解释</w:t>
      </w:r>
    </w:p>
    <w:p w14:paraId="7C76BF7E">
      <w:pPr>
        <w:rPr>
          <w:rFonts w:hint="eastAsia" w:asciiTheme="minorEastAsia" w:hAnsiTheme="minorEastAsia" w:eastAsiaTheme="minorEastAsia" w:cstheme="minorEastAsia"/>
          <w:b w:val="0"/>
          <w:bCs w:val="0"/>
          <w:sz w:val="22"/>
          <w:szCs w:val="22"/>
          <w:highlight w:val="yellow"/>
        </w:rPr>
      </w:pPr>
    </w:p>
    <w:p w14:paraId="5F8B6E60">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r:id="rId3" w:type="default"/>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14:paraId="53D5208F">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第一部分  概况</w:t>
      </w:r>
    </w:p>
    <w:p w14:paraId="2DFA4534">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一、主要职责</w:t>
      </w:r>
    </w:p>
    <w:p w14:paraId="761E1A7C">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负责退役军人服务具体工作。</w:t>
      </w:r>
    </w:p>
    <w:p w14:paraId="02755523">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二、机构设置</w:t>
      </w:r>
    </w:p>
    <w:p w14:paraId="583CF053">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天津市东丽区丰年村街退役军人服务站内设0个职能部门；下辖0个预算单位。纳入天津市东丽区丰年村街退役军人服务站2024年度部门决算编制范围的单位包括：</w:t>
      </w:r>
    </w:p>
    <w:p w14:paraId="7D3D7562">
      <w:pPr>
        <w:widowControl/>
        <w:spacing w:before="0" w:beforeLines="0" w:beforeAutospacing="0" w:after="0" w:afterLines="0" w:afterAutospacing="0" w:line="240" w:lineRule="auto"/>
        <w:ind w:firstLine="600" w:firstLineChars="200"/>
        <w:jc w:val="left"/>
        <w:rPr>
          <w:rFonts w:ascii="Times New Roman" w:eastAsia="仿宋_GB2312"/>
          <w:sz w:val="30"/>
          <w:szCs w:val="30"/>
        </w:rPr>
      </w:pPr>
    </w:p>
    <w:p w14:paraId="27D6ECFA">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1.​天津市东丽区丰年村街退役军人服务站</w:t>
      </w:r>
    </w:p>
    <w:p w14:paraId="5F889FAE">
      <w:pPr>
        <w:widowControl/>
        <w:spacing w:line="600" w:lineRule="exact"/>
        <w:jc w:val="left"/>
        <w:rPr>
          <w:rFonts w:hint="eastAsia" w:asciiTheme="minorEastAsia" w:hAnsiTheme="minorEastAsia" w:eastAsiaTheme="minorEastAsia" w:cstheme="minorEastAsia"/>
          <w:b w:val="0"/>
          <w:bCs w:val="0"/>
          <w:sz w:val="22"/>
          <w:szCs w:val="22"/>
          <w:lang w:val="en-US" w:eastAsia="zh-CN"/>
        </w:rPr>
        <w:sectPr>
          <w:headerReference r:id="rId4" w:type="default"/>
          <w:footerReference r:id="rId5" w:type="default"/>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29D1B5C1">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第二部分  2024年度部门决算报表</w:t>
      </w:r>
    </w:p>
    <w:p w14:paraId="069FC8B4">
      <w:pPr>
        <w:pStyle w:val="28"/>
        <w:keepNext w:val="0"/>
        <w:keepLines w:val="0"/>
        <w:widowControl/>
        <w:suppressLineNumbers w:val="0"/>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一、收入支出决算总表</w:t>
      </w:r>
      <w:r>
        <w:rPr>
          <w:rFonts w:hint="eastAsia" w:ascii="仿宋" w:hAnsi="仿宋" w:eastAsia="仿宋" w:cs="仿宋"/>
          <w:b/>
          <w:bCs/>
          <w:sz w:val="30"/>
          <w:szCs w:val="30"/>
          <w:highlight w:val="none"/>
          <w:u w:val="none"/>
          <w:lang w:val="en-US" w:eastAsia="zh-CN"/>
        </w:rPr>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部门（单位）：天津市东丽区丰年村街退役军人服务站 </w:t>
            </w:r>
          </w:p>
        </w:tc>
        <w:tc>
          <w:tcPr>
            <w:tcW w:w="1087" w:type="pct"/>
            <w:tcBorders>
              <w:top w:val="nil"/>
              <w:left w:val="nil"/>
              <w:bottom w:val="nil"/>
              <w:right w:val="nil"/>
            </w:tcBorders>
            <w:shd w:val="clear" w:color="auto" w:fill="auto"/>
            <w:noWrap/>
            <w:vAlign w:val="bottom"/>
          </w:tcPr>
          <w:p w14:paraId="09A5DB07">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Style w:val="27"/>
                <w:rFonts w:hint="eastAsia" w:asciiTheme="minorEastAsia" w:hAnsiTheme="minorEastAsia" w:eastAsiaTheme="minorEastAsia" w:cstheme="minorEastAsia"/>
                <w:b w:val="0"/>
                <w:bCs w:val="0"/>
                <w:sz w:val="22"/>
                <w:szCs w:val="22"/>
                <w:lang w:val="en-US" w:eastAsia="zh-CN" w:bidi="ar"/>
              </w:rPr>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0"/>
                <w:bCs w:val="0"/>
                <w:i w:val="0"/>
                <w:iCs w:val="0"/>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2,374,481.37</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1,432,410.81</w:t>
            </w: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250,760.16</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111,846.36</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564,558.00</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2,374,481.37</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2,359,575.33</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235.37</w:t>
            </w: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15,141.41</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235.37</w:t>
            </w: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0"/>
                <w:bCs w:val="0"/>
                <w:i w:val="0"/>
                <w:iCs w:val="0"/>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0"/>
                <w:bCs w:val="0"/>
                <w:i w:val="0"/>
                <w:iCs w:val="0"/>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2,374,716.74</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2,374,716.74</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0"/>
          <w:bCs w:val="0"/>
          <w:sz w:val="22"/>
          <w:szCs w:val="22"/>
          <w:lang w:val="en-US" w:eastAsia="zh-CN"/>
        </w:rPr>
      </w:pPr>
      <w:r>
        <w:rPr>
          <w:rFonts w:hint="eastAsia" w:asciiTheme="minorEastAsia" w:hAnsiTheme="minorEastAsia" w:eastAsiaTheme="minorEastAsia" w:cstheme="minorEastAsia"/>
          <w:b w:val="0"/>
          <w:bCs w:val="0"/>
          <w:sz w:val="22"/>
          <w:szCs w:val="22"/>
          <w:highlight w:val="none"/>
          <w:u w:val="none"/>
          <w:lang w:val="en-US" w:eastAsia="zh-CN"/>
        </w:rPr>
        <w:br w:type="page"/>
      </w:r>
    </w:p>
    <w:p w14:paraId="48EFDB26">
      <w:pPr>
        <w:pStyle w:val="28"/>
        <w:keepNext w:val="0"/>
        <w:keepLines w:val="0"/>
        <w:widowControl/>
        <w:suppressLineNumbers w:val="0"/>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二、收入决算表(按功能分类列示)</w:t>
      </w:r>
      <w:r>
        <w:rPr>
          <w:rFonts w:hint="eastAsia" w:ascii="仿宋" w:hAnsi="仿宋" w:eastAsia="仿宋" w:cs="仿宋"/>
          <w:b/>
          <w:bCs/>
          <w:color w:val="000000"/>
          <w:sz w:val="30"/>
          <w:szCs w:val="30"/>
        </w:rPr>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部门（单位）：天津市东丽区丰年村街退役军人服务站 </w:t>
            </w:r>
          </w:p>
        </w:tc>
        <w:tc>
          <w:tcPr>
            <w:tcW w:w="451" w:type="pct"/>
            <w:tcBorders>
              <w:top w:val="nil"/>
              <w:left w:val="nil"/>
              <w:bottom w:val="nil"/>
              <w:right w:val="nil"/>
            </w:tcBorders>
            <w:shd w:val="clear" w:color="auto" w:fill="auto"/>
            <w:noWrap/>
            <w:vAlign w:val="bottom"/>
          </w:tcPr>
          <w:p w14:paraId="45F79B2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0"/>
                <w:bCs w:val="0"/>
                <w:i w:val="0"/>
                <w:iCs w:val="0"/>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0"/>
                <w:bCs w:val="0"/>
                <w:i w:val="0"/>
                <w:iCs w:val="0"/>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0"/>
                <w:bCs w:val="0"/>
                <w:i w:val="0"/>
                <w:iCs w:val="0"/>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合计</w:t>
            </w:r>
          </w:p>
        </w:tc>
        <w:tc>
          <w:tcPr>
            <w:tcW w:w="495" w:type="pct"/>
            <w:tcBorders>
              <w:top w:val="nil"/>
              <w:left w:val="nil"/>
              <w:bottom w:val="nil"/>
              <w:right w:val="single" w:color="000000" w:sz="4" w:space="0"/>
            </w:tcBorders>
            <w:shd w:val="clear" w:color="auto" w:fill="auto"/>
            <w:vAlign w:val="center"/>
          </w:tcPr>
          <w:p w14:paraId="02A1CB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2,374,481.37</w:t>
            </w:r>
          </w:p>
        </w:tc>
        <w:tc>
          <w:tcPr>
            <w:tcW w:w="446" w:type="pct"/>
            <w:tcBorders>
              <w:top w:val="nil"/>
              <w:left w:val="nil"/>
              <w:bottom w:val="nil"/>
              <w:right w:val="single" w:color="000000" w:sz="4" w:space="0"/>
            </w:tcBorders>
            <w:shd w:val="clear" w:color="auto" w:fill="auto"/>
            <w:vAlign w:val="center"/>
          </w:tcPr>
          <w:p w14:paraId="53CD55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2,374,481.37</w:t>
            </w:r>
          </w:p>
        </w:tc>
        <w:tc>
          <w:tcPr>
            <w:tcW w:w="464" w:type="pct"/>
            <w:tcBorders>
              <w:top w:val="nil"/>
              <w:left w:val="nil"/>
              <w:bottom w:val="nil"/>
              <w:right w:val="single" w:color="000000" w:sz="4" w:space="0"/>
            </w:tcBorders>
            <w:shd w:val="clear" w:color="auto" w:fill="auto"/>
            <w:vAlign w:val="center"/>
          </w:tcPr>
          <w:p w14:paraId="024A85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nil"/>
              <w:left w:val="nil"/>
              <w:bottom w:val="nil"/>
              <w:right w:val="single" w:color="000000" w:sz="4" w:space="0"/>
            </w:tcBorders>
            <w:shd w:val="clear" w:color="auto" w:fill="auto"/>
            <w:vAlign w:val="center"/>
          </w:tcPr>
          <w:p w14:paraId="02C5F5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nil"/>
              <w:left w:val="nil"/>
              <w:bottom w:val="nil"/>
              <w:right w:val="single" w:color="000000" w:sz="4" w:space="0"/>
            </w:tcBorders>
            <w:shd w:val="clear" w:color="auto" w:fill="auto"/>
            <w:vAlign w:val="center"/>
          </w:tcPr>
          <w:p w14:paraId="136766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nil"/>
              <w:left w:val="nil"/>
              <w:bottom w:val="nil"/>
              <w:right w:val="single" w:color="000000" w:sz="4" w:space="0"/>
            </w:tcBorders>
            <w:shd w:val="clear" w:color="auto" w:fill="auto"/>
            <w:vAlign w:val="center"/>
          </w:tcPr>
          <w:p w14:paraId="27A09F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nil"/>
              <w:left w:val="nil"/>
              <w:bottom w:val="nil"/>
              <w:right w:val="single" w:color="000000" w:sz="4" w:space="0"/>
            </w:tcBorders>
            <w:shd w:val="clear" w:color="auto" w:fill="auto"/>
            <w:vAlign w:val="center"/>
          </w:tcPr>
          <w:p w14:paraId="68138F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nil"/>
              <w:left w:val="nil"/>
              <w:bottom w:val="nil"/>
              <w:right w:val="single" w:color="000000" w:sz="4" w:space="0"/>
            </w:tcBorders>
            <w:shd w:val="clear" w:color="auto" w:fill="auto"/>
            <w:vAlign w:val="center"/>
          </w:tcPr>
          <w:p w14:paraId="06203A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一般公共服务支出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1,432,410.81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1,432,410.81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E85F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3B0F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20103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B5EF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政府办公厅（室）及相关机构事务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94C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1,432,410.81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190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1,432,410.81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FC5D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99E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EE87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E814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A87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D38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4669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E1A2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2010350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2372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事业运行</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7FA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1,432,410.81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EAB4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1,432,410.81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BFC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C2A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6DF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A87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BA6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4FF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ED2C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239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EA23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033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257,993.20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AF71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257,993.20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21B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90F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AE5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732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786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14C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CCB5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16C9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9289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54B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257,993.20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245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257,993.20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8EF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CF4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AEA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79F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AC2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E30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FF74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D52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E052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CFF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174,406.48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494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174,406.48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CDAF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736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4964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C4F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35A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437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41CA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0EA9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343E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ED1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83,586.72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C3E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83,586.72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323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688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F96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2BC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A77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55B3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A04B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5C4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0BF2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DDF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111,846.36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BD7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111,846.36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ED4B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402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4CCF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262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0BA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FA3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99DD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854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8896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257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111,846.36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B453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111,846.36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EB3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B13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BB9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C222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CC9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166A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0E24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AFCD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0D45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516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111,846.36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AFA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111,846.36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F35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699A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32D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971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9D9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35B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BE66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4B6F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26CA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E81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572,231.00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D28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572,231.00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3D3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FAA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69E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54D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32B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F92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D2E0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FDDB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D8F0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BBB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572,231.00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1E1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572,231.00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C7B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3D1F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9615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C57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68DF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135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BA68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0CBD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BA2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787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572,231.00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B560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572,231.00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11A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F4B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5DE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26CC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A06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FBEE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注：本表反映本年度取得的各项收入情况。</w:t>
            </w:r>
          </w:p>
        </w:tc>
      </w:tr>
    </w:tbl>
    <w:p w14:paraId="4F172085">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28DACB2F">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 xml:space="preserve">部门（单位）：天津市东丽区丰年村街退役军人服务站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0"/>
                <w:bCs w:val="0"/>
                <w:i w:val="0"/>
                <w:iCs w:val="0"/>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0"/>
                <w:bCs w:val="0"/>
                <w:i w:val="0"/>
                <w:iCs w:val="0"/>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0"/>
                <w:bCs w:val="0"/>
                <w:i w:val="0"/>
                <w:iCs w:val="0"/>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0"/>
                <w:bCs w:val="0"/>
                <w:i w:val="0"/>
                <w:iCs w:val="0"/>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0"/>
                <w:bCs w:val="0"/>
                <w:i w:val="0"/>
                <w:iCs w:val="0"/>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0"/>
                <w:bCs w:val="0"/>
                <w:i w:val="0"/>
                <w:iCs w:val="0"/>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0"/>
                <w:bCs w:val="0"/>
                <w:i w:val="0"/>
                <w:iCs w:val="0"/>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0"/>
                <w:bCs w:val="0"/>
                <w:i w:val="0"/>
                <w:iCs w:val="0"/>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0"/>
                <w:bCs w:val="0"/>
                <w:i w:val="0"/>
                <w:iCs w:val="0"/>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0"/>
                <w:bCs w:val="0"/>
                <w:i w:val="0"/>
                <w:iCs w:val="0"/>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0"/>
                <w:bCs w:val="0"/>
                <w:i w:val="0"/>
                <w:iCs w:val="0"/>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0"/>
                <w:bCs w:val="0"/>
                <w:i w:val="0"/>
                <w:iCs w:val="0"/>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0"/>
                <w:bCs w:val="0"/>
                <w:i w:val="0"/>
                <w:iCs w:val="0"/>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0"/>
                <w:bCs w:val="0"/>
                <w:i w:val="0"/>
                <w:iCs w:val="0"/>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0"/>
                <w:bCs w:val="0"/>
                <w:i w:val="0"/>
                <w:iCs w:val="0"/>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0"/>
                <w:bCs w:val="0"/>
                <w:i w:val="0"/>
                <w:iCs w:val="0"/>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0"/>
                <w:bCs w:val="0"/>
                <w:i w:val="0"/>
                <w:iCs w:val="0"/>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0"/>
                <w:bCs w:val="0"/>
                <w:i w:val="0"/>
                <w:iCs w:val="0"/>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0"/>
                <w:bCs w:val="0"/>
                <w:i w:val="0"/>
                <w:iCs w:val="0"/>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2,374,716.74</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2,374,481.37</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2,374,481.37</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235.37</w:t>
            </w: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235.37</w:t>
            </w: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235.37</w:t>
            </w: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802203</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天津市东丽区丰年村街退役军人服务站</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2,374,716.74</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2,374,481.37</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2,374,481.37</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235.37</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235.37</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235.37</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35793248">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部门（单位）：天津市东丽区丰年村街退役军人服务站 </w:t>
            </w:r>
          </w:p>
        </w:tc>
        <w:tc>
          <w:tcPr>
            <w:tcW w:w="567" w:type="pct"/>
            <w:tcBorders>
              <w:top w:val="nil"/>
              <w:left w:val="nil"/>
              <w:bottom w:val="nil"/>
              <w:right w:val="nil"/>
            </w:tcBorders>
            <w:shd w:val="clear" w:color="auto" w:fill="auto"/>
            <w:noWrap/>
            <w:vAlign w:val="bottom"/>
          </w:tcPr>
          <w:p w14:paraId="1107D77C">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81" w:type="pct"/>
            <w:tcBorders>
              <w:top w:val="nil"/>
              <w:left w:val="nil"/>
              <w:bottom w:val="nil"/>
              <w:right w:val="single" w:color="000000" w:sz="4" w:space="0"/>
            </w:tcBorders>
            <w:shd w:val="clear" w:color="auto" w:fill="auto"/>
            <w:noWrap/>
            <w:vAlign w:val="center"/>
          </w:tcPr>
          <w:p w14:paraId="69D2038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0"/>
                <w:bCs w:val="0"/>
                <w:i w:val="0"/>
                <w:iCs w:val="0"/>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2,359,575.33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2,359,575.33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一般公共服务支出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1,432,410.81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1,432,410.81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15C9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29A5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0F23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政府办公厅（室）及相关机构事务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79F2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1,432,410.81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FE2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1,432,410.81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C56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632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4E2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0B8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2AB2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1E4E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2010350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7ABD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事业运行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6D5C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1,432,410.81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27B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1,432,410.81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8A7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4AA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9B4F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2A5D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1040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A7FF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D82D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BCF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250,760.16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649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250,760.16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500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BFD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F65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D38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86F8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6118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EFB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EDB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250,760.16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C7E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250,760.16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0DA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304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EC6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0E6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F97E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2816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CB77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2C3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167,173.44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86AB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167,173.44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D31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E7A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827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3AE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13F3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E245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3189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0F8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83,586.72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444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83,586.72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CDF1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3AA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70A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1A6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B47B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C58B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010C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EA3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111,846.36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06C3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111,846.36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EEC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79A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11A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36D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8902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319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E484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DC1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111,846.36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B3B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111,846.36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A4A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0FD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693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74B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45DF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6095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2679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09FB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111,846.36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59C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111,846.36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1F4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2E52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1ED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8B0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7E46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24F9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5C5E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299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564,558.00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38A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564,558.00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F1A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302B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585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08E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08E7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2CB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490C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982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564,558.00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021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564,558.00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D54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97D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D85A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07C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C5EF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6945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CF66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6A47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564,558.00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BC7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564,558.00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565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F71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0654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061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注：本表反映本年度各项支出情况。</w:t>
            </w:r>
          </w:p>
        </w:tc>
      </w:tr>
    </w:tbl>
    <w:p w14:paraId="24D72203">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282A4E90">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部门（单位）：天津市东丽区丰年村街退役军人服务站 </w:t>
            </w:r>
          </w:p>
        </w:tc>
        <w:tc>
          <w:tcPr>
            <w:tcW w:w="705" w:type="pct"/>
            <w:tcBorders>
              <w:top w:val="nil"/>
              <w:left w:val="nil"/>
              <w:bottom w:val="nil"/>
              <w:right w:val="nil"/>
            </w:tcBorders>
            <w:shd w:val="clear" w:color="auto" w:fill="auto"/>
            <w:noWrap/>
            <w:vAlign w:val="bottom"/>
          </w:tcPr>
          <w:p w14:paraId="47C6A39A">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2,374,481.37</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1,432,410.81</w:t>
            </w: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1,432,410.81</w:t>
            </w: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250,760.16</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250,760.16</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111,846.36</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111,846.36</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564,558.00</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564,558.00</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2,374,481.37</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2,359,575.33</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2,359,575.33</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235.37</w:t>
            </w: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15,141.41</w:t>
            </w: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15,141.41</w:t>
            </w: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235.37</w:t>
            </w: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0"/>
                <w:bCs w:val="0"/>
                <w:i w:val="0"/>
                <w:iCs w:val="0"/>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0"/>
                <w:bCs w:val="0"/>
                <w:i w:val="0"/>
                <w:iCs w:val="0"/>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0"/>
                <w:bCs w:val="0"/>
                <w:i w:val="0"/>
                <w:iCs w:val="0"/>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2,374,716.74</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2,374,716.74</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2,374,716.74</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50B2B1FE">
      <w:pPr>
        <w:pStyle w:val="28"/>
        <w:keepNext w:val="0"/>
        <w:keepLines w:val="0"/>
        <w:widowControl/>
        <w:numPr>
          <w:ilvl w:val="0"/>
          <w:numId w:val="2"/>
        </w:numPr>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天津市东丽区丰年村街退役军人服务站 </w:t>
            </w:r>
          </w:p>
        </w:tc>
        <w:tc>
          <w:tcPr>
            <w:tcW w:w="597" w:type="pct"/>
            <w:tcBorders>
              <w:top w:val="nil"/>
              <w:left w:val="nil"/>
              <w:bottom w:val="nil"/>
              <w:right w:val="nil"/>
            </w:tcBorders>
            <w:shd w:val="clear" w:color="auto" w:fill="auto"/>
            <w:noWrap/>
            <w:vAlign w:val="bottom"/>
          </w:tcPr>
          <w:p w14:paraId="21EC1AB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462" w:type="pct"/>
            <w:tcBorders>
              <w:top w:val="nil"/>
              <w:left w:val="nil"/>
              <w:bottom w:val="nil"/>
              <w:right w:val="single" w:color="000000" w:sz="4" w:space="0"/>
            </w:tcBorders>
            <w:shd w:val="clear" w:color="auto" w:fill="auto"/>
            <w:noWrap/>
            <w:vAlign w:val="center"/>
          </w:tcPr>
          <w:p w14:paraId="2DAFD8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0"/>
                <w:iCs w:val="0"/>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621" w:type="pct"/>
            <w:tcBorders>
              <w:top w:val="nil"/>
              <w:left w:val="nil"/>
              <w:bottom w:val="nil"/>
              <w:right w:val="single" w:color="000000" w:sz="4" w:space="0"/>
            </w:tcBorders>
            <w:shd w:val="clear" w:color="auto" w:fill="auto"/>
            <w:noWrap/>
            <w:vAlign w:val="center"/>
          </w:tcPr>
          <w:p w14:paraId="5CFE89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人员经费</w:t>
            </w:r>
          </w:p>
        </w:tc>
        <w:tc>
          <w:tcPr>
            <w:tcW w:w="610" w:type="pct"/>
            <w:tcBorders>
              <w:top w:val="nil"/>
              <w:left w:val="nil"/>
              <w:bottom w:val="nil"/>
              <w:right w:val="single" w:color="000000" w:sz="4" w:space="0"/>
            </w:tcBorders>
            <w:shd w:val="clear" w:color="auto" w:fill="auto"/>
            <w:noWrap/>
            <w:vAlign w:val="center"/>
          </w:tcPr>
          <w:p w14:paraId="198EAC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0"/>
                <w:iCs w:val="0"/>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2,359,575.33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2,359,575.33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2,270,421.79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89,153.54</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一般公共服务支出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1,432,410.81</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1,432,410.81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1,343,257.27</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89,153.54</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FC0B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E201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20103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5EBB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政府办公厅（室）及相关机构事务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C499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1,432,410.81</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DE13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1,432,410.81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25FB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1,343,257.27</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021C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89,153.54</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88B6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32AF6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33DA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2010350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5F26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事业运行</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B66B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1,432,410.81</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ADFE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1,432,410.81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AE1E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1,343,257.27</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71AE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89,153.54</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2CB3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7E650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8339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F51D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EBEC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250,760.16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0280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250,760.16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7D01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250,760.16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1785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D43D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58F8A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A5B1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A2B6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38FC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250,760.16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CD64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250,760.16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D998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250,760.16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7442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D795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FFC0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D55E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E6ED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0785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167,173.44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35D2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167,173.44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EE07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167,173.44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FD88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69ED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3FBC7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1123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BB30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A457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83,586.72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370B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83,586.72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C65B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83,586.72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823F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8EE5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5139B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D1DB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AB59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4822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111,846.36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D294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111,846.36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DB01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111,846.36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A661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5377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3F689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AB51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6128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23B8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111,846.36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78B2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111,846.36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3B7D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111,846.36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927E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1ED4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6036C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FB91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CD61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9C88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111,846.36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2E16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111,846.36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DDE1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111,846.36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6172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8B75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A44A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206A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3B60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6AF0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564,558.00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586F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564,558.00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8825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564,558.00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C8F6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99FC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73C75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4C9D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A692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A096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564,558.00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C650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564,558.00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A911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564,558.00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8DC7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4568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3BB8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0E45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3CA9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BB09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564,558.00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744C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564,558.00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D681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564,558.00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B127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7A79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注：本表反映本年度一般公共预算财政拨款支出情况。</w:t>
            </w:r>
          </w:p>
        </w:tc>
      </w:tr>
    </w:tbl>
    <w:p w14:paraId="2D3BEDF5">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1067D02F">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部门（单位）：天津市东丽区丰年村街退役军人服务站 </w:t>
            </w:r>
          </w:p>
        </w:tc>
        <w:tc>
          <w:tcPr>
            <w:tcW w:w="617" w:type="pct"/>
            <w:tcBorders>
              <w:top w:val="nil"/>
              <w:left w:val="nil"/>
              <w:bottom w:val="nil"/>
              <w:right w:val="nil"/>
            </w:tcBorders>
            <w:shd w:val="clear" w:color="auto" w:fill="auto"/>
            <w:noWrap/>
            <w:vAlign w:val="bottom"/>
          </w:tcPr>
          <w:p w14:paraId="0A678682">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2,244,354.79</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89,153.54</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500,970.00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10,278.00</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251,905.00</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555,501.00</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167,173.44</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83,586.72</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104,484.36</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7,314.27</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1,507.00</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564,558.00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7,362.00</w:t>
            </w: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1,500.00</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26,067.00</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16,537.70</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7,794.00</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26,067.00</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13,036.84</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40,000.00</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0"/>
                <w:bCs w:val="0"/>
                <w:i w:val="0"/>
                <w:iCs w:val="0"/>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2,270,421.79</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89,153.54</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注：本表反映本年度一般公共预算财政拨款基本支出明细情况。</w:t>
            </w:r>
          </w:p>
        </w:tc>
      </w:tr>
    </w:tbl>
    <w:p w14:paraId="057ED6E4">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3A536BEC">
      <w:pPr>
        <w:pStyle w:val="28"/>
        <w:keepNext w:val="0"/>
        <w:keepLines w:val="0"/>
        <w:widowControl/>
        <w:suppressLineNumbers w:val="0"/>
        <w:jc w:val="left"/>
        <w:rPr>
          <w:rFonts w:hint="eastAsia" w:asciiTheme="minorEastAsia" w:hAnsiTheme="minorEastAsia" w:eastAsiaTheme="minorEastAsia" w:cstheme="minorEastAsia"/>
          <w:b w:val="0"/>
          <w:bCs w:val="0"/>
          <w:color w:val="auto"/>
          <w:kern w:val="0"/>
          <w:sz w:val="22"/>
          <w:szCs w:val="22"/>
          <w:highlight w:val="none"/>
        </w:rPr>
      </w:pPr>
      <w:r>
        <w:rPr>
          <w:rFonts w:hint="eastAsia" w:ascii="仿宋" w:hAnsi="仿宋" w:eastAsia="仿宋" w:cs="仿宋"/>
          <w:b/>
          <w:bCs/>
          <w:color w:val="000000"/>
          <w:sz w:val="30"/>
          <w:szCs w:val="30"/>
          <w:lang w:val="en-US" w:eastAsia="zh-CN"/>
        </w:rPr>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天津市东丽区丰年村街退役军人服务站 </w:t>
            </w:r>
          </w:p>
        </w:tc>
        <w:tc>
          <w:tcPr>
            <w:tcW w:w="517" w:type="pct"/>
            <w:tcBorders>
              <w:top w:val="nil"/>
              <w:left w:val="nil"/>
              <w:bottom w:val="nil"/>
              <w:right w:val="nil"/>
            </w:tcBorders>
            <w:shd w:val="clear" w:color="auto" w:fill="auto"/>
            <w:noWrap/>
            <w:vAlign w:val="bottom"/>
          </w:tcPr>
          <w:p w14:paraId="65235F2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376" w:type="pct"/>
            <w:tcBorders>
              <w:top w:val="nil"/>
              <w:left w:val="nil"/>
              <w:bottom w:val="nil"/>
              <w:right w:val="single" w:color="000000" w:sz="4" w:space="0"/>
            </w:tcBorders>
            <w:shd w:val="clear" w:color="auto" w:fill="auto"/>
            <w:noWrap/>
            <w:vAlign w:val="center"/>
          </w:tcPr>
          <w:p w14:paraId="50FB88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0"/>
                <w:iCs w:val="0"/>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510" w:type="pct"/>
            <w:tcBorders>
              <w:top w:val="nil"/>
              <w:left w:val="nil"/>
              <w:bottom w:val="nil"/>
              <w:right w:val="single" w:color="000000" w:sz="4" w:space="0"/>
            </w:tcBorders>
            <w:shd w:val="clear" w:color="auto" w:fill="auto"/>
            <w:noWrap/>
            <w:vAlign w:val="center"/>
          </w:tcPr>
          <w:p w14:paraId="4DEE45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0"/>
                <w:iCs w:val="0"/>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注：本表反映本年度政府性基金预算财政拨款收入、支出及结转和结余情况。</w:t>
            </w:r>
          </w:p>
        </w:tc>
      </w:tr>
    </w:tbl>
    <w:p w14:paraId="5CE0C25B">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天津市东丽区丰年村街退役军人服务站2024年政府性基金预算财政拨款收入支出决算表为空表。</w:t>
      </w:r>
    </w:p>
    <w:p w14:paraId="1B989249">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7BA01CAE">
      <w:pPr>
        <w:pStyle w:val="28"/>
        <w:keepNext w:val="0"/>
        <w:keepLines w:val="0"/>
        <w:widowControl/>
        <w:suppressLineNumbers w:val="0"/>
        <w:jc w:val="left"/>
        <w:rPr>
          <w:rFonts w:hint="eastAsia" w:asciiTheme="minorEastAsia" w:hAnsiTheme="minorEastAsia" w:eastAsiaTheme="minorEastAsia" w:cstheme="minorEastAsia"/>
          <w:b w:val="0"/>
          <w:bCs w:val="0"/>
          <w:color w:val="auto"/>
          <w:kern w:val="0"/>
          <w:sz w:val="22"/>
          <w:szCs w:val="22"/>
          <w:highlight w:val="none"/>
        </w:rPr>
      </w:pPr>
      <w:r>
        <w:rPr>
          <w:rFonts w:hint="eastAsia" w:ascii="仿宋" w:hAnsi="仿宋" w:eastAsia="仿宋" w:cs="仿宋"/>
          <w:b/>
          <w:bCs/>
          <w:color w:val="000000"/>
          <w:sz w:val="30"/>
          <w:szCs w:val="30"/>
          <w:lang w:val="en-US" w:eastAsia="zh-CN"/>
        </w:rPr>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天津市东丽区丰年村街退役军人服务站 </w:t>
            </w:r>
          </w:p>
        </w:tc>
        <w:tc>
          <w:tcPr>
            <w:tcW w:w="512" w:type="pct"/>
            <w:tcBorders>
              <w:top w:val="nil"/>
              <w:left w:val="nil"/>
              <w:bottom w:val="nil"/>
              <w:right w:val="nil"/>
            </w:tcBorders>
            <w:shd w:val="clear" w:color="auto" w:fill="auto"/>
            <w:noWrap/>
            <w:vAlign w:val="bottom"/>
          </w:tcPr>
          <w:p w14:paraId="098EDFB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0"/>
                <w:iCs w:val="0"/>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0"/>
                <w:iCs w:val="0"/>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注：本表反映本年度国有资本经营预算财政拨款收入、支出及结转和结余情况。</w:t>
            </w:r>
          </w:p>
        </w:tc>
      </w:tr>
    </w:tbl>
    <w:p w14:paraId="094DCC73">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天津市东丽区丰年村街退役军人服务站2024年国有资本经营预算财政拨款收入支出决算表为空表。</w:t>
      </w:r>
    </w:p>
    <w:p w14:paraId="25B7E058">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040A76D3">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部门（单位）：天津市东丽区丰年村街退役军人服务站 </w:t>
            </w:r>
          </w:p>
        </w:tc>
        <w:tc>
          <w:tcPr>
            <w:tcW w:w="2146" w:type="dxa"/>
            <w:tcBorders>
              <w:top w:val="nil"/>
              <w:left w:val="nil"/>
              <w:bottom w:val="nil"/>
              <w:right w:val="nil"/>
            </w:tcBorders>
            <w:shd w:val="clear" w:color="auto" w:fill="auto"/>
            <w:noWrap/>
            <w:vAlign w:val="bottom"/>
          </w:tcPr>
          <w:p w14:paraId="7747C6E3">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0"/>
                <w:bCs w:val="0"/>
                <w:i w:val="0"/>
                <w:iCs w:val="0"/>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小计</w:t>
            </w:r>
          </w:p>
        </w:tc>
        <w:tc>
          <w:tcPr>
            <w:tcW w:w="2385" w:type="dxa"/>
            <w:tcBorders>
              <w:top w:val="nil"/>
              <w:left w:val="nil"/>
              <w:bottom w:val="nil"/>
              <w:right w:val="single" w:color="000000" w:sz="4" w:space="0"/>
            </w:tcBorders>
            <w:shd w:val="clear" w:color="auto" w:fill="auto"/>
            <w:noWrap/>
            <w:vAlign w:val="center"/>
          </w:tcPr>
          <w:p w14:paraId="20AF24B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0"/>
                <w:bCs w:val="0"/>
                <w:i w:val="0"/>
                <w:iCs w:val="0"/>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注：本表反映本年度“三公”经费支出决算情况。其中决算数是包括当年财政拨款和以前年度结转资金安排的实际支出。</w:t>
            </w:r>
          </w:p>
        </w:tc>
      </w:tr>
    </w:tbl>
    <w:p w14:paraId="7C4E6BF2">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天津市东丽区丰年村街退役军人服务站2024年财政拨款“三公”经费支出决算表为空表。</w:t>
      </w:r>
    </w:p>
    <w:p w14:paraId="1BD74E9E">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6222FDA3">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部门（单位）：天津市东丽区丰年村街退役军人服务站 </w:t>
            </w:r>
          </w:p>
        </w:tc>
        <w:tc>
          <w:tcPr>
            <w:tcW w:w="568" w:type="pct"/>
            <w:tcBorders>
              <w:top w:val="nil"/>
              <w:left w:val="nil"/>
              <w:bottom w:val="nil"/>
              <w:right w:val="nil"/>
            </w:tcBorders>
            <w:shd w:val="clear" w:color="auto" w:fill="auto"/>
            <w:noWrap/>
            <w:vAlign w:val="bottom"/>
          </w:tcPr>
          <w:p w14:paraId="41AE6823">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1022" w:type="pct"/>
            <w:tcBorders>
              <w:top w:val="nil"/>
              <w:left w:val="nil"/>
              <w:bottom w:val="nil"/>
              <w:right w:val="single" w:color="000000" w:sz="4" w:space="0"/>
            </w:tcBorders>
            <w:shd w:val="clear" w:color="auto" w:fill="auto"/>
            <w:noWrap/>
            <w:vAlign w:val="center"/>
          </w:tcPr>
          <w:p w14:paraId="69D738D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577" w:type="pct"/>
            <w:tcBorders>
              <w:top w:val="nil"/>
              <w:left w:val="nil"/>
              <w:bottom w:val="nil"/>
              <w:right w:val="single" w:color="000000" w:sz="4" w:space="0"/>
            </w:tcBorders>
            <w:shd w:val="clear" w:color="auto" w:fill="auto"/>
            <w:noWrap/>
            <w:vAlign w:val="center"/>
          </w:tcPr>
          <w:p w14:paraId="01ED70F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注：本表反映本年度项目支出决算情况，其中支出数包括当年预算资金和以前年度结转资金安排的合计实际支出。</w:t>
            </w:r>
          </w:p>
        </w:tc>
      </w:tr>
    </w:tbl>
    <w:p w14:paraId="3BBFB953">
      <w:pPr>
        <w:widowControl/>
        <w:spacing w:before="0" w:beforeLines="0" w:beforeAutospacing="0" w:after="0" w:afterLines="0" w:afterAutospacing="0" w:line="240" w:lineRule="auto"/>
        <w:ind w:firstLine="640" w:firstLineChars="200"/>
        <w:jc w:val="left"/>
        <w:rPr>
          <w:rFonts w:ascii="宋体" w:eastAsia="仿宋_GB2312"/>
          <w:sz w:val="32"/>
          <w:szCs w:val="32"/>
        </w:rPr>
      </w:pPr>
      <w:r>
        <w:rPr>
          <w:rFonts w:ascii="宋体" w:eastAsia="仿宋_GB2312"/>
          <w:b w:val="0"/>
          <w:sz w:val="32"/>
          <w:szCs w:val="32"/>
        </w:rPr>
        <w:t>天津市东丽区丰年村街退役军人服务站2024年项目支出决算表为空表。</w:t>
      </w:r>
    </w:p>
    <w:p w14:paraId="4EEEF693">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pPr>
    </w:p>
    <w:p w14:paraId="14921B63">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sectPr>
          <w:footerReference r:id="rId6" w:type="default"/>
          <w:pgSz w:w="16838" w:h="11906" w:orient="landscape"/>
          <w:pgMar w:top="2098" w:right="1531" w:bottom="1984" w:left="1531" w:header="851" w:footer="992" w:gutter="0"/>
          <w:pgBorders>
            <w:top w:val="none" w:sz="0" w:space="0"/>
            <w:left w:val="none" w:sz="0" w:space="0"/>
            <w:bottom w:val="none" w:sz="0" w:space="0"/>
            <w:right w:val="none" w:sz="0" w:space="0"/>
          </w:pgBorders>
          <w:cols w:space="720" w:num="1"/>
          <w:docGrid w:type="lines" w:linePitch="312" w:charSpace="0"/>
        </w:sectPr>
      </w:pPr>
    </w:p>
    <w:p w14:paraId="1CAD538B">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第三部分  2024年度部门决算情况说明</w:t>
      </w:r>
    </w:p>
    <w:p w14:paraId="1AE753CC">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一、收入支出决算总体情况说明</w:t>
      </w:r>
    </w:p>
    <w:p w14:paraId="08668A2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天津市东丽区丰年村街退役军人服务站2024年度收入、支出决算总计2,374,716.74元。与2023年度相比，收、支总计各增加628,301.95元，增长35.977%，主要原因是人员动态调整（调入8人），人员经费增加。</w:t>
      </w:r>
    </w:p>
    <w:p w14:paraId="1DB6407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收入包括：一般公共预算财政拨款收入2,374,481.37元。</w:t>
      </w:r>
    </w:p>
    <w:p w14:paraId="056FF3C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支出包括：一般公共服务支出1,432,410.81元、社会保障和就业支出250,760.16元、卫生健康支出111,846.36元、住房保障支出564,558.00元。</w:t>
      </w:r>
    </w:p>
    <w:p w14:paraId="0AC187EF">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二、收入决算情况说明</w:t>
      </w:r>
    </w:p>
    <w:p w14:paraId="3714EEC9">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天津市东丽区丰年村街退役军人服务站2024年度本年收入合计2,374,481.37元，与2023年度相比增加628,293.95元，主要原因是人员动态调整（调入8人），人员经费增加。其中：</w:t>
      </w:r>
    </w:p>
    <w:p w14:paraId="0425974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一般公共预算财政拨款收入2,374,481.37元，占100.000%。</w:t>
      </w:r>
    </w:p>
    <w:p w14:paraId="66418173">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三、支出决算情况说明</w:t>
      </w:r>
    </w:p>
    <w:p w14:paraId="21DB6DF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天津市东丽区丰年村街退役军人服务站2024年度本年支出合计2,359,575.33元，与2023年度相比增加613,395.91元，主要原因是人员动态调整（调入8人），人员经费增加。其中：</w:t>
      </w:r>
    </w:p>
    <w:p w14:paraId="648C9E0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基本支出2,359,575.33元，占100.000%。</w:t>
      </w:r>
    </w:p>
    <w:p w14:paraId="02E1C08A">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四、财政拨款收支决算总体情况说明</w:t>
      </w:r>
    </w:p>
    <w:p w14:paraId="691B014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丰年村街退役军人服务站2024年度财政拨款收入、支出决算总计2,374,716.74元。与2023年度相比，财政拨款收、支总计各增加628,301.95元，增长35.977%，主要原因是人员动态调整（调入8人），人员经费增加。</w:t>
      </w:r>
    </w:p>
    <w:p w14:paraId="7C82F1F6">
      <w:pPr>
        <w:widowControl/>
        <w:spacing w:before="0" w:beforeLines="0" w:beforeAutospacing="0" w:after="0" w:afterLines="0" w:afterAutospacing="0" w:line="360" w:lineRule="auto"/>
        <w:ind w:firstLine="600" w:firstLineChars="200"/>
        <w:jc w:val="left"/>
        <w:outlineLvl w:val="1"/>
        <w:rPr>
          <w:rFonts w:ascii="Times New Roman" w:eastAsia="仿宋_GB2312"/>
          <w:sz w:val="30"/>
          <w:szCs w:val="30"/>
        </w:rPr>
      </w:pPr>
      <w:r>
        <w:rPr>
          <w:rFonts w:ascii="Times New Roman" w:eastAsia="仿宋_GB2312"/>
          <w:b w:val="0"/>
          <w:sz w:val="30"/>
          <w:szCs w:val="30"/>
        </w:rPr>
        <w:t>收入包括：一般公共预算财政拨款2,374,481.37元、年初财政拨款结转和结余235.37元。</w:t>
      </w:r>
    </w:p>
    <w:p w14:paraId="7366AC1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支出包括：一般公共服务支出1,432,410.81元、社会保障和就业支出250,760.16元、卫生健康支出111,846.36元、住房保障支出564,558.00元。</w:t>
      </w:r>
    </w:p>
    <w:p w14:paraId="62AE7876">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五、一般公共预算财政拨款支出决算情况说明</w:t>
      </w:r>
    </w:p>
    <w:p w14:paraId="72DE74EA">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14:paraId="4943AB5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丰年村街退役军人服务站2024年度部门决算一般公共预算财政拨款支出合计2,359,575.33元，占本年支出合计的100.000%。与2023年度相比，一般公共预算财政拨款支出增加613,395.91元，增长35.128%，主要原因是人员动态调整（调入8人），人员经费增加。</w:t>
      </w:r>
    </w:p>
    <w:p w14:paraId="750463C5">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（二）支出结构情况</w:t>
      </w:r>
    </w:p>
    <w:p w14:paraId="07556CE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一般公共预算财政拨款支出2,359,575.33元，主要用于以下方面：一般公共服务支出（类）1,432,410.81元，占60.706%；社会保障和就业支出（类）250,760.16元，占10.627%；卫生健康支出（类）111,846.36元，占4.740%；住房保障支出（类）564,558.00元，占23.926%。</w:t>
      </w:r>
    </w:p>
    <w:p w14:paraId="0109EC3A">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（三）具体情况</w:t>
      </w:r>
    </w:p>
    <w:p w14:paraId="6DFB66B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2024年度一般公共预算财政拨款支出年初预算为1,689,400.00元，支出决算为2,359,575.33元，完成年初预算的139.669%。其中： </w:t>
      </w:r>
    </w:p>
    <w:p w14:paraId="31D45AB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一般公共服务支出(类)政府办公厅（室）及相关机构事务(款)事业运行(项)年初预算为1,045,700.00元，支出决算为1,432,410.81元，完成年初预算的136.981%，决算数大于年初预算数的主要原因是：人员动态调整（调入8人），导致在职人员经费支出增加。</w:t>
      </w:r>
    </w:p>
    <w:p w14:paraId="2B073A8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社会保障和就业支出(类)行政事业单位养老支出(款)机关事业单位基本养老保险缴费支出(项)年初预算为117,500.00元，支出决算为167,173.44元，完成年初预算的142.275%，决算数大于年初预算数的主要原因是：人员动态调整（调入8人），导致在职人员经费支出增加。</w:t>
      </w:r>
    </w:p>
    <w:p w14:paraId="5CCEFCD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社会保障和就业支出(类)行政事业单位养老支出(款)机关事业单位职业年金缴费支出(项)年初预算为58,700.00元，支出决算为83,586.72元，完成年初预算的142.396%，决算数大于年初预算数的主要原因是：人员动态调整（调入8人），导致在职人员经费支出增加。</w:t>
      </w:r>
    </w:p>
    <w:p w14:paraId="19731BC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4.​卫生健康支出(类)行政事业单位医疗(款)事业单位医疗(项)年初预算为80,300.00元，支出决算为111,846.36元，完成年初预算的139.286%，决算数大于年初预算数的主要原因是：人员动态调整（调入8人），导致在职人员经费支出增加。</w:t>
      </w:r>
    </w:p>
    <w:p w14:paraId="76F1521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5.​住房保障支出(类)住房改革支出(款)住房公积金(项)年初预算为387,200.00元，支出决算为564,558.00元，完成年初预算的145.805%，决算数大于年初预算数的主要原因是：人员动态调整（调入8人），导致在职人员经费支出增加。</w:t>
      </w:r>
    </w:p>
    <w:p w14:paraId="701730CD">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六、一般公共预算财政拨款基本支出决算情况说明</w:t>
      </w:r>
    </w:p>
    <w:p w14:paraId="213209C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天津市东丽区丰年村街退役军人服务站2024年度部门决算一般公共预算财政拨款基本支出合计2,359,575.33元，与2023年度相比增加613,395.91元，主要原因是人员动态调整（调入8人），人员经费增加。其中：</w:t>
      </w:r>
    </w:p>
    <w:p w14:paraId="287865E9">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人员经费2,270,421.79元，主要包括基本工资、津贴补贴、绩效工资、机关事业单位基本养老保险缴费、职业年金缴费、职工基本医疗保险缴费、其他社会保障缴费、住房公积金、医疗费、其他工资福利支出和其他对个人和家庭的补助。</w:t>
      </w:r>
    </w:p>
    <w:p w14:paraId="6CF4E37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公用经费89,153.54元，主要包括办公费、差旅费、工会经费、福利费、税金及附加费用和其他商品和服务支出。</w:t>
      </w:r>
    </w:p>
    <w:p w14:paraId="44E6B447">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七、政府性基金预算财政拨款收支决算情况说明</w:t>
      </w:r>
    </w:p>
    <w:p w14:paraId="0EEF330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天津市东丽区丰年村街退役军人服务站2024年度无政府性基金预算财政拨款收入、支出和结转结余。</w:t>
      </w:r>
    </w:p>
    <w:p w14:paraId="75EE5BD5">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八、国有资本经营预算财政拨款收支决算情况说明</w:t>
      </w:r>
    </w:p>
    <w:p w14:paraId="6714C21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天津市东丽区丰年村街退役军人服务站2024年度无国有资本经营预算财政拨款收入、支出和结转结余。</w:t>
      </w:r>
    </w:p>
    <w:p w14:paraId="1F5BFEFA">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九、财政拨款“三公”经费支出决算情况说明</w:t>
      </w:r>
    </w:p>
    <w:p w14:paraId="0FDB3A9D">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14:paraId="35553BA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财政拨款“三公”经费预算0.00元，支出决算0.00元，与2024年预算相比持平；支出决算较上年持平；决算数与预算数持平的主要原因是本年未用财政拨款列支“三公”经费；决算数较上年持平的主要原因是本年未用财政拨款列支“三公”经费。</w:t>
      </w:r>
    </w:p>
    <w:p w14:paraId="27E6F028">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（二）具体情况</w:t>
      </w:r>
    </w:p>
    <w:p w14:paraId="3764A2D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因公出国（境）费预算0.00元，支出决算0.00元，与预算相比持平；支出决算较上年持平；决算数与预算数持平的主要原因是本年未用财政拨款列支因公出国（境）费；决算数较上年持平的主要原因是本年未用财政拨款列支因公出国（境）费。</w:t>
      </w:r>
    </w:p>
    <w:p w14:paraId="6CC4D1F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2024年本单位组织的出国团组0个，出国0人次。</w:t>
      </w:r>
    </w:p>
    <w:p w14:paraId="7739715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公务用车购置及运行维护费预算0.00元，支出决算0.00元，与预算相比持平；支出决算较上年持平；决算数与预算数持平的主要原因是本年未用财政拨款列支公务用车购置及运行维护费；决算数较上年持平的主要原因是本年未用财政拨款列支公务用车购置及运行维护费。其中：</w:t>
      </w:r>
    </w:p>
    <w:p w14:paraId="0D4D258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务用车运行维护费预算0.00元，支出决算0.00元，与预算相比持平；支出决算较上年持平；决算数与预算数持平的主要原因是本年未用财政拨款列支公务用车运行维护费；决算数较上年持平的主要原因是本年未用财政拨款列支公务用车运行维护费。</w:t>
      </w:r>
    </w:p>
    <w:p w14:paraId="20E7F2A9">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截至2024年12月31日，使用财政拨款开支运行维护费的公务用车保有量为0辆。</w:t>
      </w:r>
    </w:p>
    <w:p w14:paraId="775F871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公务用车购置费预算0.00元，支出决算0.00元，与预算相比持平；支出决算较上年持平；决算数与预算数持平的主要原因是本年未用财政拨款列支公务用车购置费；决算数较上年持平的主要原因是</w:t>
      </w:r>
      <w:bookmarkStart w:id="0" w:name="_GoBack"/>
      <w:bookmarkEnd w:id="0"/>
      <w:r>
        <w:rPr>
          <w:rFonts w:ascii="Times New Roman" w:eastAsia="仿宋_GB2312"/>
          <w:b w:val="0"/>
          <w:sz w:val="30"/>
          <w:szCs w:val="30"/>
        </w:rPr>
        <w:t>本年未用财政拨款列支公务用车购置费。</w:t>
      </w:r>
    </w:p>
    <w:p w14:paraId="29A8A0E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2024年购置公务用车0辆。</w:t>
      </w:r>
    </w:p>
    <w:p w14:paraId="63541F2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公务接待费预算0.00元，支出决算0.00元，与预算相比持平；支出决算较上年持平；决算数与预算数持平的主要原因是本年未用财政拨款列支公务接待费；决算数较上年持平的主要原因是本年未用财政拨款列支公务接待费。</w:t>
      </w:r>
    </w:p>
    <w:p w14:paraId="45A878F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2024年本单位国内公务接待0批次，0人次；其中，外事接待0批次，0人次。</w:t>
      </w:r>
    </w:p>
    <w:p w14:paraId="17164493">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十、机关运行经费支出情况说明</w:t>
      </w:r>
    </w:p>
    <w:p w14:paraId="749AFD2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天津市东丽区丰年村街退役军人服务站2024年度无机关运行经费。</w:t>
      </w:r>
    </w:p>
    <w:p w14:paraId="733F7D39">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十一、政府采购支出情况说明</w:t>
      </w:r>
    </w:p>
    <w:p w14:paraId="7C94B32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天津市东丽区丰年村街退役军人服务站2024年度无政府采购支出。</w:t>
      </w:r>
    </w:p>
    <w:p w14:paraId="680E3ADB">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十二、国有资产占有使用情况说明</w:t>
      </w:r>
    </w:p>
    <w:p w14:paraId="08303B2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天津市东丽区丰年村街退役军人服务站2024年度无国有资产占有使用情况。</w:t>
      </w:r>
    </w:p>
    <w:p w14:paraId="187977BF">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十三、预算绩效情况说明</w:t>
      </w:r>
    </w:p>
    <w:p w14:paraId="7DB57F9C">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天津市东丽区丰年村街退役军人服务站2024年度没有项目支出，无需开展绩效自评。</w:t>
      </w:r>
    </w:p>
    <w:p w14:paraId="03995279">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十四、教育、医疗卫生、社会保障和就业、住房保障、涉农补贴等民生支出情况说明</w:t>
      </w:r>
    </w:p>
    <w:p w14:paraId="5204DD5F">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天津市东丽区丰年村街退役军人服务站2024年度不涉及公开教育、医疗卫生、社会保障和就业、住房保障、涉农补贴等民生支出情况。</w:t>
      </w:r>
    </w:p>
    <w:p w14:paraId="1242768E">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第四部分 名词解释</w:t>
      </w:r>
    </w:p>
    <w:p w14:paraId="465DEB3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52A1CD5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334B9DB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0"/>
          <w:bCs w:val="0"/>
          <w:i w:val="0"/>
          <w:iCs w:val="0"/>
          <w:caps w:val="0"/>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0"/>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7DDC70E7-0FD1-4D67-8EC3-55408E1AC715}"/>
  </w:font>
  <w:font w:name="黑体">
    <w:panose1 w:val="02010609060101010101"/>
    <w:charset w:val="86"/>
    <w:family w:val="auto"/>
    <w:pitch w:val="default"/>
    <w:sig w:usb0="800002BF" w:usb1="38CF7CFA" w:usb2="00000016" w:usb3="00000000" w:csb0="00040001" w:csb1="00000000"/>
    <w:embedRegular r:id="rId2" w:fontKey="{525C98A0-8869-407A-B127-5A171DA509F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embedRegular r:id="rId3" w:fontKey="{D3AB304F-A608-4AF6-AC0A-B7415044B2DB}"/>
  </w:font>
  <w:font w:name="Calibri Light">
    <w:altName w:val="Calibri"/>
    <w:panose1 w:val="020F0302020204030204"/>
    <w:charset w:val="00"/>
    <w:family w:val="auto"/>
    <w:pitch w:val="default"/>
    <w:sig w:usb0="00000000" w:usb1="00000000"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Fz_S_BiaoSong_Jt">
    <w:altName w:val="Segoe Print"/>
    <w:panose1 w:val="00000000000000000000"/>
    <w:charset w:val="00"/>
    <w:family w:val="auto"/>
    <w:pitch w:val="default"/>
    <w:sig w:usb0="00000000" w:usb1="00000000" w:usb2="00000000" w:usb3="00000000" w:csb0="00000000" w:csb1="00000000"/>
    <w:embedRegular r:id="rId4" w:fontKey="{001564F4-D595-4478-80B8-26BA80F17331}"/>
  </w:font>
  <w:font w:name="仿宋_GB2312">
    <w:panose1 w:val="02010609030101010101"/>
    <w:charset w:val="86"/>
    <w:family w:val="auto"/>
    <w:pitch w:val="default"/>
    <w:sig w:usb0="00000001" w:usb1="080E0000" w:usb2="00000000" w:usb3="00000000" w:csb0="00040000" w:csb1="00000000"/>
    <w:embedRegular r:id="rId5" w:fontKey="{1B72DDA8-DE68-4731-A368-D1506DEF3554}"/>
  </w:font>
  <w:font w:name="宋体-简">
    <w:altName w:val="宋体"/>
    <w:panose1 w:val="02010800040101010101"/>
    <w:charset w:val="86"/>
    <w:family w:val="auto"/>
    <w:pitch w:val="default"/>
    <w:sig w:usb0="00000000" w:usb1="00000000" w:usb2="00000000" w:usb3="00000000" w:csb0="00040000" w:csb1="00000000"/>
    <w:embedRegular r:id="rId6" w:fontKey="{191110B5-6DFD-4ACF-BFD6-86A52ED71D43}"/>
  </w:font>
  <w:font w:name="楷体">
    <w:panose1 w:val="02010609060101010101"/>
    <w:charset w:val="86"/>
    <w:family w:val="auto"/>
    <w:pitch w:val="default"/>
    <w:sig w:usb0="800002BF" w:usb1="38CF7CFA" w:usb2="00000016" w:usb3="00000000" w:csb0="00040001" w:csb1="00000000"/>
    <w:embedRegular r:id="rId7" w:fontKey="{4361B4A9-D032-4DF1-A82E-3EE66A15273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1FE76">
    <w:pPr>
      <w:jc w:val="center"/>
    </w:pPr>
    <w:r>
      <w:fldChar w:fldCharType="begin"/>
    </w:r>
    <w:r>
      <w:instrText xml:space="preserve">PAGE</w:instrText>
    </w:r>
    <w:r>
      <w:fldChar w:fldCharType="separate"/>
    </w:r>
    <w: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1FE76">
    <w:pPr>
      <w:jc w:val="center"/>
    </w:pPr>
    <w:r>
      <w:fldChar w:fldCharType="begin"/>
    </w:r>
    <w:r>
      <w:instrText xml:space="preserve">PAGE</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2E26CA"/>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BC017A"/>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05E06"/>
    <w:rsid w:val="22451BC7"/>
    <w:rsid w:val="22940650"/>
    <w:rsid w:val="22AD4B1E"/>
    <w:rsid w:val="22C43743"/>
    <w:rsid w:val="22D31DF3"/>
    <w:rsid w:val="22FD3CF7"/>
    <w:rsid w:val="231B23CF"/>
    <w:rsid w:val="232C221B"/>
    <w:rsid w:val="232E2103"/>
    <w:rsid w:val="2356249E"/>
    <w:rsid w:val="236E713A"/>
    <w:rsid w:val="23700968"/>
    <w:rsid w:val="238761A6"/>
    <w:rsid w:val="23920578"/>
    <w:rsid w:val="23BB6F9A"/>
    <w:rsid w:val="23FC3864"/>
    <w:rsid w:val="24857B00"/>
    <w:rsid w:val="24F25212"/>
    <w:rsid w:val="251B0465"/>
    <w:rsid w:val="254B0AC6"/>
    <w:rsid w:val="25571AB6"/>
    <w:rsid w:val="255C4040"/>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6055F6"/>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CC6F2B"/>
    <w:rsid w:val="2FDD68F6"/>
    <w:rsid w:val="2FFC7AC2"/>
    <w:rsid w:val="301430AF"/>
    <w:rsid w:val="30630612"/>
    <w:rsid w:val="30746475"/>
    <w:rsid w:val="308E59B0"/>
    <w:rsid w:val="30B10568"/>
    <w:rsid w:val="30CE6B9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904CE2"/>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06866"/>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0575F5"/>
    <w:rsid w:val="4C1A71C0"/>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B029CA"/>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3A69A1"/>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32</Pages>
  <Words>663</Words>
  <Characters>680</Characters>
  <Lines>86</Lines>
  <Paragraphs>24</Paragraphs>
  <TotalTime>12</TotalTime>
  <ScaleCrop>false</ScaleCrop>
  <LinksUpToDate>false</LinksUpToDate>
  <CharactersWithSpaces>700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2023-08-07T07:55:00Z</dcterms:created>
  <dc:creator>王明新TIAD</dc:creator>
  <cp:lastModifiedBy>若风</cp:lastModifiedBy>
  <cp:lastPrinted>2023-08-07T01:00:00Z</cp:lastPrinted>
  <dcterms:modified xsi:type="dcterms:W3CDTF">2025-09-22T03:03:16Z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eyJoZGlkIjoiOWJjZDcwZTU2OGQxZTRlZTQ3MTliOGJjYjgwMjI0YjAiLCJ1c2VySWQiOiI3NDQxMjYyMDcifQ==</vt:lpwstr>
  </property>
</Properties>
</file>