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4F6486A5">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天津市东丽区丰年村街综合治理中心</w:t>
      </w:r>
    </w:p>
    <w:p w14:paraId="76EF47CB">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50B37C9B">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597FF140">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1A16DF9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5624C0D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58ED5481">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048FF72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23DF31A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10D1071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3D8B6D5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7EDBB0D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7A26BB5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770A251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3CB144F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4741DB3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0B9F709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6EC3A4B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38ADCD43">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0D7D322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32CBA55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1909D60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2C20152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1436DC2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4416668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1EF40CB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0308744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759C982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3A5B012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476EB85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115F4A2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7BB6E3C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49FBDFC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5DDD3A08">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6EB3F3BA">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16CCBD09">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0A71C0CF">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负责辖区内社会治安综合治理、市容环境、综合执法、网格化管理等各类平台；负责平台运行的日常管理、维护，承担各类社会治理、城市管理等问题的受理、转办等工作。</w:t>
      </w:r>
    </w:p>
    <w:p w14:paraId="134D9A4F">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天津市东丽区丰年村街综合治理中心内设0个职能部门；下辖0个预算单位。纳入天津市东丽区丰年村街综合治理中心2024年度部门决算编制范围的单位包括：</w:t>
      </w:r>
    </w:p>
    <w:p w14:paraId="022A5E3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0DFC92A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1.​天津市东丽区丰年村街综合治理中心</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1AE1442B">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部门（单位）：天津市东丽区丰年村街综合治理中心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3,444,721.14</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2,122,671.52</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355,689.12</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164,565.12</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803,250.00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3,444,721.14</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3,446,175.76</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5,154.35</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3,699.73</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5,154.35</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3,449,875.49</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3,449,875.49</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部门（单位）：天津市东丽区丰年村街综合治理中心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3,444,721.14</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3,444,721.14</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2,122,671.52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2,122,671.52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BD31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37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B47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政府办公厅（室）及相关机构事务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0C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2,122,671.52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7E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2,122,671.52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F5E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767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2D5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F1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601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00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D796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F61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ADF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BA3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2,122,671.52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112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2,122,671.52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2A4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1C3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360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C47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F0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59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8EBF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F6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478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79D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358,800.50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B6E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358,800.50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AFD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89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D3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284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2B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D75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D280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C43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E1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6BA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358,800.50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36B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358,800.50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42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5DD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4F9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FB7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C62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F5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A98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7A9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13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1F7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240,237.46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F88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240,237.46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92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0CE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C2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09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BA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AC1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DB4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6FA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AC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2AB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118,563.04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38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118,563.04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7E8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98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232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ADB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90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2F7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D9F6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B1F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8EF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135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164,565.12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5C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164,565.12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5D0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311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43D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8EC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65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4F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91D9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87D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FEF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92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164,565.12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5ED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164,565.12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271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8B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99A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C75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02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569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D8CB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84C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D29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CA5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164,565.12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5B4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164,565.12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B5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1F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71D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66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738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FC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CD7A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B6E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D3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2E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798,684.00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666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798,684.00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8F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89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DE0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C7E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87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519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4980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F4D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915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49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798,684.00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AF5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798,684.00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75F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2D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1A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7D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A77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ACE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70DB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9B6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642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5EE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798,684.00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36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798,684.00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D51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20C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7C8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893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9BA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3CE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部门（单位）：天津市东丽区丰年村街综合治理中心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3,449,875.49</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3,444,721.14</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3,444,721.14</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5,154.35</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5,154.35</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5,154.35</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802202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天津市东丽区丰年村街综合治理中心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3,449,875.49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3,444,721.14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3,444,721.14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5,154.35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5,154.35</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5,154.35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部门（单位）：天津市东丽区丰年村街综合治理中心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3,446,175.76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3,446,175.76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2,122,671.52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2,122,671.52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ED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052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C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8AD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2,122,671.52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861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2,122,671.52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AD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C0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A5A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EC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6FB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5B6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C9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AAE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2,122,671.52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F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2,122,671.52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746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7AF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623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CA7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2EE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B90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FE9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254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355,689.12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E33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355,689.12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9A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A7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334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5D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483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43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CBB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10F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355,689.12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56E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355,689.12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2AB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C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EA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65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C35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C36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400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7D0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237,126.08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2F7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237,126.08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B67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A2C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105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3B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8E7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BA2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32B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5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118,563.04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41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118,563.04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6F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7A5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9B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5B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9FD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80D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E17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3CB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164,565.12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522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164,565.12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C5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8F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F45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C2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2A2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92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E49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EFC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164,565.12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33E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164,565.12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1E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9B1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09B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C9C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68D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370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17D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34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164,565.12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721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164,565.12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B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701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FD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7C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D0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EA4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24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22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803,250.00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AA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803,250.00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5FF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6B3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67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974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813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2E9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9E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EDB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803,250.00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D9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803,250.00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9C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1CF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35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57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532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3C7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68C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803,250.00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2BE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803,250.00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9A5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28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25E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0F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部门（单位）：天津市东丽区丰年村街综合治理中心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3,444,721.14</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2,122,671.52</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2,122,671.52</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355,689.12</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355,689.12</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164,565.12</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164,565.12</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803,250.00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803,250.00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3,444,721.14</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3,446,175.76</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3,446,175.76</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5,154.35</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3,699.73</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3,699.73</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5,154.35</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3,449,875.49</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3,449,875.49</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3,449,875.49</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天津市东丽区丰年村街综合治理中心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3,446,175.76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3,446,175.76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3,206,793.08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239,382.68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2,122,671.52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2,122,671.52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1,883,288.84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239,382.68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9BF3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5F6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755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政府办公厅（室）及相关机构事务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7BD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2,122,671.52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1EA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2,122,671.52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4A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1,883,288.84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ADBE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239,382.68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7F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454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58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380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F63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2,122,671.52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B6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2,122,671.52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FAF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1,883,288.84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F7A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239,382.68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385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9363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8DE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043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21A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355,689.12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195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355,689.12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93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355,689.12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CCA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0A0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78A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C9A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98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E5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355,689.12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44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355,689.12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D9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355,689.12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284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A4BD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EC3C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E7D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37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4F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237,126.08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FB7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237,126.08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B51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237,126.08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391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4F5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CF0E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EC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A21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CA4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118,563.04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E09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118,563.04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2EB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118,563.04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E4E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C75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1E7A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A4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72E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295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164,565.12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158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164,565.12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76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164,565.12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A1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7C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A4BF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ABF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82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98B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164,565.12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4AF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164,565.12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6E1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164,565.12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CC1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2F1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77FE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F1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759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9C3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164,565.12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974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164,565.12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CAA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164,565.12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859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5AE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AA83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933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291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F5A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803,250.00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96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803,250.00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597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803,250.00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9F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EB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621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D6E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674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11A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803,250.00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DAB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803,250.00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361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803,250.00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D43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8F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4FCD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162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84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163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803,250.00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AFC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803,250.00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B09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803,250.00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3FA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CEC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部门（单位）：天津市东丽区丰年村街综合治理中心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3,206,708.08</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239,382.68</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670,446.00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40,384.00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369,328.80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827,054.00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237,126.08</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118,563.04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148,205.12</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10,375.04</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1,259.64</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803,250.00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16,360.00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36,750.64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14,279.00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26,709.40</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3,206,793.08</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239,382.68</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天津市东丽区丰年村街综合治理中心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3FB6005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天津市东丽区丰年村街综合治理中心2024年政府性基金预算财政拨款收入支出决算表为空表。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天津市东丽区丰年村街综合治理中心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0B36B3D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天津市东丽区丰年村街综合治理中心2024年国有资本经营预算财政拨款收入支出决算表为空表。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部门（单位）：天津市东丽区丰年村街综合治理中心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2880833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天津市东丽区丰年村街综合治理中心2024年财政拨款“三公”经费支出决算表为空表。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部门（单位）：天津市东丽区丰年村街综合治理中心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361BB1AC">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天津市东丽区丰年村街综合治理中心2024年项目支出决算表为空表。</w:t>
      </w:r>
    </w:p>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236D4484">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5FEC3AF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61D18E9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天津市东丽区丰年村街综合治理中心2024年度收入、支出决算总计3,449,875.49元。与2023年度相比，收、支总计各减少145,125.21元，下降4.037%，主要原因是人员动态调整（调出5人，调入1人），人员和公用费用减少。</w:t>
      </w:r>
    </w:p>
    <w:p w14:paraId="23A0C21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收入包括：一般公共预算财政拨款收入3,444,721.14元。</w:t>
      </w:r>
    </w:p>
    <w:p w14:paraId="24D4994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支出包括：一般公共服务支出2,122,671.52元、社会保障和就业支出355,689.12元、卫生健康支出164,565.12元、住房保障支出803,250.00元。</w:t>
      </w:r>
    </w:p>
    <w:p w14:paraId="024CFDF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7F7C636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天津市东丽区丰年村街综合治理中心2024年度本年收入合计3,444,721.14元，与2023年度相比减少149,705.21元，主要原因是人员动态调整（调出5人，调入1人），人员和公用费用减少。其中：</w:t>
      </w:r>
    </w:p>
    <w:p w14:paraId="1560713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一般公共预算财政拨款收入3,444,721.14元，占100.000%。</w:t>
      </w:r>
    </w:p>
    <w:p w14:paraId="22B9FAE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7DA8DF7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天津市东丽区丰年村街综合治理中心2024年度本年支出合计3,446,175.76元，与2023年度相比减少143,670.59元，主要原因是人员动态调整（调出5人，调入1人），人员和公用费用减少。其中：</w:t>
      </w:r>
    </w:p>
    <w:p w14:paraId="50E2E2B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基本支出3,446,175.76元，占100.000%。</w:t>
      </w:r>
    </w:p>
    <w:p w14:paraId="0CAC2F1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6A6DD71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综合治理中心2024年度财政拨款收入、支出决算总计3,449,875.49元。与2023年度相比，财政拨款收、支总计各减少145,125.21元，下降4.037%，主要原因是人员动态调整（调出5人，调入1人），人员和公用费用减少。</w:t>
      </w:r>
    </w:p>
    <w:p w14:paraId="33CD5D37">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收入包括：一般公共预算财政拨款3,444,721.14元、年初财政拨款结转和结余5,154.35元。</w:t>
      </w:r>
    </w:p>
    <w:p w14:paraId="06896EB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支出包括：一般公共服务支出2,122,671.52元、社会保障和就业支出355,689.12元、卫生健康支出164,565.12元、住房保障支出803,250.00元。</w:t>
      </w:r>
    </w:p>
    <w:p w14:paraId="76470B7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059E4FB1">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1D68572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综合治理中心2024年度部门决算一般公共预算财政拨款支出合计3,446,175.76元，占本年支出合计的100.000%。与2023年度相比，一般公共预算财政拨款支出减少143,670.59元，下降4.002%，主要原因是人员动态调整（调出5人，调入1人），人员和公用费用减少。</w:t>
      </w:r>
    </w:p>
    <w:p w14:paraId="01FCA803">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49C7490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3,446,175.76元，主要用于以下方面：一般公共服务支出（类）2,122,671.52元，占61.595%；社会保障和就业支出（类）355,689.12元，占10.321%；卫生健康支出（类）164,565.12元，占4.775%；住房保障支出（类）803,250.00元，占23.308%。</w:t>
      </w:r>
    </w:p>
    <w:p w14:paraId="7980618C">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305925D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2024年度一般公共预算财政拨款支出年初预算为3,894,900.00元，支出决算为3,446,175.76元，完成年初预算的88.479%。其中：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政府办公厅（室）及相关机构事务(款)事业运行(项)年初预算为2,419,300.00元，支出决算为2,122,671.52元，完成年初预算的87.739%，决算数小于年初预算数的主要原因是：人员动态调整（调出5人，调入1人），导致在职人员经费支出减少。</w:t>
      </w:r>
    </w:p>
    <w:p w14:paraId="4DAE137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基本养老保险缴费支出(项)年初预算为263,100.00元，支出决算为237,126.08元，完成年初预算的90.128%，决算数小于年初预算数的主要原因是：人员动态调整（调出5人，调入1人），导致在职人员经费支出减少。</w:t>
      </w:r>
    </w:p>
    <w:p w14:paraId="151F605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行政事业单位养老支出(款)机关事业单位职业年金缴费支出(项)年初预算为131,600.00元，支出决算为118,563.04元，完成年初预算的90.093%，决算数小于年初预算数的主要原因是：人员动态调整（调出5人，调入1人），导致在职人员经费支出减少。</w:t>
      </w:r>
    </w:p>
    <w:p w14:paraId="37D3BA7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卫生健康支出(类)行政事业单位医疗(款)事业单位医疗(项)年初预算为181,600.00元，支出决算为164,565.12元，完成年初预算的90.620%，决算数小于年初预算数的主要原因是：人员动态调整（调出5人，调入1人），导致在职人员经费支出减少。</w:t>
      </w:r>
    </w:p>
    <w:p w14:paraId="3F085DA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住房保障支出(类)住房改革支出(款)住房公积金(项)年初预算为899,300.00元，支出决算为803,250.00元，完成年初预算的89.319%，决算数小于年初预算数的主要原因是：​​人员动态调整（调出5人，调入1人），导致在职人员经费支出减少​。</w:t>
      </w:r>
    </w:p>
    <w:p w14:paraId="3FACC81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525FAAC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综合治理中心2024年度部门决算一般公共预算财政拨款基本支出合计3,446,175.76元，与2023年度相比减少143,670.59元，主要原因是人员动态调整（调出5人，调入1人），人员和公用支出减少。其中：</w:t>
      </w:r>
    </w:p>
    <w:p w14:paraId="3EA09FA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3,206,793.08元，主要包括基本工资、津贴补贴、绩效工资、机关事业单位基本养老保险缴费、职业年金缴费、职工基本医疗保险缴费、其他社会保障缴费、住房公积金、医疗费、其他工资福利支出和奖励金。</w:t>
      </w:r>
    </w:p>
    <w:p w14:paraId="34F814C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公用经费239,382.68元，主要包括办公费、邮电费、差旅费、工会经费、福利费、税金及附加费用和其他商品和服务支出。</w:t>
      </w:r>
    </w:p>
    <w:p w14:paraId="3180A72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5185212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天津市东丽区丰年村街综合治理中心2024年度无政府性基金预算财政拨款收入、支出和结转结余。</w:t>
      </w:r>
    </w:p>
    <w:p w14:paraId="0EA7310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61F216A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天津市东丽区丰年村街综合治理中心2024年度无国有资本经营预算财政拨款收入、支出和结转结余。</w:t>
      </w:r>
    </w:p>
    <w:p w14:paraId="194371D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1B3ECF16">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6DB048E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4BD30412">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4727521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1EAE78F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04C9515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2D2F04C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750BC02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332C616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w:t>
      </w:r>
      <w:bookmarkStart w:id="0" w:name="_GoBack"/>
      <w:bookmarkEnd w:id="0"/>
      <w:r>
        <w:rPr>
          <w:rFonts w:ascii="Times New Roman" w:eastAsia="仿宋_GB2312"/>
          <w:b w:val="0"/>
          <w:sz w:val="30"/>
          <w:szCs w:val="30"/>
        </w:rPr>
        <w:t>本年未用财政拨款列支公务用车购置费。</w:t>
      </w:r>
    </w:p>
    <w:p w14:paraId="40BAF41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1AD3E45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69FC0ED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63EC712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441A9B5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天津市东丽区丰年村街综合治理中心2024年度无机关运行经费。</w:t>
      </w:r>
    </w:p>
    <w:p w14:paraId="230EAD6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784BAEF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天津市东丽区丰年村街综合治理中心2024年度无政府采购支出。</w:t>
      </w:r>
    </w:p>
    <w:p w14:paraId="6AFF64C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2327494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天津市东丽区丰年村街综合治理中心2024年度无国有资产占有使用情况。</w:t>
      </w:r>
    </w:p>
    <w:p w14:paraId="26DB766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78863ED2">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天津市东丽区丰年村街综合治理中心2024年度没有项目支出，无需开展绩效自评。</w:t>
      </w:r>
    </w:p>
    <w:p w14:paraId="11CD222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1B1B87EF">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天津市东丽区丰年村街综合治理中心2024年度不涉及公开教育、医疗卫生、社会保障和就业、住房保障、涉农补贴等民生支出情况。</w:t>
      </w:r>
    </w:p>
    <w:p w14:paraId="7CBCAFA6">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5E8413E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2E676D9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BA6217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F3EE572-CEB8-47D8-9750-6659591783E9}"/>
  </w:font>
  <w:font w:name="黑体">
    <w:panose1 w:val="02010609060101010101"/>
    <w:charset w:val="86"/>
    <w:family w:val="auto"/>
    <w:pitch w:val="default"/>
    <w:sig w:usb0="800002BF" w:usb1="38CF7CFA" w:usb2="00000016" w:usb3="00000000" w:csb0="00040001" w:csb1="00000000"/>
    <w:embedRegular r:id="rId2" w:fontKey="{B0D92FA2-67F5-42DF-B432-0A8FF121AE9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D2E16F5E-953C-4231-B18F-A36AD7F0F329}"/>
  </w:font>
  <w:font w:name="Calibri Light">
    <w:altName w:val="Calibri"/>
    <w:panose1 w:val="020F0302020204030204"/>
    <w:charset w:val="00"/>
    <w:family w:val="auto"/>
    <w:pitch w:val="default"/>
    <w:sig w:usb0="00000000" w:usb1="00000000"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F6B2BD3F-5D8E-4997-8D37-9592B6603404}"/>
  </w:font>
  <w:font w:name="仿宋_GB2312">
    <w:panose1 w:val="02010609030101010101"/>
    <w:charset w:val="86"/>
    <w:family w:val="auto"/>
    <w:pitch w:val="default"/>
    <w:sig w:usb0="00000001" w:usb1="080E0000" w:usb2="00000000" w:usb3="00000000" w:csb0="00040000" w:csb1="00000000"/>
    <w:embedRegular r:id="rId5" w:fontKey="{7A761B09-8D2A-4539-94A3-5BE4311ABE56}"/>
  </w:font>
  <w:font w:name="宋体-简">
    <w:altName w:val="宋体"/>
    <w:panose1 w:val="02010800040101010101"/>
    <w:charset w:val="86"/>
    <w:family w:val="auto"/>
    <w:pitch w:val="default"/>
    <w:sig w:usb0="00000000" w:usb1="00000000" w:usb2="00000000" w:usb3="00000000" w:csb0="00040000" w:csb1="00000000"/>
    <w:embedRegular r:id="rId6" w:fontKey="{D9859266-B201-478E-92DB-9157018526EC}"/>
  </w:font>
  <w:font w:name="楷体">
    <w:panose1 w:val="02010609060101010101"/>
    <w:charset w:val="86"/>
    <w:family w:val="auto"/>
    <w:pitch w:val="default"/>
    <w:sig w:usb0="800002BF" w:usb1="38CF7CFA" w:usb2="00000016" w:usb3="00000000" w:csb0="00040001" w:csb1="00000000"/>
    <w:embedRegular r:id="rId7" w:fontKey="{AA117070-F240-4B1D-8A9B-355585067B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01F51">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01F51">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CDE2F4F"/>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31</Pages>
  <Words>1280</Words>
  <Characters>1411</Characters>
  <Lines>86</Lines>
  <Paragraphs>24</Paragraphs>
  <TotalTime>12</TotalTime>
  <ScaleCrop>false</ScaleCrop>
  <LinksUpToDate>false</LinksUpToDate>
  <CharactersWithSpaces>1463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若风</cp:lastModifiedBy>
  <cp:lastPrinted>2023-08-07T01:00:00Z</cp:lastPrinted>
  <dcterms:modified xsi:type="dcterms:W3CDTF">2025-09-22T03:12:48Z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eyJoZGlkIjoiOWJjZDcwZTU2OGQxZTRlZTQ3MTliOGJjYjgwMjI0YjAiLCJ1c2VySWQiOiI3NDQxMjYyMDcifQ==</vt:lpwstr>
  </property>
</Properties>
</file>