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cs="黑体"/>
          <w:w w:val="95"/>
          <w:sz w:val="32"/>
          <w:szCs w:val="32"/>
          <w:lang w:val="en"/>
        </w:rPr>
      </w:pPr>
      <w:r>
        <w:rPr>
          <w:rFonts w:hint="eastAsia" w:ascii="Times New Roman" w:hAnsi="Times New Roman" w:eastAsia="方正小标宋简体" w:cs="方正小标宋简体"/>
          <w:kern w:val="0"/>
          <w:sz w:val="48"/>
          <w:szCs w:val="48"/>
          <w:highlight w:val="none"/>
          <w:lang w:val="zh-CN"/>
        </w:rPr>
        <w:tab/>
      </w:r>
      <w:r>
        <w:rPr>
          <w:rFonts w:hint="eastAsia" w:ascii="黑体" w:hAnsi="黑体" w:eastAsia="黑体" w:cs="黑体"/>
          <w:w w:val="95"/>
          <w:sz w:val="32"/>
          <w:szCs w:val="32"/>
          <w:lang w:val="en"/>
        </w:rPr>
        <w:t>附件</w:t>
      </w:r>
      <w:r>
        <w:rPr>
          <w:rFonts w:ascii="黑体" w:hAnsi="黑体" w:eastAsia="黑体" w:cs="黑体"/>
          <w:w w:val="95"/>
          <w:sz w:val="32"/>
          <w:szCs w:val="32"/>
          <w:lang w:val="en"/>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sz w:val="48"/>
        </w:rPr>
      </w:pPr>
      <w:r>
        <w:rPr>
          <w:rFonts w:hint="eastAsia" w:ascii="方正小标宋简体" w:hAnsi="方正小标宋简体" w:eastAsia="方正小标宋简体"/>
          <w:sz w:val="48"/>
        </w:rPr>
        <w:t>天津市公安局东丽分局</w:t>
      </w:r>
    </w:p>
    <w:p>
      <w:pPr>
        <w:spacing w:line="240" w:lineRule="auto"/>
        <w:jc w:val="center"/>
        <w:rPr>
          <w:rFonts w:hint="eastAsia" w:ascii="方正小标宋简体" w:hAnsi="方正小标宋简体" w:eastAsia="方正小标宋简体"/>
          <w:sz w:val="48"/>
        </w:rPr>
      </w:pPr>
      <w:r>
        <w:rPr>
          <w:rFonts w:hint="eastAsia" w:ascii="方正小标宋简体" w:hAnsi="方正小标宋简体" w:eastAsia="方正小标宋简体"/>
          <w:sz w:val="48"/>
        </w:rPr>
        <w:t>202</w:t>
      </w:r>
      <w:r>
        <w:rPr>
          <w:rFonts w:hint="eastAsia" w:ascii="方正小标宋简体" w:hAnsi="方正小标宋简体" w:eastAsia="方正小标宋简体"/>
          <w:sz w:val="48"/>
          <w:lang w:val="en-US" w:eastAsia="zh-CN"/>
        </w:rPr>
        <w:t>3</w:t>
      </w:r>
      <w:r>
        <w:rPr>
          <w:rFonts w:hint="eastAsia" w:ascii="方正小标宋简体" w:hAnsi="方正小标宋简体" w:eastAsia="方正小标宋简体"/>
          <w:sz w:val="48"/>
        </w:rPr>
        <w:t>年度部门决算和“三公经费”决算</w:t>
      </w:r>
    </w:p>
    <w:p>
      <w:pPr>
        <w:tabs>
          <w:tab w:val="left" w:pos="246"/>
        </w:tabs>
        <w:autoSpaceDE w:val="0"/>
        <w:autoSpaceDN w:val="0"/>
        <w:adjustRightInd w:val="0"/>
        <w:jc w:val="left"/>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both"/>
        <w:rPr>
          <w:rFonts w:ascii="Times New Roman" w:hAnsi="Times New Roman" w:eastAsia="黑体" w:cs="黑体"/>
          <w:kern w:val="0"/>
          <w:sz w:val="44"/>
          <w:szCs w:val="44"/>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是天津市东丽区人民政府下设主管全区公安工作的职能部门，受区政府、天津市公安局的双重领导，于1953年5月建立。东丽分局的主要职责是：贯彻执行公安工作的方针、政策和法律、法规、规章；制定、发布本地区公安工作制度；组织、管理本地区公安工作，依法进行治安行政管理工作，对管辖范围内的刑事案件、治安案（事）件、事故进行侦查或处置；组织、管理本地区公安队伍建设，组织、管理本地区公安机关人民警察的思想政治教育、培训、考试考核、表彰奖励、工资抚恤等工作；组织、管理本地区公安机关经费、装备和公安科学技术工作；履行法律、法规规定的其他职责；承办市公安局与东丽区委、区政府交办的其他事项。</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天津市公安局东丽分局（本级</w:t>
      </w:r>
      <w:bookmarkStart w:id="0" w:name="_GoBack"/>
      <w:bookmarkEnd w:id="0"/>
      <w:r>
        <w:rPr>
          <w:rFonts w:hint="eastAsia" w:ascii="Times New Roman" w:hAnsi="Times New Roman" w:eastAsia="仿宋_GB2312" w:cs="仿宋_GB2312"/>
          <w:sz w:val="30"/>
          <w:szCs w:val="30"/>
          <w:highlight w:val="none"/>
          <w:lang w:eastAsia="zh-CN"/>
        </w:rPr>
        <w:t>）内设13个职能科室，派出机构14个，1个看守所，1个拘留所，下辖无预算单位。年末共有人员2470人，其中:在职民警人员1275人，警务辅助人员1195人，年末退休人员323人。纳入天津市公安局东丽分局（本级）2023年度部门决算编制范围的单位包括：天津市公安局东丽分局（本级）</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天津市公安局东丽分局2023年度政府性基金预算财政拨款收入支出决算表、国有资本经营预算财政拨款收入支出决算表为空表。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天津市公安局东丽分局2023年度收入、支出决算总计</w:t>
      </w:r>
      <w:r>
        <w:rPr>
          <w:rFonts w:hint="eastAsia" w:ascii="Times New Roman" w:hAnsi="Times New Roman" w:eastAsia="仿宋_GB2312" w:cs="仿宋_GB2312"/>
          <w:sz w:val="30"/>
          <w:szCs w:val="30"/>
          <w:highlight w:val="none"/>
          <w:lang w:eastAsia="zh-CN"/>
        </w:rPr>
        <w:t>674,749,194.23元，与2022年度相比，收、支总计各增加47,521,124.88元，增长7.58%，</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669,433,219.55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增加49,313,131.20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669,433,219.55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p>
    <w:p>
      <w:p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669,551,648.40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47,639,553.73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615,455,963.57元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91.92</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54,095,684.83元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占8.08%；</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670,912,577.29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51,415,961.13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8.3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计669,093,542.08元，占本年支出合计的99.93%，与2022年度相比，一般公共预算财政拨款支出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51,076,283.66元，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8.26%，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669,093,542.08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公共安全支出603828771.55元，占90.25%，社会保障和就业支出42953004.04元，占6.42%，卫生健康支出22311766.49元，占3.33%。</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711,283,359.59</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669,093,542.08</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94.07%</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公共安全支出（类）公安（款）行政运行（项）的年初预算数为556,337,002.57元。支出决算为560,235,493.04元，完成年初预算的100.70%，决算数大于年初预算数的主要原因是住房公积金上缴基数调整增加，人员经费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2.公共安全支出（类）公安（款）执法办案（项）的年初预算数为2,000,000.00元。支出决算为939,472.80元，完成年初预算的46.97%，决算数小于年初预算数的主要原因是财政统筹资金，预算项目转下一年度。</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3.卫生健康支出（类）行政事业单位医疗（款）公务员医疗补助（项）的年初预算数为3,352,478.63元。支出决算为3,574,752.50元，完成年初预算的106.63%，决算数大于年初预算数的主要原因是社保基数调增。</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4.公共安全支出（类）公安（款）其他公安支出（项）的年初预算数为91,763,622.11元。支出决算为42,653,805.71元，完成年初预算的46.48%，决算数小于年初预算数的主要原因是财政统筹资金，预算项目转下一年度。</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5.社会保障和就业支出（类）行政事业单位养老支出（款）机关事业单位职业年金缴费支出（项）的年初预算数为13,409,914.50元。支出决算为14,246,565.48元，完成年初预算的106.24%，决算数大于年初预算数的主要原因是社保基数调增。</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6.社会保障和就业支出（类）行政事业单位养老支出（款）机关事业单位基本养老保险缴费支出（项）的年初预算数为26,819,829.00元。支出决算为28,706,438.56元，完成年初预算的107.03%，决算数大于年初预算数的主要原因是社保基数调增。</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7.卫生健康支出（类）行政事业单位医疗（款）行政单位医疗（项）的年初预算数为17,600,512.78元。支出决算为18,737,013.99元，完成年初预算的106.46%，决算数大于年初预算数的主要原因是社保基数调增。</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615,455,963.57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137,203,117.59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2023年东丽分局警务辅助人员经费预算由2022年一般公共预算财政拨款项目支出调整为一般公共预算财政拨款基本支出。</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535,601,985.53</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支出、机关事业单位职业年金缴费支出、行政单位医疗、公务员医疗补助、其他社会保险缴费、住房公积金、其他工资福利支出、退休费、抚恤金、奖励金、其他对个人和家庭的补助；</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79,853,978.04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印刷费、会议费、培训费、水费、电费、邮电费、取暖费、物业费、差旅费、维修（护）费、租赁费、专用材料费、被装购置费、劳务费、委托业务费、工会经费、福利费、公务车运行维护费、其他交通费、其他商品和服务支出。</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58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年度部门决算政府性基金预算财政拨款</w:t>
      </w:r>
      <w:r>
        <w:rPr>
          <w:rFonts w:hint="eastAsia" w:ascii="Times New Roman" w:hAnsi="Times New Roman" w:eastAsia="仿宋_GB2312" w:cs="仿宋_GB2312"/>
          <w:kern w:val="0"/>
          <w:sz w:val="30"/>
          <w:szCs w:val="30"/>
          <w:highlight w:val="none"/>
        </w:rPr>
        <w:t>年初结转和结余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元，收入</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rPr>
        <w:t>支出</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sz w:val="30"/>
          <w:szCs w:val="30"/>
          <w:highlight w:val="none"/>
        </w:rPr>
        <w:t>元，年末结转和结余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年度相比，政府性基金财政拨款支出</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sz w:val="30"/>
          <w:szCs w:val="30"/>
          <w:highlight w:val="none"/>
          <w:lang w:eastAsia="zh-CN"/>
        </w:rPr>
        <w:t>0.00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lang w:val="zh-CN"/>
        </w:rPr>
        <w:t>：</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天津市公安局东丽分局2023年度无政府性基金预算财政拨款收入、支出和结转结余。</w:t>
      </w:r>
      <w:r>
        <w:rPr>
          <w:rFonts w:hint="eastAsia" w:ascii="Times New Roman" w:hAnsi="Times New Roman" w:eastAsia="仿宋_GB2312" w:cs="仿宋_GB2312"/>
          <w:sz w:val="30"/>
          <w:szCs w:val="30"/>
          <w:highlight w:val="none"/>
          <w:lang w:eastAsia="zh-CN"/>
        </w:rPr>
        <w:tab/>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天津市公安局东丽分局</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kern w:val="0"/>
          <w:sz w:val="30"/>
          <w:szCs w:val="30"/>
          <w:highlight w:val="none"/>
        </w:rPr>
        <w:t>年度部门决算国有资本经营预算财政拨款年初结转和结余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元，收入</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元，支出</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元，年末结余和结余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hint="eastAsia" w:ascii="Times New Roman" w:hAnsi="Times New Roman" w:eastAsia="仿宋_GB2312" w:cs="仿宋_GB2312"/>
          <w:kern w:val="0"/>
          <w:sz w:val="30"/>
          <w:szCs w:val="30"/>
          <w:highlight w:val="none"/>
          <w:lang w:eastAsia="zh-CN"/>
        </w:rPr>
        <w:t>2022</w:t>
      </w:r>
      <w:r>
        <w:rPr>
          <w:rFonts w:hint="eastAsia" w:ascii="Times New Roman" w:hAnsi="Times New Roman" w:eastAsia="仿宋_GB2312" w:cs="仿宋_GB2312"/>
          <w:kern w:val="0"/>
          <w:sz w:val="30"/>
          <w:szCs w:val="30"/>
          <w:highlight w:val="none"/>
        </w:rPr>
        <w:t>年度相比，国有资本经营预算财政拨款支出</w:t>
      </w:r>
      <w:r>
        <w:rPr>
          <w:rFonts w:hint="eastAsia" w:ascii="Times New Roman" w:hAnsi="Times New Roman" w:eastAsia="仿宋_GB2312" w:cs="仿宋_GB2312"/>
          <w:kern w:val="0"/>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lang w:val="zh-CN"/>
        </w:rPr>
        <w:t>：</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805,468.34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16.22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严格执行2023年预算指标</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本年度一般公共预算财政拨款未安排公务用车购置费。</w:t>
      </w:r>
    </w:p>
    <w:p>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本年度一般公共预算财政拨款未安排此项预算支出。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本年度一般公共预算财政拨款未安排此项预算支出。</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805,468.34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16.22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严格执行2023年预算指标</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本年度一般公共预算财政拨款未安排公务用车购置费。</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1,490,594.74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55.84</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严格执行2023年预算指标</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本年度一般公共预算财政拨款未安排公务用车购置费。</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312</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2,296,063.08</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严格执行2023年预算指标</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本年度一般公共预算财政拨款未安排公务用车购置费。</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本年度一般公共预算财政拨款未安排此项预算支出。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本年度一般公共预算财政拨款未安排此项预算支出。</w:t>
      </w:r>
    </w:p>
    <w:p>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58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机关运行经费是指行政单位和参照公务员法管理的事业单位使用一般公共预算财政拨款安排的基本支出中的日常公用经费支出，</w:t>
      </w:r>
      <w:r>
        <w:rPr>
          <w:rFonts w:hint="eastAsia" w:ascii="Times New Roman" w:hAnsi="Times New Roman" w:eastAsia="仿宋_GB2312" w:cs="Times New Roman"/>
          <w:kern w:val="0"/>
          <w:sz w:val="30"/>
          <w:szCs w:val="30"/>
          <w:highlight w:val="none"/>
          <w:lang w:eastAsia="zh-CN"/>
        </w:rPr>
        <w:t>天津市公安局东丽分局</w:t>
      </w:r>
      <w:r>
        <w:rPr>
          <w:rFonts w:hint="eastAsia" w:ascii="Times New Roman" w:hAnsi="Times New Roman" w:eastAsia="宋体" w:cs="宋体"/>
          <w:kern w:val="0"/>
          <w:sz w:val="30"/>
          <w:szCs w:val="30"/>
          <w:highlight w:val="none"/>
          <w:lang w:eastAsia="zh-CN"/>
        </w:rPr>
        <w:t>2023</w:t>
      </w:r>
      <w:r>
        <w:rPr>
          <w:rFonts w:hint="eastAsia" w:ascii="Times New Roman" w:hAnsi="Times New Roman" w:eastAsia="仿宋_GB2312" w:cs="仿宋_GB2312"/>
          <w:kern w:val="0"/>
          <w:sz w:val="30"/>
          <w:szCs w:val="30"/>
          <w:highlight w:val="none"/>
        </w:rPr>
        <w:t>年度机关运行经费决算数</w:t>
      </w:r>
      <w:r>
        <w:rPr>
          <w:rFonts w:hint="eastAsia" w:ascii="Times New Roman" w:hAnsi="Times New Roman" w:eastAsia="仿宋_GB2312" w:cs="Times New Roman"/>
          <w:kern w:val="0"/>
          <w:sz w:val="30"/>
          <w:szCs w:val="30"/>
          <w:highlight w:val="none"/>
          <w:lang w:eastAsia="zh-CN"/>
        </w:rPr>
        <w:t>79,853,978.04</w:t>
      </w:r>
      <w:r>
        <w:rPr>
          <w:rFonts w:hint="eastAsia" w:ascii="Times New Roman" w:hAnsi="Times New Roman" w:eastAsia="仿宋_GB2312" w:cs="仿宋_GB2312"/>
          <w:kern w:val="0"/>
          <w:sz w:val="30"/>
          <w:szCs w:val="30"/>
          <w:highlight w:val="none"/>
        </w:rPr>
        <w:t>元，比</w:t>
      </w:r>
      <w:r>
        <w:rPr>
          <w:rFonts w:hint="eastAsia" w:ascii="Times New Roman" w:hAnsi="Times New Roman" w:eastAsia="仿宋_GB2312" w:cs="Times New Roman"/>
          <w:kern w:val="0"/>
          <w:sz w:val="30"/>
          <w:szCs w:val="30"/>
          <w:highlight w:val="none"/>
          <w:lang w:eastAsia="zh-CN"/>
        </w:rPr>
        <w:t>2022</w:t>
      </w:r>
      <w:r>
        <w:rPr>
          <w:rFonts w:hint="eastAsia" w:ascii="Times New Roman" w:hAnsi="Times New Roman" w:eastAsia="仿宋_GB2312" w:cs="仿宋_GB2312"/>
          <w:kern w:val="0"/>
          <w:sz w:val="30"/>
          <w:szCs w:val="30"/>
          <w:highlight w:val="none"/>
        </w:rPr>
        <w:t>年</w:t>
      </w:r>
      <w:r>
        <w:rPr>
          <w:rFonts w:hint="eastAsia" w:ascii="Times New Roman" w:hAnsi="Times New Roman" w:eastAsia="仿宋_GB2312" w:cs="仿宋_GB2312"/>
          <w:kern w:val="0"/>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10,885,716.47</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15.78</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仿宋_GB2312" w:cs="仿宋_GB2312"/>
          <w:sz w:val="30"/>
          <w:szCs w:val="30"/>
          <w:highlight w:val="none"/>
          <w:lang w:eastAsia="zh-CN"/>
        </w:rPr>
        <w:t>后疫情影响和财政资金统筹，2022年未执行的一般公共预算财政拨款基本支出中的日常公用经费支出，本年度完成支付。主要为办公费办公用品采购费、物业管理费、租赁费、委托业务费等支出增加。</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天津市公安局东丽分局</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89,851,680.50</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20,996,125.00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101,077.00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68,754,478.50</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39,636,019.86</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44.11%</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31,950,621.86</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35.56%</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6.1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100.0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55.64</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720"/>
        <w:jc w:val="left"/>
        <w:rPr>
          <w:rFonts w:ascii="Times New Roman" w:hAnsi="Times New Roman" w:eastAsia="仿宋_GB2312" w:cs="Times New Roman"/>
          <w:color w:val="000000"/>
          <w:kern w:val="0"/>
          <w:sz w:val="30"/>
          <w:szCs w:val="30"/>
          <w:highlight w:val="none"/>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天津市公安局东丽分局</w:t>
      </w:r>
      <w:r>
        <w:rPr>
          <w:rFonts w:hint="eastAsia" w:ascii="Times New Roman" w:hAnsi="Times New Roman" w:eastAsia="仿宋_GB2312" w:cs="仿宋_GB2312"/>
          <w:color w:val="000000"/>
          <w:kern w:val="0"/>
          <w:sz w:val="30"/>
          <w:szCs w:val="30"/>
          <w:highlight w:val="none"/>
        </w:rPr>
        <w:t>共有车辆</w:t>
      </w:r>
      <w:r>
        <w:rPr>
          <w:rFonts w:hint="eastAsia" w:ascii="Times New Roman" w:hAnsi="Times New Roman" w:eastAsia="仿宋_GB2312" w:cs="Times New Roman"/>
          <w:kern w:val="0"/>
          <w:sz w:val="30"/>
          <w:szCs w:val="30"/>
          <w:highlight w:val="none"/>
          <w:lang w:eastAsia="zh-CN"/>
        </w:rPr>
        <w:t>312</w:t>
      </w:r>
      <w:r>
        <w:rPr>
          <w:rFonts w:hint="eastAsia" w:ascii="Times New Roman" w:hAnsi="Times New Roman" w:eastAsia="仿宋_GB2312" w:cs="仿宋_GB2312"/>
          <w:color w:val="000000"/>
          <w:kern w:val="0"/>
          <w:sz w:val="30"/>
          <w:szCs w:val="30"/>
          <w:highlight w:val="none"/>
        </w:rPr>
        <w:t>辆，其中：</w:t>
      </w:r>
      <w:r>
        <w:rPr>
          <w:rFonts w:ascii="Times New Roman" w:hAnsi="Times New Roman" w:eastAsia="仿宋_GB2312" w:cs="Times New Roman"/>
          <w:kern w:val="0"/>
          <w:sz w:val="30"/>
          <w:szCs w:val="30"/>
          <w:highlight w:val="none"/>
        </w:rPr>
        <w:t>副部（省）级及以上领导用车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主要</w:t>
      </w:r>
      <w:r>
        <w:rPr>
          <w:rFonts w:hint="eastAsia" w:ascii="Times New Roman" w:hAnsi="Times New Roman" w:eastAsia="仿宋_GB2312" w:cs="Times New Roman"/>
          <w:kern w:val="0"/>
          <w:sz w:val="30"/>
          <w:szCs w:val="30"/>
          <w:highlight w:val="none"/>
          <w:lang w:val="en-US" w:eastAsia="zh-CN"/>
        </w:rPr>
        <w:t>负责人</w:t>
      </w:r>
      <w:r>
        <w:rPr>
          <w:rFonts w:ascii="Times New Roman" w:hAnsi="Times New Roman" w:eastAsia="仿宋_GB2312" w:cs="Times New Roman"/>
          <w:kern w:val="0"/>
          <w:sz w:val="30"/>
          <w:szCs w:val="30"/>
          <w:highlight w:val="none"/>
        </w:rPr>
        <w:t>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机要通信用车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应急保障用车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执法执勤用车</w:t>
      </w:r>
      <w:r>
        <w:rPr>
          <w:rFonts w:hint="eastAsia" w:ascii="Times New Roman" w:hAnsi="Times New Roman" w:eastAsia="仿宋_GB2312" w:cs="Times New Roman"/>
          <w:kern w:val="0"/>
          <w:sz w:val="30"/>
          <w:szCs w:val="30"/>
          <w:highlight w:val="none"/>
          <w:lang w:eastAsia="zh-CN"/>
        </w:rPr>
        <w:t>312</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特种专业技术用车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离退休干部</w:t>
      </w:r>
      <w:r>
        <w:rPr>
          <w:rFonts w:hint="eastAsia" w:ascii="Times New Roman" w:hAnsi="Times New Roman" w:eastAsia="仿宋_GB2312" w:cs="Times New Roman"/>
          <w:kern w:val="0"/>
          <w:sz w:val="30"/>
          <w:szCs w:val="30"/>
          <w:highlight w:val="none"/>
          <w:lang w:val="en-US" w:eastAsia="zh-CN"/>
        </w:rPr>
        <w:t>服务</w:t>
      </w:r>
      <w:r>
        <w:rPr>
          <w:rFonts w:ascii="Times New Roman" w:hAnsi="Times New Roman" w:eastAsia="仿宋_GB2312" w:cs="Times New Roman"/>
          <w:kern w:val="0"/>
          <w:sz w:val="30"/>
          <w:szCs w:val="30"/>
          <w:highlight w:val="none"/>
        </w:rPr>
        <w:t>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其他用车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hint="eastAsia" w:ascii="Times New Roman" w:hAnsi="Times New Roman" w:eastAsia="仿宋_GB2312" w:cs="Times New Roman"/>
          <w:kern w:val="0"/>
          <w:sz w:val="30"/>
          <w:szCs w:val="30"/>
          <w:highlight w:val="none"/>
        </w:rPr>
        <w:t>，其他用车主要包括</w:t>
      </w:r>
      <w:r>
        <w:rPr>
          <w:rFonts w:hint="eastAsia" w:ascii="Times New Roman" w:hAnsi="Times New Roman" w:eastAsia="仿宋_GB2312" w:cs="仿宋_GB2312"/>
          <w:kern w:val="0"/>
          <w:sz w:val="30"/>
          <w:szCs w:val="30"/>
          <w:highlight w:val="none"/>
          <w:lang w:val="zh-CN"/>
        </w:rPr>
        <w:t>。</w:t>
      </w:r>
      <w:r>
        <w:rPr>
          <w:rFonts w:hint="eastAsia" w:ascii="Times New Roman" w:hAnsi="Times New Roman" w:eastAsia="仿宋_GB2312" w:cs="仿宋_GB2312"/>
          <w:kern w:val="0"/>
          <w:sz w:val="30"/>
          <w:szCs w:val="30"/>
          <w:highlight w:val="none"/>
        </w:rPr>
        <w:t>单价</w:t>
      </w:r>
      <w:r>
        <w:rPr>
          <w:rFonts w:ascii="Times New Roman" w:hAnsi="Times New Roman" w:eastAsia="仿宋_GB2312" w:cs="仿宋_GB2312"/>
          <w:kern w:val="0"/>
          <w:sz w:val="30"/>
          <w:szCs w:val="30"/>
          <w:highlight w:val="none"/>
        </w:rPr>
        <w:t>100</w:t>
      </w:r>
      <w:r>
        <w:rPr>
          <w:rFonts w:hint="eastAsia" w:ascii="Times New Roman" w:hAnsi="Times New Roman" w:eastAsia="仿宋_GB2312" w:cs="仿宋_GB2312"/>
          <w:kern w:val="0"/>
          <w:sz w:val="30"/>
          <w:szCs w:val="30"/>
          <w:highlight w:val="none"/>
        </w:rPr>
        <w:t>万元以上的设备</w:t>
      </w:r>
      <w:r>
        <w:rPr>
          <w:rFonts w:hint="eastAsia" w:ascii="Times New Roman" w:hAnsi="Times New Roman" w:eastAsia="仿宋_GB2312" w:cs="Times New Roman"/>
          <w:kern w:val="0"/>
          <w:sz w:val="30"/>
          <w:szCs w:val="30"/>
          <w:highlight w:val="none"/>
          <w:lang w:eastAsia="zh-CN"/>
        </w:rPr>
        <w:t>19</w:t>
      </w:r>
      <w:r>
        <w:rPr>
          <w:rFonts w:hint="eastAsia" w:ascii="Times New Roman" w:hAnsi="Times New Roman" w:eastAsia="仿宋_GB2312" w:cs="仿宋_GB2312"/>
          <w:kern w:val="0"/>
          <w:sz w:val="30"/>
          <w:szCs w:val="30"/>
          <w:highlight w:val="none"/>
        </w:rPr>
        <w:t>台（套）。</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根据预算绩效管理要求，天津市公安局东丽分局2023年度已对48个区级项目开展绩效自评，涉及金额60196631.12元，自评结果已随部门决算和“三公”经费决算一并公开。</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天津市公安局东丽分局不属于乡、镇、街级单位，不涉及2023年度教育、医疗卫生、社会保障和就业、住房保障、涉农补贴等民生支出情况。</w:t>
      </w: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FiZjNkNTg4YmM3MmE0OWM1ODU4YmU2YTQwZDcyMW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1FF5BDE"/>
    <w:rsid w:val="029D518A"/>
    <w:rsid w:val="03311B3F"/>
    <w:rsid w:val="03901927"/>
    <w:rsid w:val="054A2901"/>
    <w:rsid w:val="05CA273A"/>
    <w:rsid w:val="05E55C53"/>
    <w:rsid w:val="069A035E"/>
    <w:rsid w:val="07267E44"/>
    <w:rsid w:val="07425D24"/>
    <w:rsid w:val="07A23238"/>
    <w:rsid w:val="085D1644"/>
    <w:rsid w:val="0A7D5D1A"/>
    <w:rsid w:val="0ACC4EAE"/>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0C2785"/>
    <w:rsid w:val="1949378C"/>
    <w:rsid w:val="199A3054"/>
    <w:rsid w:val="19DE5611"/>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6A3584"/>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3032C66"/>
    <w:rsid w:val="332D3FC0"/>
    <w:rsid w:val="33B34EC6"/>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9E24D5"/>
    <w:rsid w:val="72B3615B"/>
    <w:rsid w:val="73724CC1"/>
    <w:rsid w:val="7455465F"/>
    <w:rsid w:val="75AB44BA"/>
    <w:rsid w:val="78B85082"/>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autoRedefine/>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autoRedefine/>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3150</Words>
  <Characters>5525</Characters>
  <Lines>82</Lines>
  <Paragraphs>23</Paragraphs>
  <TotalTime>13</TotalTime>
  <ScaleCrop>false</ScaleCrop>
  <LinksUpToDate>false</LinksUpToDate>
  <CharactersWithSpaces>5549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2024-10-31T01:01:49Z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018905B98F1D44EA973F0888F3D0AFB7_13</vt:lpwstr>
  </property>
</Properties>
</file>