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578BD24B">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天津市东丽区生态修复整治利用中心</w:t>
      </w:r>
    </w:p>
    <w:p w14:paraId="33E7E77E">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5B7AFE1">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1C901C1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5CB205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D752C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7663B2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249EAA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7ED3374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752D3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D486F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A6770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6D84B4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5011828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74C8F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6E07B32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7CBBD6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4795745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17C56D4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44256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1C841C3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46984E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8D069D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B39E2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5A368B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0044177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7703E80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7A9BA6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510998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14BB38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371AAD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1ED9286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79AE7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6373EDD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3DCF63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93C14D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BC318D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单位根据主要职责填写。</w:t>
      </w:r>
    </w:p>
    <w:p w14:paraId="02DF7BC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1）承担本区建设项目的土地征收、农用地转用和土地开垦等相关事务性工作。</w:t>
      </w:r>
    </w:p>
    <w:p w14:paraId="0D1738B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2）承担国土空间和自然资源生态修复规划并实施有关生态修复重点工程的相关事务性工作。</w:t>
      </w:r>
    </w:p>
    <w:p w14:paraId="0EFC109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3）承担辖区耕地数量、质量、生态保护的相关事务性工作。4）承担本区出让、转让国有土地使用权和租赁国有土地等相关事务性工作。</w:t>
      </w:r>
    </w:p>
    <w:p w14:paraId="213BD8D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5）承担主管部门交办的其他事项。</w:t>
      </w:r>
    </w:p>
    <w:p w14:paraId="41745EC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天津市东丽区生态修复整治利用中心内设0个职能部门；下辖0个预算单位。纳入天津市东丽区生态修复整治利用中心2024年度部门决算编制范围的单位包括：</w:t>
      </w:r>
    </w:p>
    <w:p w14:paraId="77116BB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180A2BA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1.​天津市东丽区生态修复整治利用中心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1AAF9B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部门（单位）：天津市东丽区生态修复整治利用中心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374,039.76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173,761.55</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173,761.55</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173,761.55</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4,073,215.58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4,073,215.58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部门（单位）：天津市东丽区生态修复整治利用中心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3,899,454.03</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3,899,454.03</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374,039.76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374,039.76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D7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11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1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D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374,039.76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6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374,039.76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55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10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FE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B0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D6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8C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03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6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9B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D7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241,996.96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5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241,996.96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0F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C0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D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D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EB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3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0D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E9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A3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EA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132,042.80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2E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132,042.80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D9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2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1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B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E5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AB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B5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4B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6B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70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205,957.09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3A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205,957.09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C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FF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1A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13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DD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03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73A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42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34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5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205,957.09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D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205,957.09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9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82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C6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7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D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2E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1E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C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98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6A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205,957.09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A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205,957.09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3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92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8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A8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2B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7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9A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4D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4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自然资源海洋气象等支出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2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2,428,781.18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5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2,428,781.18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4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E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D9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6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5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7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D58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3D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7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自然资源事务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C0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2,428,781.18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45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2,428,781.18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B2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F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8E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86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7E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01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A2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95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2200150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E1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B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2,428,781.18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3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2,428,781.18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2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4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F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F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7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C0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27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95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D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D8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890,676.00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C1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890,676.00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C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E0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50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9E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76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BA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5E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70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16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5E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890,676.00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1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890,676.00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9F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2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DA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75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9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F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3A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29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F5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A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890,676.00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DB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890,676.00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5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08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B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78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23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部门（单位）：天津市东丽区生态修复整治利用中心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4,073,215.58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3,899,454.03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3,899,454.03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173,761.55</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173,761.55</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173,761.55</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358202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天津市东丽区生态修复整治利用中心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4,073,215.58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3,899,454.03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3,899,454.03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173,761.55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173,761.55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173,761.55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部门（单位）：天津市东丽区生态修复整治利用中心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374,039.76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374,039.76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FF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C2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64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374,039.76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F1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374,039.76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F6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8C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F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F1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F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09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4E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241,996.96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A9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241,996.96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6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1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A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C0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5F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00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58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D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132,042.80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D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132,042.80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CB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6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F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79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07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5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FA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93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1E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8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78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BC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E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9F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5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CD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3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79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F9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1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1D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7B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62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31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12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3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C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4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EA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CD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4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37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6D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3D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自然资源海洋气象等支出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86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65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9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6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A5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D9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F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4F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A1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自然资源事务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DA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36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35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F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E9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95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BC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5C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D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AA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54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E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B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9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2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92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9B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92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1C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7E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E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F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5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A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F7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77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54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17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C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8A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F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E7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6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6E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C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61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7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7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0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F4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A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9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部门（单位）：天津市东丽区生态修复整治利用中心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374,039.76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374,039.76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2,428,781.18</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3,899,454.03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173,761.55</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173,761.55</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173,761.55</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173,761.55</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4,073,215.58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4,073,215.58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4,073,215.58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天津市东丽区生态修复整治利用中心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3,899,454.03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3,899,454.03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3,633,016.61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266,437.42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374,039.76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374,039.76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374,039.76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20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6C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E4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E5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374,039.76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DA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374,039.76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00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374,039.76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A5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A8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2CB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E7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77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A3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241,996.96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5C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241,996.96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62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241,996.96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A8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C9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367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9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9B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A0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132,042.80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89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132,042.80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8E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132,042.80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E4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C6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441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4F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D7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EC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27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96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C6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C6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8B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45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A1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0B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74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23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60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F2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DE9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7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50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07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F8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1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205,957.09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32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BE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5DE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6C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5E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自然资源海洋气象等支出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6D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2,428,781.18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7F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2,428,781.18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31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2,162,343.76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6A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266,437.42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71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20A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D5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B9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自然资源事务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60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2,428,781.18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DE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2,428,781.18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55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2,162,343.76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C1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266,437.42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D9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CCD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64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2200150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8F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59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2,428,781.18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9D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2,428,781.18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1C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2,162,343.76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DC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266,437.42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05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DE8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D7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67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5E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54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AD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82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68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BD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01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1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6F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1A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C1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1B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51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41B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4F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C2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77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6F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B7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890,676.00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7E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C9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部门（单位）：天津市东丽区生态修复整治利用中心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3,610,233.41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266,437.42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743,766.00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60,262.66</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397,932.20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934,799.00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241,996.96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17,912.82</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132,042.80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3,510.00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205,957.09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11,554.36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7,687.00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890,676.00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51,509.00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22,783.20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1,425.00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18,543.20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33,057.36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24,582.58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3,633,016.61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266,437.42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天津市东丽区生态修复整治利用中心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2672444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天津市东丽区生态修复整治利用中心2024年政府性基金预算财政拨款收入支出决算表为空表。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天津市东丽区生态修复整治利用中心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89920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天津市东丽区生态修复整治利用中心2024年国有资本经营预算财政拨款收入支出决算表为空表。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部门（单位）：天津市东丽区生态修复整治利用中心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DF0FBE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天津市东丽区生态修复整治利用中心2024年财政拨款“三公”经费支出决算表为空表。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部门（单位）：天津市东丽区生态修复整治利用中心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DC61EAE">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天津市东丽区生态修复整治利用中心2024年项目支出决算表为空表。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549424E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CEC1DA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1499C5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天津市东丽区生态修复整治利用中心2024年度收入、支出决算总计4,073,215.58元。与2023年度相比，收、支总计各增加186,857.14元，增长4.808%，主要原因是新调入1人。</w:t>
      </w:r>
    </w:p>
    <w:p w14:paraId="23FAD5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收入包括：一般公共预算财政拨款收入3,899,454.03元。</w:t>
      </w:r>
    </w:p>
    <w:p w14:paraId="21E672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支出包括：社会保障和就业支出374,039.76元、卫生健康支出205,957.09元、自然资源海洋气象等支出2,428,781.18元、住房保障支出890,676.00元。</w:t>
      </w:r>
    </w:p>
    <w:p w14:paraId="396F068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6C0306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天津市东丽区生态修复整治利用中心2024年度本年收入合计3,899,454.03元，与2023年度相比增加186,857.14元，主要原因是新调入1人。其中：</w:t>
      </w:r>
    </w:p>
    <w:p w14:paraId="37D0B5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一般公共预算财政拨款收入3,899,454.03元，占100.000%。</w:t>
      </w:r>
    </w:p>
    <w:p w14:paraId="66ECABF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329272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天津市东丽区生态修复整治利用中心2024年度本年支出合计3,899,454.03元，与2023年度相比增加186,857.14元，主要原因是新调入1人。其中：</w:t>
      </w:r>
    </w:p>
    <w:p w14:paraId="552D1C5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基本支出3,899,454.03元，占100.000%。</w:t>
      </w:r>
    </w:p>
    <w:p w14:paraId="39B5479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1B9CB9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天津市东丽区生态修复整治利用中心2024年度财政拨款收入、支出决算总计4,073,215.58元。与2023年度相比，财政拨款收、支总计各增加186,857.14元，增长4.808%，主要原因是新调入1人。</w:t>
      </w:r>
    </w:p>
    <w:p w14:paraId="5CF06652">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收入包括：一般公共预算财政拨款3,899,454.03元、年初财政拨款结转和结余173,761.55元。</w:t>
      </w:r>
    </w:p>
    <w:p w14:paraId="7A43198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支出包括：社会保障和就业支出374,039.76元、卫生健康支出205,957.09元、自然资源海洋气象等支出2,428,781.18元、住房保障支出890,676.00元。</w:t>
      </w:r>
    </w:p>
    <w:p w14:paraId="0BD7839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0D8D46D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1CFA0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部门决算一般公共预算财政拨款支出合计3,899,454.03元，占本年支出合计的100.000%。与2023年度相比，一般公共预算财政拨款支出增加186,857.14元，增长5.033%，主要原因是新调入1人。</w:t>
      </w:r>
    </w:p>
    <w:p w14:paraId="0D37AAA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99AA5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3,899,454.03元，主要用于以下方面：社会保障和就业支出（类）374,039.76元，占9.592%；卫生健康支出（类）205,957.09元，占5.282%；自然资源海洋气象等支出（类）2,428,781.18元，占62.285%；住房保障支出（类）890,676.00元，占22.841%。</w:t>
      </w:r>
    </w:p>
    <w:p w14:paraId="4E65461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BACF6A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2024年度一般公共预算财政拨款支出年初预算为3,728,800.00元，支出决算为3,899,454.03元，完成年初预算的104.577%。其中：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253,900.00元，支出决算为241,996.96元，完成年初预算的95.312%，决算数小于年初预算数的主要原因是：新调入1人。</w:t>
      </w:r>
    </w:p>
    <w:p w14:paraId="0D8140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126,900.00元，支出决算为132,042.80元，完成年初预算的104.053%，决算数大于年初预算数的主要原因是：新调入1人。</w:t>
      </w:r>
    </w:p>
    <w:p w14:paraId="156D0D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3.​卫生健康支出(类)行政事业单位医疗(款)事业单位医疗(项)年初预算为177,500.00元，支出决算为205,957.09元，完成年初预算的116.032%，决算数大于年初预算数的主要原因是：新调入1人。</w:t>
      </w:r>
    </w:p>
    <w:p w14:paraId="4CC7B0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4.​自然资源海洋气象等支出(类)自然资源事务(款)事业运行(项)年初预算为2,308,600.00元，支出决算为2,428,781.18元，完成年初预算的105.206%，决算数大于年初预算数的主要原因是：新调入1人。</w:t>
      </w:r>
    </w:p>
    <w:p w14:paraId="3170FD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5.​住房保障支出(类)住房改革支出(款)住房公积金(项)年初预算为861,900.00元，支出决算为890,676.00元，完成年初预算的103.339%，决算数大于年初预算数的主要原因是：新调入1人。</w:t>
      </w:r>
    </w:p>
    <w:p w14:paraId="23D5CB1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6ECC09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天津市东丽区生态修复整治利用中心2024年度部门决算一般公共预算财政拨款基本支出合计3,899,454.03元，与2023年度相比增加303,851.19元，主要原因是新调入1人。其中：</w:t>
      </w:r>
    </w:p>
    <w:p w14:paraId="182306D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3,633,016.61元，主要包括基本工资、津贴补贴、绩效工资、机关事业单位基本养老保险缴费、职业年金缴费、职工基本医疗保险缴费、其他社会保障缴费、住房公积金、其他工资福利支出、退休费、奖励金和其他对个人和家庭的补助。</w:t>
      </w:r>
    </w:p>
    <w:p w14:paraId="6A49BE9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公用经费266,437.42元，主要包括办公费、电费、邮电费、差旅费、培训费、工会经费、福利费、税金及附加费用和其他商品和服务支出。</w:t>
      </w:r>
    </w:p>
    <w:p w14:paraId="39DF4B3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58F4529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天津市东丽区生态修复整治利用中心2024年度无政府性基金预算财政拨款收入、支出和结转结余。</w:t>
      </w:r>
    </w:p>
    <w:p w14:paraId="7047EE4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C237F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天津市东丽区生态修复整治利用中心2024年度无国有资本经营预算财政拨款收入、支出和结转结余。</w:t>
      </w:r>
    </w:p>
    <w:p w14:paraId="70483C5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DEAFB2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2A6B4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度未安排“三公”经费；决算数较上年持平的主要原因是本年度未安排“三公”经费。</w:t>
      </w:r>
    </w:p>
    <w:p w14:paraId="0A444EE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035C5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安排因公出国（境）费；决算数较上年持平的主要原因是本年度未安排因公出国（境）费。</w:t>
      </w:r>
    </w:p>
    <w:p w14:paraId="6174327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FBDBA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度未安排公务用车购置及运行维护费；决算数较上年持平的主要原因是本年度未安排公务用车购置及运行维护费。其中：</w:t>
      </w:r>
    </w:p>
    <w:p w14:paraId="5F06560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度未安排公务用车运行维护费；决算数较上年持平的主要原因是本年度未安排公务用车运行维护费。</w:t>
      </w:r>
    </w:p>
    <w:p w14:paraId="3F21FD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FC565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安排公务用车购置费；决算数较上年持平的主要原因是本年度未安排公务用车购置费。</w:t>
      </w:r>
    </w:p>
    <w:p w14:paraId="0CF2F14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4B7D0B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3.公务接待费预算0.00元，支出决算0.00元，与预算相比持平；支出决算较上年持平；决算数与预算数持平的主要原因是本年度未安排公务接待；决算数较上年持平的主要原因是本年度未安排公务接待。</w:t>
      </w:r>
    </w:p>
    <w:p w14:paraId="7FD492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25AB3EB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38414C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天津市东丽区生态修复整治利用中心2024年度无机关运行经费。</w:t>
      </w:r>
    </w:p>
    <w:p w14:paraId="042C163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96734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天津市东丽区生态修复整治利用中心2024年度无政府采购支出。</w:t>
      </w:r>
    </w:p>
    <w:p w14:paraId="620A721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A2048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天津市东丽区生态修复整治利用中心2024年度无国有资产占有使用情况。</w:t>
      </w:r>
    </w:p>
    <w:p w14:paraId="6708888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640F5FE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天津市东丽区生态修复整治利用中心2024年度没有项目支出，无需开展绩效自评。</w:t>
      </w:r>
    </w:p>
    <w:p w14:paraId="7D034C5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7E26672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天津市东丽区生态修复整治利用中心不属于乡、镇、街级单位，不涉及公开2024年度教育、医疗卫生、社会保障和就业、住房保障、涉农补贴等民生支出情况。</w:t>
      </w:r>
    </w:p>
    <w:p w14:paraId="4F9761E1">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8DACB2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E2AC4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EC1762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2FE716-8FCA-4CEB-9380-8504AD8FF6E8}"/>
  </w:font>
  <w:font w:name="黑体">
    <w:panose1 w:val="02010609060101010101"/>
    <w:charset w:val="86"/>
    <w:family w:val="auto"/>
    <w:pitch w:val="default"/>
    <w:sig w:usb0="800002BF" w:usb1="38CF7CFA" w:usb2="00000016" w:usb3="00000000" w:csb0="00040001" w:csb1="00000000"/>
    <w:embedRegular r:id="rId2" w:fontKey="{CEB92DA3-9CE2-4D45-AF3D-48556635DE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2D374BB3-4FA2-4D97-AEB2-820F563E8228}"/>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D456F4ED-9767-4ABD-B93E-3F7BB4C554D2}"/>
  </w:font>
  <w:font w:name="仿宋_GB2312">
    <w:altName w:val="仿宋"/>
    <w:panose1 w:val="00000000000000000000"/>
    <w:charset w:val="00"/>
    <w:family w:val="auto"/>
    <w:pitch w:val="default"/>
    <w:sig w:usb0="00000000" w:usb1="00000000" w:usb2="00000000" w:usb3="00000000" w:csb0="00000000" w:csb1="00000000"/>
    <w:embedRegular r:id="rId5" w:fontKey="{085AC287-0D9D-4BD0-9A49-1911D33538A3}"/>
  </w:font>
  <w:font w:name="宋体-简">
    <w:altName w:val="宋体"/>
    <w:panose1 w:val="02010800040101010101"/>
    <w:charset w:val="86"/>
    <w:family w:val="auto"/>
    <w:pitch w:val="default"/>
    <w:sig w:usb0="00000000" w:usb1="00000000" w:usb2="00000000" w:usb3="00000000" w:csb0="00040000" w:csb1="00000000"/>
    <w:embedRegular r:id="rId6" w:fontKey="{0095FCED-FD16-4581-B180-FF7A08B06EA9}"/>
  </w:font>
  <w:font w:name="楷体">
    <w:panose1 w:val="02010609060101010101"/>
    <w:charset w:val="86"/>
    <w:family w:val="auto"/>
    <w:pitch w:val="default"/>
    <w:sig w:usb0="800002BF" w:usb1="38CF7CFA" w:usb2="00000016" w:usb3="00000000" w:csb0="00040001" w:csb1="00000000"/>
    <w:embedRegular r:id="rId7" w:fontKey="{83B5B48E-3D42-4DD1-B0BA-6105E8CD48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EF939">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EF939">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214E1"/>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809</Words>
  <Characters>826</Characters>
  <Lines>86</Lines>
  <Paragraphs>24</Paragraphs>
  <TotalTime>12</TotalTime>
  <ScaleCrop>false</ScaleCrop>
  <LinksUpToDate>false</LinksUpToDate>
  <CharactersWithSpaces>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2025-01-10T02:13:54Z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9F013C4AA71641518F85AEDB42677C24_13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