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6F636A7">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天津市东丽区工业和信息化局（本级）</w:t>
      </w:r>
    </w:p>
    <w:p w14:paraId="54783FB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006DEE5">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6876B1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F38DF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870E4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3B0823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B2E05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218B7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AB986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E2047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96217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B2EF4A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129A1B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BE582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0AE5A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6AE39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67DE5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7EBB02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D74864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1D7B12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31795A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4C58DF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95D21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1A42DD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68C4A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5BE67B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14CC4A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ADA5B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5BFD8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35FE86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9D746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FE5941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FC7FC8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E04A02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87E945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4E2123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工业、信息产业和工业信息化工作的法律、法规、规章和方针政策。拟订本区工业、信息产业和工业信息化工作的有关规范性文件草案、政策文件、规划和年度计划，并组织实施和监督检查；组织协调减轻企业负担工作。</w:t>
      </w:r>
      <w:bookmarkStart w:id="0" w:name="_GoBack"/>
      <w:bookmarkEnd w:id="0"/>
      <w:r>
        <w:rPr>
          <w:rFonts w:ascii="Times New Roman" w:eastAsia="仿宋_GB2312"/>
          <w:b w:val="0"/>
          <w:sz w:val="30"/>
          <w:szCs w:val="30"/>
        </w:rPr>
        <w:t>（二）负责推进产业布局、产业产品结构调整优化升级，引导和扶持工业信息产业发展。（三）负责监测分析全区工业、信息产业运行情况和发展态势，协调解决行业运行发展中的有关问题并提出政策建议。（四）负责提出全区工业、信息产业、信息化固定资产投资规模和方向的建议，贯彻执行工业投资导向；按区政府批准权限组织推动重大工业项目建设；负责编报支持工业和工业信息化各专项资金的预算审核，会同有关部门提出专项资金使用计划和项目投资计划并组织推动与监督落实。（五）负责全区工业技术改造的组织和实施工作，指导行业技术创新和科技进步，以先进适用技术改造提升传统产业；协调组织实施有关国家及本市工业、信息产业科技重大专项，推进产学研结合和相关科研成果产业化；推进工业企业品牌战略；指导相关企业开展人才引进、开发和培训工作；负责组织国家和市级企业技术中心的申报工作；推进工业企业技术创新体系建设，推动新兴产业发展。（六）负责组织协调发展装备制造业，会同有关部门推动全区智能制造发展，落实重大技术装备发展和自主创新规划、政策，推进重大技术装备国产化，指导引导重大技术装备的消化创新。（七）负责全区工业节能工作，指导节能监察工作；组织协调和指导全区清洁生产促进工作；会同有关部门组织实施全区领域资源综合利用工作；会同有关部门对固定资产投资项目进行用能检查，加强事中事后监管；组织协调相关重大示范工程和新品种、新技术、新设备、新材料的推广应用；会同有关部门组织开展工业污染防治、节能减排、工业节水和环境保护工作，推动本领域污染防治；组织、管理和监督全区工业领域资源综合利用企业（含电厂）的认证工作；负责编报支持工业节能专项资金的审核管理和使用，会同有关部门对资金使用情况进行监督检查。对全区工业经济运行中能源要素进行综合协调。（八）负责拟订并组织实施工业、通信业的能源节约和资源综合利用、清洁生产促进政策，参与拟订能源节约和资源综合利用、清洁生产促进规划。（九）负责组织推动全区工业园区发展及管理服务工作；会同有关部门拟订全区工业园区建设规划并组织实施，合理调整工业布局，推进工业聚集发展；推进都市工业发展；落实支持园区发展相关政策，会同有关部门对资金使用情况进行监督检查。（十）负责依法对有关工业产品的生产准入实施管理；承担全区履行《禁止化学武器公约》的有关工作。（十一）负责组织推动全区通信基础设施建设工作，落实网络强市建设相关工作，推动宽带发展。（十二）负责工业信息化管理工作。拟订并组织实施信息化与工业化融合的发展规划，推动工业数字化、网络化、智能化发展。负责推动信息服务创新发展，促进企业发展中信息化与工业化融合，推进产业振兴与发展。（十三）负责推动软件和信息服务业发展，拟订并组织实施发展规划、产业政策。组织推进软件技术、产品和信息服务的研发、推广应用与产业化，指导安全可靠信息系统集成能力建设。（十四）负责指导做好重要工业领域工控系统信息安全保障工作。落实和完善工业信息安全政策和标准。推进工业信息安全产业发展，指导协调工业信息安全技术、产品研发及产业化。（十五）负责全区电力行政管理和电力需求侧管理，负责编制全区电网发展规划和全区电力运行的平衡，参与电力体系改革，培育和监管电力市场，参与研究提出能源政策和建议，协调和解决区域电网建设过程中存在的问题。（十六）负责本领域安全生产管理，从行业规划、产业政策等方面加强行业安全生产工作，指导督促企事业单位安全管理工作。配合有关部门做好安全生产工作、应对突发事件和自然灾害所需的生产资料、救灾物资的生产、储备和调运。会同有关部门管理医药储备工作。（十七）会同有关部门组织推动本领域招商引资工作。组织指导工业和信息产业企业开拓市场，开展工业、信息产业的对外合作与交流。（十八）负责本领域人才队伍建设。（十九）承办区委、区政府交办的其他事项。</w:t>
      </w:r>
    </w:p>
    <w:p w14:paraId="2573925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天津市东丽区工业和信息化局（本级）内设5个职能部门；下辖0个预算单位。纳入天津市东丽区工业和信息化局（本级）2024年度部门决算编制范围的单位包括：</w:t>
      </w:r>
    </w:p>
    <w:p w14:paraId="13CBF1C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01B6B8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1.​天津市东丽区工业和信息化局（本级）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734BEA3">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2,534.17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9,787,523.59</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48,093,420.30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48,092,032.93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1,387.37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48,093,420.30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48,093,420.30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48,093,420.30</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48,090,886.13</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2,534.17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34,440,910.00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34,440,910.00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E9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1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2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0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D7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F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F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8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3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4D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9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8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7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4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2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9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32,860,600.00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9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7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2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5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5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2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A3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D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21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科技交流与合作</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D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E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E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E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1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0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3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E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2D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E3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4F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其他科技交流与合作支出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3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8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1,580,310.00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7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3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8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E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90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3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C1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C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6E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E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653,280.00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653,280.00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D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F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D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6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43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FE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2C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4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74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653,280.00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6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653,280.00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1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A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E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0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0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4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39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59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9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8C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435,520.00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7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435,520.00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68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0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2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5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3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8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59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79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F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26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217,760.00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F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217,760.00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5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D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9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3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0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47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BD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A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1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326,640.84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5A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326,640.84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5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BC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0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2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4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77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CF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1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D0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7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326,640.84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0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326,640.84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3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3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9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7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B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F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7F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18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D5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2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272,200.84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B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272,200.84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2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A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3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D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5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17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8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CC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A7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54,440.00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5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54,440.00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24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E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1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F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1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2D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5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70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84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9,788,910.96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0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9,786,376.79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8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B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C2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8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D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2,534.17</w:t>
            </w:r>
          </w:p>
        </w:tc>
      </w:tr>
      <w:tr w14:paraId="1105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CE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98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7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9,788,910.96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5E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9,786,376.79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3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1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9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08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3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C7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2,534.17</w:t>
            </w:r>
          </w:p>
        </w:tc>
      </w:tr>
      <w:tr w14:paraId="0D14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F4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49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B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4,374,984.16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4,372,449.99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B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C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7A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7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3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D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2,534.17</w:t>
            </w:r>
          </w:p>
        </w:tc>
      </w:tr>
      <w:tr w14:paraId="38C9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04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9C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中小企业发展专项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A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4,939,650.00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A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4,939,650.00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A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C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4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B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0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9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BB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6C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BC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A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474,276.80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F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474,276.80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8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6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3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9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1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1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88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92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5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2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C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A3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F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F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B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6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6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E2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5B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1B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2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A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D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9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31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2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F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E5F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49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1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B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E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1,402,278.50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E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A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7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1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9F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0B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E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B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D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B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1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F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7F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C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40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A7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C0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6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重要商品储备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B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FF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6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3E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A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E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1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6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D1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F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FD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其他重要商品储备支出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5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D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1,481,400.00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44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B9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8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3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9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C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部门（单位）：天津市东丽区工业和信息化局（本级）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48,093,420.30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48,093,420.30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48,090,886.13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2,534.17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322101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天津市东丽区工业和信息化局（本级）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48,093,420.30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48,093,420.30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48,090,886.13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2,534.17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48,092,032.93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6,755,796.13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41,336,236.80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89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14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78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E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1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3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E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1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D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D9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88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B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C7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D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9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5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11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D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41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77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5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科技交流与合作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2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A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9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80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B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54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2F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F9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F1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其他科技交流与合作支出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4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06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7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A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4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E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BD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27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08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AA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A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2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A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F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F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7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26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55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A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D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AE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6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C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B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AD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F1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4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BC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435,520.00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F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B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5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91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CD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68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A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217,760.00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E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217,760.00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4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D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5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8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D4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8A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B2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5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DD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9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C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1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9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62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CC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7F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0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C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0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0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FC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9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0F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A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9C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C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272,200.84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4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272,200.84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8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A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B1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B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A1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5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0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EB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61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64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8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4A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3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13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3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9,787,523.59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6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F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D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C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5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AF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13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9,787,523.59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7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8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6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D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A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50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00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9C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6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82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4,373,596.79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B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D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2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B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1F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86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4C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中小企业发展专项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D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F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F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C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18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4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FF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E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7B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6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474,276.80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0E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B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474,276.80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6E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6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CC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5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8D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E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DB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01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B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D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C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46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9B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D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4F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0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4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FA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2C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F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44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13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7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A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44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2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2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F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D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E0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1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DC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7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C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51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5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3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C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93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8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D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重要商品储备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BF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A2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B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D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F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2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A0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F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24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其他重要商品储备支出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6B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C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C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E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3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653,280.00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326,640.84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9,786,376.79</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9,786,376.79</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48,090,886.13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48,090,886.13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6,754,649.33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5,840,838.66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913,810.67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41,336,236.80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34,440,910.00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34,440,910.00</w:t>
            </w:r>
          </w:p>
        </w:tc>
      </w:tr>
      <w:tr w14:paraId="455E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2F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2A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42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1E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14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27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1A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r>
      <w:tr w14:paraId="345B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A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73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6F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67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73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4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32,860,600.00</w:t>
            </w:r>
          </w:p>
        </w:tc>
      </w:tr>
      <w:tr w14:paraId="1AB5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57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3B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科技交流与合作</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00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C3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B6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91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B4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r>
      <w:tr w14:paraId="5CBD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BE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3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其他科技交流与合作支出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9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A2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A4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67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D9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1,580,310.00</w:t>
            </w:r>
          </w:p>
        </w:tc>
      </w:tr>
      <w:tr w14:paraId="5731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0C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6B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6F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D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E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E7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05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B6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DB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3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B8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58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1C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653,280.00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2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A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19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4E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3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E5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435,520.00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C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435,520.00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E8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435,520.00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91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F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73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F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3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1C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217,760.00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B9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217,760.00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BB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217,760.00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25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B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B9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0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98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91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1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A9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B2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8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A7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4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23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D3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5C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BF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326,640.84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FB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14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69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38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4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5F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F2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E9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272,200.84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48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3A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16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B4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78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C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09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1C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54,440.00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0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9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07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1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3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资源勘探工业信息等支出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6A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9,786,376.79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A0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7D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3,458,639.32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33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913,810.67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70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5,413,926.80</w:t>
            </w:r>
          </w:p>
        </w:tc>
      </w:tr>
      <w:tr w14:paraId="549F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0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3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0F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9,786,376.79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9E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22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3,458,639.32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B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913,810.67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77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5,413,926.80</w:t>
            </w:r>
          </w:p>
        </w:tc>
      </w:tr>
      <w:tr w14:paraId="454C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C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7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35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4C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4,372,449.99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95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3,458,639.32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66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913,810.67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DA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FD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9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B6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中小企业发展专项</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9F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4,939,650.00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63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20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7D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09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4,939,650.00</w:t>
            </w:r>
          </w:p>
        </w:tc>
      </w:tr>
      <w:tr w14:paraId="1646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55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DD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28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474,276.80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B9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F7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B5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0B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474,276.80</w:t>
            </w:r>
          </w:p>
        </w:tc>
      </w:tr>
      <w:tr w14:paraId="1FEF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0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ED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57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4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71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A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36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80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C3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19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A9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45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58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50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67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EAE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B5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5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7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10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6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1,402,278.50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DA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22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87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D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3D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92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2F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9D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C3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97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7003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53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6A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重要商品储备</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DE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21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4F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D6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53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73AF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C2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其他重要商品储备支出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E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62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0D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7F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4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1,481,400.00</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5,590,484.02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910,310.67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1,020,633.00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32,924.40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1,254,904.60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2,451.00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914,004.00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3,500.00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27,975.40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435,520.00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37,087.99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217,760.00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11,521.00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272,200.84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87,272.00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54,440.00</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208,608.00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5,444.08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14,698.00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1,402,278.50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13,299.00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250,354.64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191,006.64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15,288.00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51,886.80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55,150.00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207,350.00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54,292.74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112,083.34</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5,840,838.66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913,810.67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3B0BDC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天津市东丽区工业和信息化局（本级）2024年政府性基金预算财政拨款收入支出决算表为空表。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天津市东丽区工业和信息化局（本级）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CA9EA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4FC19D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天津市东丽区工业和信息化局（本级）2024年财政拨款“三公”经费支出决算表为空表。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部门（单位）：天津市东丽区工业和信息化局（本级）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41,336,236.80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41,336,236.80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34,440,910.00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3F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04AB2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22" w:type="pct"/>
            <w:tcBorders>
              <w:top w:val="nil"/>
              <w:left w:val="nil"/>
              <w:bottom w:val="single" w:color="000000" w:sz="4" w:space="0"/>
              <w:right w:val="single" w:color="000000" w:sz="4" w:space="0"/>
            </w:tcBorders>
            <w:shd w:val="clear" w:color="auto" w:fill="auto"/>
            <w:noWrap/>
            <w:vAlign w:val="center"/>
          </w:tcPr>
          <w:p w14:paraId="30E193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5BE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D91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E702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E983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83EE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518B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DA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25E5A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4AB25D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72B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D9AC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32,860,600.00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B735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EBC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03E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E13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69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1D2E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59843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2024年第一批制造业高质量发展专项资金（津财建一指〔2024〕10号）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B99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11,940,400.00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0E5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11,940,400.00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1FD70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4EFED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2273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00D9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09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927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FBF7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2024年第三批制造业高质量发展专项资金（津财建一指〔2024〕72号）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1EC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80616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7F16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0420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F1D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E1666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ED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42CF5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062DB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2023年第三批制造业高质量发展专项资金（津财建一指〔2023〕97号）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36E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891,200.00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1D6A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891,200.00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E6E5C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A49A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48B7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9388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B7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4611C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59EFAF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2024年第二批制造业高质量发展专项资金（津财建一指〔2024〕11号）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C709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4,852,300.00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4B62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4,852,300.00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F1A8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81AC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8A46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F52FF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EF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EC34B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637B9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2023年第四批制造业高质量发展专项资金（津财建一指【2023】104号）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D1F6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1,156,700.00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06A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1,156,700.00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ED8BB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A84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EDF2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250F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3C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35E18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w:t>
            </w:r>
          </w:p>
        </w:tc>
        <w:tc>
          <w:tcPr>
            <w:tcW w:w="1022" w:type="pct"/>
            <w:tcBorders>
              <w:top w:val="nil"/>
              <w:left w:val="nil"/>
              <w:bottom w:val="single" w:color="000000" w:sz="4" w:space="0"/>
              <w:right w:val="single" w:color="000000" w:sz="4" w:space="0"/>
            </w:tcBorders>
            <w:shd w:val="clear" w:color="auto" w:fill="auto"/>
            <w:noWrap/>
            <w:vAlign w:val="center"/>
          </w:tcPr>
          <w:p w14:paraId="04106B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科技交流与合作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985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8060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1E11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CCEB6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07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A3DA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DF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8C12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2060899</w:t>
            </w:r>
          </w:p>
        </w:tc>
        <w:tc>
          <w:tcPr>
            <w:tcW w:w="1022" w:type="pct"/>
            <w:tcBorders>
              <w:top w:val="nil"/>
              <w:left w:val="nil"/>
              <w:bottom w:val="single" w:color="000000" w:sz="4" w:space="0"/>
              <w:right w:val="single" w:color="000000" w:sz="4" w:space="0"/>
            </w:tcBorders>
            <w:shd w:val="clear" w:color="auto" w:fill="auto"/>
            <w:noWrap/>
            <w:vAlign w:val="center"/>
          </w:tcPr>
          <w:p w14:paraId="60E646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其他科技交流与合作支出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9FD3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5A4D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C09C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9269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0547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D902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0F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02973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2060899</w:t>
            </w:r>
          </w:p>
        </w:tc>
        <w:tc>
          <w:tcPr>
            <w:tcW w:w="1022" w:type="pct"/>
            <w:tcBorders>
              <w:top w:val="nil"/>
              <w:left w:val="nil"/>
              <w:bottom w:val="single" w:color="000000" w:sz="4" w:space="0"/>
              <w:right w:val="single" w:color="000000" w:sz="4" w:space="0"/>
            </w:tcBorders>
            <w:shd w:val="clear" w:color="auto" w:fill="auto"/>
            <w:noWrap/>
            <w:vAlign w:val="center"/>
          </w:tcPr>
          <w:p w14:paraId="6A1EE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2024世界智能驾驶挑战赛</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4EA4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873F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1,580,310.00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58B1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57E2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4C099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4FFD1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E4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0E176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689461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FF2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105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D155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8F9C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C21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FBC0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E4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01C70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w:t>
            </w:r>
          </w:p>
        </w:tc>
        <w:tc>
          <w:tcPr>
            <w:tcW w:w="1022" w:type="pct"/>
            <w:tcBorders>
              <w:top w:val="nil"/>
              <w:left w:val="nil"/>
              <w:bottom w:val="single" w:color="000000" w:sz="4" w:space="0"/>
              <w:right w:val="single" w:color="000000" w:sz="4" w:space="0"/>
            </w:tcBorders>
            <w:shd w:val="clear" w:color="auto" w:fill="auto"/>
            <w:noWrap/>
            <w:vAlign w:val="center"/>
          </w:tcPr>
          <w:p w14:paraId="3126FF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38CC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4A40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5,413,926.80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256A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9A0C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5E0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B3F7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2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23027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22" w:type="pct"/>
            <w:tcBorders>
              <w:top w:val="nil"/>
              <w:left w:val="nil"/>
              <w:bottom w:val="single" w:color="000000" w:sz="4" w:space="0"/>
              <w:right w:val="single" w:color="000000" w:sz="4" w:space="0"/>
            </w:tcBorders>
            <w:shd w:val="clear" w:color="auto" w:fill="auto"/>
            <w:noWrap/>
            <w:vAlign w:val="center"/>
          </w:tcPr>
          <w:p w14:paraId="799D42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中小企业发展专项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A17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BF66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4,939,650.00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E923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E8C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B187E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FDD63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D0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779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22" w:type="pct"/>
            <w:tcBorders>
              <w:top w:val="nil"/>
              <w:left w:val="nil"/>
              <w:bottom w:val="single" w:color="000000" w:sz="4" w:space="0"/>
              <w:right w:val="single" w:color="000000" w:sz="4" w:space="0"/>
            </w:tcBorders>
            <w:shd w:val="clear" w:color="auto" w:fill="auto"/>
            <w:noWrap/>
            <w:vAlign w:val="center"/>
          </w:tcPr>
          <w:p w14:paraId="282DCA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中央财政2024年中小企业发展专项资金(津财建一指【2023】73号)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2E5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B886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C785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D31F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DE4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464B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0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2FBA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22" w:type="pct"/>
            <w:tcBorders>
              <w:top w:val="nil"/>
              <w:left w:val="nil"/>
              <w:bottom w:val="single" w:color="000000" w:sz="4" w:space="0"/>
              <w:right w:val="single" w:color="000000" w:sz="4" w:space="0"/>
            </w:tcBorders>
            <w:shd w:val="clear" w:color="auto" w:fill="auto"/>
            <w:noWrap/>
            <w:vAlign w:val="center"/>
          </w:tcPr>
          <w:p w14:paraId="295F12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2024年第一批中小企业发展专项资金（津财建一[2024]54号）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71039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8B3E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47A7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FE2B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666BD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0F99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3C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7C1C3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22" w:type="pct"/>
            <w:tcBorders>
              <w:top w:val="nil"/>
              <w:left w:val="nil"/>
              <w:bottom w:val="single" w:color="000000" w:sz="4" w:space="0"/>
              <w:right w:val="single" w:color="000000" w:sz="4" w:space="0"/>
            </w:tcBorders>
            <w:shd w:val="clear" w:color="auto" w:fill="auto"/>
            <w:noWrap/>
            <w:vAlign w:val="center"/>
          </w:tcPr>
          <w:p w14:paraId="24F68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中央财政2023年中小企业发展专项资金（津财建一指【2023】83号）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C09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6B0CA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A4B0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B3D3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5E2F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E885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1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FB73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2150805</w:t>
            </w:r>
          </w:p>
        </w:tc>
        <w:tc>
          <w:tcPr>
            <w:tcW w:w="1022" w:type="pct"/>
            <w:tcBorders>
              <w:top w:val="nil"/>
              <w:left w:val="nil"/>
              <w:bottom w:val="single" w:color="000000" w:sz="4" w:space="0"/>
              <w:right w:val="single" w:color="000000" w:sz="4" w:space="0"/>
            </w:tcBorders>
            <w:shd w:val="clear" w:color="auto" w:fill="auto"/>
            <w:noWrap/>
            <w:vAlign w:val="center"/>
          </w:tcPr>
          <w:p w14:paraId="15FE65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中央财政2024年中小企业发展专项资金（津财建一指[2024]104号）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44E4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921,250.00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06573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921,250.00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77986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649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B0A8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F9A0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1F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816F0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7A4C32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925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474,276.80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50DD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474,276.80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289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7305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7350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A06D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81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4D31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423CA5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F84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DDDE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1E3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565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A5D3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A6F11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9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39D9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1DB8B5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2022年引入第三方技术服务公司项目（尾款）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0CD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042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286B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CD30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E03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611E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5C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38BE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2E78B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2023年引入安全生产第三方技术服务（尾款）项目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EF7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CD3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3C60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4AF6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B35D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0840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97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0FCC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18C0D7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2024年供销公司补助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2332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310,064.80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E7D7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310,064.80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E45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99E6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F5DDE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31BF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B5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A506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22" w:type="pct"/>
            <w:tcBorders>
              <w:top w:val="nil"/>
              <w:left w:val="nil"/>
              <w:bottom w:val="single" w:color="000000" w:sz="4" w:space="0"/>
              <w:right w:val="single" w:color="000000" w:sz="4" w:space="0"/>
            </w:tcBorders>
            <w:shd w:val="clear" w:color="auto" w:fill="auto"/>
            <w:noWrap/>
            <w:vAlign w:val="center"/>
          </w:tcPr>
          <w:p w14:paraId="502C6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A38C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DBC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04A1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7BC2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BBBE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27B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D8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8949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w:t>
            </w:r>
          </w:p>
        </w:tc>
        <w:tc>
          <w:tcPr>
            <w:tcW w:w="1022" w:type="pct"/>
            <w:tcBorders>
              <w:top w:val="nil"/>
              <w:left w:val="nil"/>
              <w:bottom w:val="single" w:color="000000" w:sz="4" w:space="0"/>
              <w:right w:val="single" w:color="000000" w:sz="4" w:space="0"/>
            </w:tcBorders>
            <w:shd w:val="clear" w:color="auto" w:fill="auto"/>
            <w:noWrap/>
            <w:vAlign w:val="center"/>
          </w:tcPr>
          <w:p w14:paraId="1BCE87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重要商品储备</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F9F4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D37B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E08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A7DF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1A7C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F303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43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F4ED0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2220599</w:t>
            </w:r>
          </w:p>
        </w:tc>
        <w:tc>
          <w:tcPr>
            <w:tcW w:w="1022" w:type="pct"/>
            <w:tcBorders>
              <w:top w:val="nil"/>
              <w:left w:val="nil"/>
              <w:bottom w:val="single" w:color="000000" w:sz="4" w:space="0"/>
              <w:right w:val="single" w:color="000000" w:sz="4" w:space="0"/>
            </w:tcBorders>
            <w:shd w:val="clear" w:color="auto" w:fill="auto"/>
            <w:noWrap/>
            <w:vAlign w:val="center"/>
          </w:tcPr>
          <w:p w14:paraId="4A8CDD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其他重要商品储备支出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A7A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14BC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31E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2190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ACCC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B7BA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E2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6A569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2220599</w:t>
            </w:r>
          </w:p>
        </w:tc>
        <w:tc>
          <w:tcPr>
            <w:tcW w:w="1022" w:type="pct"/>
            <w:tcBorders>
              <w:top w:val="nil"/>
              <w:left w:val="nil"/>
              <w:bottom w:val="single" w:color="000000" w:sz="4" w:space="0"/>
              <w:right w:val="single" w:color="000000" w:sz="4" w:space="0"/>
            </w:tcBorders>
            <w:shd w:val="clear" w:color="auto" w:fill="auto"/>
            <w:noWrap/>
            <w:vAlign w:val="center"/>
          </w:tcPr>
          <w:p w14:paraId="20BAA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2022年防疫物资采购（尾款）项目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F443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8746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1,481,400.00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64B59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0B84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399E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CCE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F4D450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4CBF41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84515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天津市东丽区工业和信息化局（本级）2024年度收入、支出决算总计48,093,420.30元。与2023年度相比，收、支总计各减少20,244,025.54元，下降29.624%，主要原因是人员退休及调出；项目支出减少。</w:t>
      </w:r>
    </w:p>
    <w:p w14:paraId="72AF5B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收入包括：一般公共预算财政拨款收入48,090,886.13元、其他收入2,534.17元。</w:t>
      </w:r>
    </w:p>
    <w:p w14:paraId="3701D6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支出包括：科学技术支出34,440,910.00元、社会保障和就业支出653,280.00元、卫生健康支出326,640.84元、资源勘探工业信息等支出9,787,523.59元、住房保障支出1,402,278.50元、粮油物资储备支出1,481,400.00元。</w:t>
      </w:r>
    </w:p>
    <w:p w14:paraId="738C33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91ED9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天津市东丽区工业和信息化局（本级）2024年度本年收入合计48,093,420.30元，与2023年度相比减少20,240,378.59元，主要原因是人员退休及调出；项目支出减少。其中：</w:t>
      </w:r>
    </w:p>
    <w:p w14:paraId="7626D6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一般公共预算财政拨款收入48,090,886.13元，占99.995%；其他收入2,534.17元，占0.005%。</w:t>
      </w:r>
    </w:p>
    <w:p w14:paraId="63BADBC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9A07D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天津市东丽区工业和信息化局（本级）2024年度本年支出合计48,092,032.93元，与2023年度相比减少20,220,908.23元，主要原因是人员退休及调出；项目支出减少。其中：</w:t>
      </w:r>
    </w:p>
    <w:p w14:paraId="6457DF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基本支出6,755,796.13元，占14.048%；项目支出41,336,236.80元，占85.952%。</w:t>
      </w:r>
    </w:p>
    <w:p w14:paraId="6B0F0E9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6DCC2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天津市东丽区工业和信息化局（本级）2024年度财政拨款收入、支出决算总计48,090,886.13元。与2023年度相比，财政拨款收、支总计各减少20,241,085.57元，下降29.622%，主要原因是人员退休及调出；项目支出减少。</w:t>
      </w:r>
    </w:p>
    <w:p w14:paraId="475043A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收入包括：一般公共预算财政拨款48,090,886.13元。</w:t>
      </w:r>
    </w:p>
    <w:p w14:paraId="052CE7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支出包括：科学技术支出34,440,910.00元、社会保障和就业支出653,280.00元、卫生健康支出326,640.84元、资源勘探工业信息等支出9,786,376.79元、住房保障支出1,402,278.50元、粮油物资储备支出1,481,400.00元。</w:t>
      </w:r>
    </w:p>
    <w:p w14:paraId="6A0D9DB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160ECF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CC577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部门决算一般公共预算财政拨款支出合计48,090,886.13元，占本年支出合计的99.998%。与2023年度相比，一般公共预算财政拨款支出减少20,220,725.37元，下降29.601%，主要原因是人员退休及调出；项目支出减少。</w:t>
      </w:r>
    </w:p>
    <w:p w14:paraId="6FC5201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62BE4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48,090,886.13元，主要用于以下方面：科学技术支出（类）34,440,910.00元，占71.616%；社会保障和就业支出（类）653,280.00元，占1.358%；卫生健康支出（类）326,640.84元，占0.679%；资源勘探工业信息等支出（类）9,786,376.79元，占20.350%；住房保障支出（类）1,402,278.50元，占2.916%；粮油物资储备支出（类）1,481,400.00元，占3.080%。</w:t>
      </w:r>
    </w:p>
    <w:p w14:paraId="74DD61F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8ED15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2024年度一般公共预算财政拨款支出年初预算为27,610,500.00元，支出决算为48,090,886.13元，完成年初预算的174.176%。其中：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科学技术支出(类)技术研究与开发(款)其他技术研究与开发支出(项)年初预算为17,617,300.00元，支出决算为32,860,600.00元，完成年初预算的186.525%，决算数大于年初预算数的主要原因是：追加预算用于制造业高质量发展专项资金。</w:t>
      </w:r>
    </w:p>
    <w:p w14:paraId="05CA5B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2.​科学技术支出(类)科技交流与合作(款)其他科技交流与合作支出(项)年初预算为0.00元，支出决算为1,580,310.00元，决算数大于年初预算数的主要原因是：追加预算用于2024世界智能驾驶挑战赛。</w:t>
      </w:r>
    </w:p>
    <w:p w14:paraId="1A82D1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487,200.00元，支出决算为435,520.00元，完成年初预算的89.392%，决算数小于年初预算数的主要原因是：人员退休及调出；人员减少。</w:t>
      </w:r>
    </w:p>
    <w:p w14:paraId="0A4F22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243,600.00元，支出决算为217,760.00元，完成年初预算的89.392%，决算数小于年初预算数的主要原因是：人员退休及调出；人员减少。</w:t>
      </w:r>
    </w:p>
    <w:p w14:paraId="1B9B27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5.​卫生健康支出(类)行政事业单位医疗(款)行政单位医疗(项)年初预算为304,500.00元，支出决算为272,200.84元，完成年初预算的89.393%，决算数小于年初预算数的主要原因是：人员退休及调出；人员减少。</w:t>
      </w:r>
    </w:p>
    <w:p w14:paraId="0950FD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6.​卫生健康支出(类)行政事业单位医疗(款)公务员医疗补助(项)年初预算为60,900.00元，支出决算为54,440.00元，完成年初预算的89.392%，决算数小于年初预算数的主要原因是：人员退休及调出；人员减少。</w:t>
      </w:r>
    </w:p>
    <w:p w14:paraId="07EEA8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资源勘探工业信息等支出(类)支持中小企业发展和管理支出(款)行政运行(项)年初预算为4,448,000.00元，支出决算为4,372,449.99元，完成年初预算的98.301%，决算数小于年初预算数的主要原因是：人员退休及调出；人员减少。</w:t>
      </w:r>
    </w:p>
    <w:p w14:paraId="761190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资源勘探工业信息等支出(类)支持中小企业发展和管理支出(款)中小企业发展专项(项)年初预算为2,600,000.00元，支出决算为4,939,650.00元，完成年初预算的189.987%，决算数大于年初预算数的主要原因是：追加预算用于中小企业发展专项资金项目。</w:t>
      </w:r>
    </w:p>
    <w:p w14:paraId="462E83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资源勘探工业信息等支出(类)支持中小企业发展和管理支出(款)其他支持中小企业发展和管理支出(项)年初预算为315,700.00元，支出决算为474,276.80元，完成年初预算的150.230%，决算数大于年初预算数的主要原因是：追加预算用于2024年抚恤金、2022年引入第三方技术服务公司项目（尾款）、2023年引入安全生产第三方技术服务（尾款）项目、2024年供销公司补助项目。</w:t>
      </w:r>
    </w:p>
    <w:p w14:paraId="67F1AE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10.​住房保障支出(类)住房改革支出(款)住房公积金(项)年初预算为1,533,300.00元，支出决算为1,402,278.50元，完成年初预算的91.455%，决算数小于年初预算数的主要原因是：人员退休及调出；人员减少。</w:t>
      </w:r>
    </w:p>
    <w:p w14:paraId="49F717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11.​粮油物资储备支出(类)重要商品储备(款)其他重要商品储备支出(项)年初预算为0.00元，支出决算为1,481,400.00元，决算数大于年初预算数的主要原因是：追加预算用于支付2022年防疫物资采购（尾款）项目。</w:t>
      </w:r>
    </w:p>
    <w:p w14:paraId="7E15AB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AB356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天津市东丽区工业和信息化局（本级）2024年度部门决算一般公共预算财政拨款基本支出合计6,754,649.33元，与2023年度相比减少895,689.92元，主要原因是人员减少。其中：</w:t>
      </w:r>
    </w:p>
    <w:p w14:paraId="2F8A9E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5,840,838.66元，主要包括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p>
    <w:p w14:paraId="17BDB9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913,810.67元，主要包括办公费、印刷费、水费、电费、邮电费、取暖费、物业管理费、差旅费、维修(护)费、培训费、工会经费、福利费、其他交通费用、税金及附加费用、其他商品和服务支出和办公设备购置。</w:t>
      </w:r>
    </w:p>
    <w:p w14:paraId="4D4549C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EEC90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天津市东丽区工业和信息化局（本级）2024年度无政府性基金预算财政拨款收入、支出和结转结余。</w:t>
      </w:r>
    </w:p>
    <w:p w14:paraId="38710C3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7F4ADF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天津市东丽区工业和信息化局（本级）2024年度无国有资本经营预算财政拨款收入、支出和结转结余。</w:t>
      </w:r>
    </w:p>
    <w:p w14:paraId="31010C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431C07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01245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6BF0A5F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F6A09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398DC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A435C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780BD2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DA527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B4E3A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AA6CB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4378B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051A72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FA717F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15225C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机关运行经费是指行政单位和参照公务员法管理的事业单位使用财政拨款安排的基本支出中的日常公用经费支出，天津市东丽区工业和信息化局（本级）2024年度机关运行经费年初预算</w:t>
      </w:r>
      <w:r>
        <w:rPr>
          <w:rFonts w:hint="eastAsia" w:ascii="Times New Roman" w:eastAsia="仿宋_GB2312"/>
          <w:b w:val="0"/>
          <w:sz w:val="30"/>
          <w:szCs w:val="30"/>
          <w:lang w:val="en-US" w:eastAsia="zh-CN"/>
        </w:rPr>
        <w:t>947</w:t>
      </w:r>
      <w:r>
        <w:rPr>
          <w:rFonts w:ascii="Times New Roman" w:eastAsia="仿宋_GB2312"/>
          <w:b w:val="0"/>
          <w:sz w:val="30"/>
          <w:szCs w:val="30"/>
        </w:rPr>
        <w:t>,</w:t>
      </w:r>
      <w:r>
        <w:rPr>
          <w:rFonts w:hint="eastAsia" w:ascii="Times New Roman" w:eastAsia="仿宋_GB2312"/>
          <w:b w:val="0"/>
          <w:sz w:val="30"/>
          <w:szCs w:val="30"/>
          <w:lang w:val="en-US" w:eastAsia="zh-CN"/>
        </w:rPr>
        <w:t>500</w:t>
      </w:r>
      <w:r>
        <w:rPr>
          <w:rFonts w:ascii="Times New Roman" w:eastAsia="仿宋_GB2312"/>
          <w:b w:val="0"/>
          <w:sz w:val="30"/>
          <w:szCs w:val="30"/>
        </w:rPr>
        <w:t>.</w:t>
      </w:r>
      <w:r>
        <w:rPr>
          <w:rFonts w:hint="eastAsia" w:ascii="Times New Roman" w:eastAsia="仿宋_GB2312"/>
          <w:b w:val="0"/>
          <w:sz w:val="30"/>
          <w:szCs w:val="30"/>
          <w:lang w:val="en-US" w:eastAsia="zh-CN"/>
        </w:rPr>
        <w:t>00</w:t>
      </w:r>
      <w:r>
        <w:rPr>
          <w:rFonts w:ascii="Times New Roman" w:eastAsia="仿宋_GB2312"/>
          <w:b w:val="0"/>
          <w:sz w:val="30"/>
          <w:szCs w:val="30"/>
        </w:rPr>
        <w:t>元，决算数913,810.67元，与年初预算相比</w:t>
      </w:r>
      <w:r>
        <w:rPr>
          <w:rFonts w:hint="eastAsia" w:ascii="Times New Roman" w:eastAsia="仿宋_GB2312"/>
          <w:b w:val="0"/>
          <w:sz w:val="30"/>
          <w:szCs w:val="30"/>
          <w:lang w:eastAsia="zh-CN"/>
        </w:rPr>
        <w:t>减少</w:t>
      </w:r>
      <w:r>
        <w:rPr>
          <w:rFonts w:hint="eastAsia" w:ascii="Times New Roman" w:eastAsia="仿宋_GB2312"/>
          <w:b w:val="0"/>
          <w:sz w:val="30"/>
          <w:szCs w:val="30"/>
          <w:lang w:val="en-US" w:eastAsia="zh-CN"/>
        </w:rPr>
        <w:t>33</w:t>
      </w:r>
      <w:r>
        <w:rPr>
          <w:rFonts w:ascii="Times New Roman" w:eastAsia="仿宋_GB2312"/>
          <w:b w:val="0"/>
          <w:sz w:val="30"/>
          <w:szCs w:val="30"/>
        </w:rPr>
        <w:t>,</w:t>
      </w:r>
      <w:r>
        <w:rPr>
          <w:rFonts w:hint="eastAsia" w:ascii="Times New Roman" w:eastAsia="仿宋_GB2312"/>
          <w:b w:val="0"/>
          <w:sz w:val="30"/>
          <w:szCs w:val="30"/>
          <w:lang w:val="en-US" w:eastAsia="zh-CN"/>
        </w:rPr>
        <w:t>689</w:t>
      </w:r>
      <w:r>
        <w:rPr>
          <w:rFonts w:ascii="Times New Roman" w:eastAsia="仿宋_GB2312"/>
          <w:b w:val="0"/>
          <w:sz w:val="30"/>
          <w:szCs w:val="30"/>
        </w:rPr>
        <w:t>.</w:t>
      </w:r>
      <w:r>
        <w:rPr>
          <w:rFonts w:hint="eastAsia" w:ascii="Times New Roman" w:eastAsia="仿宋_GB2312"/>
          <w:b w:val="0"/>
          <w:sz w:val="30"/>
          <w:szCs w:val="30"/>
          <w:lang w:val="en-US" w:eastAsia="zh-CN"/>
        </w:rPr>
        <w:t>33</w:t>
      </w:r>
      <w:r>
        <w:rPr>
          <w:rFonts w:ascii="Times New Roman" w:eastAsia="仿宋_GB2312"/>
          <w:b w:val="0"/>
          <w:sz w:val="30"/>
          <w:szCs w:val="30"/>
        </w:rPr>
        <w:t>7元，完成年初预算的</w:t>
      </w:r>
      <w:r>
        <w:rPr>
          <w:rFonts w:hint="eastAsia" w:ascii="Times New Roman" w:eastAsia="仿宋_GB2312"/>
          <w:b w:val="0"/>
          <w:sz w:val="30"/>
          <w:szCs w:val="30"/>
          <w:lang w:val="en-US" w:eastAsia="zh-CN"/>
        </w:rPr>
        <w:t>96.444</w:t>
      </w:r>
      <w:r>
        <w:rPr>
          <w:rFonts w:ascii="Times New Roman" w:eastAsia="仿宋_GB2312"/>
          <w:b w:val="0"/>
          <w:sz w:val="30"/>
          <w:szCs w:val="30"/>
        </w:rPr>
        <w:t>%；比2023年增加265,953.97元，增长41.051%。主要原因是：物业管理服务费，列入机关运行经费 。</w:t>
      </w:r>
    </w:p>
    <w:p w14:paraId="36C5F90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6D8C49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天津市东丽区工业和信息化局（本级）2024年政府采购支出总额6,400.00元，其中：政府采购货物支出6,400.00元、政府采购工程支出0.00元、政府采购服务支出0.00元。</w:t>
      </w:r>
    </w:p>
    <w:p w14:paraId="3C68DCA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6,400.00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0.000%。</w:t>
      </w:r>
    </w:p>
    <w:p w14:paraId="1CAC441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649A76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天津市东丽区工业和信息化局（本级）2024年度无国有资产占有使用情况。</w:t>
      </w:r>
    </w:p>
    <w:p w14:paraId="33D597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E7F98C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根据预算绩效管理要求，天津市东丽区工业和信息化局（本级）已对19个2024年度区级项目开展绩效自评，涉及金额41</w:t>
      </w:r>
      <w:r>
        <w:rPr>
          <w:rFonts w:hint="eastAsia" w:ascii="Times New Roman" w:eastAsia="仿宋_GB2312"/>
          <w:b w:val="0"/>
          <w:sz w:val="30"/>
          <w:szCs w:val="30"/>
          <w:lang w:val="en-US" w:eastAsia="zh-CN"/>
        </w:rPr>
        <w:t>,</w:t>
      </w:r>
      <w:r>
        <w:rPr>
          <w:rFonts w:ascii="Times New Roman" w:eastAsia="仿宋_GB2312"/>
          <w:b w:val="0"/>
          <w:sz w:val="30"/>
          <w:szCs w:val="30"/>
        </w:rPr>
        <w:t>336</w:t>
      </w:r>
      <w:r>
        <w:rPr>
          <w:rFonts w:hint="eastAsia" w:ascii="Times New Roman" w:eastAsia="仿宋_GB2312"/>
          <w:b w:val="0"/>
          <w:sz w:val="30"/>
          <w:szCs w:val="30"/>
          <w:lang w:val="en-US" w:eastAsia="zh-CN"/>
        </w:rPr>
        <w:t>,</w:t>
      </w:r>
      <w:r>
        <w:rPr>
          <w:rFonts w:ascii="Times New Roman" w:eastAsia="仿宋_GB2312"/>
          <w:b w:val="0"/>
          <w:sz w:val="30"/>
          <w:szCs w:val="30"/>
        </w:rPr>
        <w:t>236.80元，自评结果已随部门决算一并公开。</w:t>
      </w:r>
    </w:p>
    <w:p w14:paraId="263FE78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5B419E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天津市东丽区工业和信息化局（本级）不属于乡、镇、街级单位，不涉及公开2024年度教育、医疗卫生、社会保障和就业、住房保障、涉农补贴等民生支出情况。</w:t>
      </w:r>
    </w:p>
    <w:p w14:paraId="00E69C5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36124D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8014F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D2568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14E11F-781B-49ED-8198-3BBEC639897E}"/>
  </w:font>
  <w:font w:name="黑体">
    <w:panose1 w:val="02010609060101010101"/>
    <w:charset w:val="86"/>
    <w:family w:val="auto"/>
    <w:pitch w:val="default"/>
    <w:sig w:usb0="800002BF" w:usb1="38CF7CFA" w:usb2="00000016" w:usb3="00000000" w:csb0="00040001" w:csb1="00000000"/>
    <w:embedRegular r:id="rId2" w:fontKey="{99B1EDBE-6874-486B-ADEC-D56E8F21C1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10E67D69-871F-4472-8BAD-D7B2978758EB}"/>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11D9CD34-B9AC-4D38-B863-18A1BF1311D8}"/>
  </w:font>
  <w:font w:name="仿宋_GB2312">
    <w:panose1 w:val="02010609030101010101"/>
    <w:charset w:val="86"/>
    <w:family w:val="auto"/>
    <w:pitch w:val="default"/>
    <w:sig w:usb0="00000001" w:usb1="080E0000" w:usb2="00000000" w:usb3="00000000" w:csb0="00040000" w:csb1="00000000"/>
    <w:embedRegular r:id="rId5" w:fontKey="{6B7127C3-DB65-47E3-9FA9-A621766A819B}"/>
  </w:font>
  <w:font w:name="宋体-简">
    <w:altName w:val="宋体"/>
    <w:panose1 w:val="02010800040101010101"/>
    <w:charset w:val="86"/>
    <w:family w:val="auto"/>
    <w:pitch w:val="default"/>
    <w:sig w:usb0="00000000" w:usb1="00000000" w:usb2="00000000" w:usb3="00000000" w:csb0="00040000" w:csb1="00000000"/>
    <w:embedRegular r:id="rId6" w:fontKey="{074D53CF-B62E-455E-8942-E5E49D3B7555}"/>
  </w:font>
  <w:font w:name="楷体">
    <w:panose1 w:val="02010609060101010101"/>
    <w:charset w:val="86"/>
    <w:family w:val="auto"/>
    <w:pitch w:val="default"/>
    <w:sig w:usb0="800002BF" w:usb1="38CF7CFA" w:usb2="00000016" w:usb3="00000000" w:csb0="00040001" w:csb1="00000000"/>
    <w:embedRegular r:id="rId7" w:fontKey="{2016CC41-76AE-4BD8-A60E-319242592A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411E">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411E">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8F40D5"/>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42</Pages>
  <Words>2341</Words>
  <Characters>2358</Characters>
  <Lines>86</Lines>
  <Paragraphs>24</Paragraphs>
  <TotalTime>22</TotalTime>
  <ScaleCrop>false</ScaleCrop>
  <LinksUpToDate>false</LinksUpToDate>
  <CharactersWithSpaces>2378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李一一</cp:lastModifiedBy>
  <cp:lastPrinted>2023-08-07T01:00:00Z</cp:lastPrinted>
  <dcterms:modified xsi:type="dcterms:W3CDTF">2025-09-22T03:00:08Z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eyJoZGlkIjoiMjI3NmQzMDU1MDVkMDJlMWQ5MGZlMDJkNDM3ODQ1MzIiLCJ1c2VySWQiOiI5Nzk2Mjk1NTUifQ==</vt:lpwstr>
  </property>
</Properties>
</file>