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932E23A">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天津市东丽区华明街乡村振兴服务中心</w:t>
      </w:r>
    </w:p>
    <w:p w14:paraId="1A76974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3898C8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DC2716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C0941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BE07B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300F57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61C22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3F34E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0A43C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A9B6D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AB0FF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5F64B0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945B6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CB1DF1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7D0C0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5531E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4481A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995122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E5D9F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F3AB2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5B020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AF0CC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B9D8D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D8F549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B7CF2E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20D0C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F4C04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1AEB6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5732B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2C4E3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E4A6B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F415E4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84D442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9E564E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E205C6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1C043C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为乡村振兴建设提供保障。负责集体经济组织调整和指导换届，指导和监管集体经济组织“三重一大”事项；负责耕地保护、农业项目申报实施、落实惠农政策；农业技术服务和推广、农作物秸秆综合利用、农田水利工程建设和运行维护；林业、动植物疫病预防和控制、野生动物保护；组织实施农村人居环境整治提升行动。</w:t>
      </w:r>
    </w:p>
    <w:p w14:paraId="2BA4D4B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天津市东丽区华明街乡村振兴服务中心内设1个职能部门；下辖0个预算单位。纳入天津市东丽区华明街乡村振兴服务中心2024年度部门决算编制范围的单位包括：</w:t>
      </w:r>
    </w:p>
    <w:p w14:paraId="7400D1B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50C0DB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1.​天津市东丽区华明街乡村振兴服务中心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31325F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1,728,628.28</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1,728,628.28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8C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6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3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1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3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9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B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9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B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50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A1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0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6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98,363.42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E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98,363.42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4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8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0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4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5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5D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4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1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48,366.64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0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48,366.64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2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A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D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3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E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D7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BF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4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2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E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0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4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A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4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E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0C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01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3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E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A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2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8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B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A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F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2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64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A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D5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1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B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A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0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E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E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0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0E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63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B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9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3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C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9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B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4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6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6E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F7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B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9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9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75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6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9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C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4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1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2C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8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1E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4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E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D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E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3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0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4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A3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F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7A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0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4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8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4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1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B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B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9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FE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CD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D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2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08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F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2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4A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3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06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6D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9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1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C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F2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1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5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E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6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7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部门（单位）：天津市东丽区华明街乡村振兴服务中心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808206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天津市东丽区华明街乡村振兴服务中心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9A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28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3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E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3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3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8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D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8C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5A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37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B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1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5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7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9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3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E7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D5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4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E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E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C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54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C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4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F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8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9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65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D0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7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0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55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C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55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9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9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C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B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B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6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4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3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9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B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A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E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1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3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67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4C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DA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1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A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0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3F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0E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F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AF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1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1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3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A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2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B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7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4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2F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D3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4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6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6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B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BE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91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E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B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7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E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6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1F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9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7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D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8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3A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9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B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0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37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2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C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5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E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5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6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E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0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1,728,628.28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1,728,628.28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1,349,122.04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82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D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1C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D9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4C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C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CD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C2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D5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0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A4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AE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7E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3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73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14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96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8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23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4F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C2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CA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0D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46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3F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0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6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AB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94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E8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76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2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56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B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E5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77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BF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84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F9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AF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9C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3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C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23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77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1D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8F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3F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5D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52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92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84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34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18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FF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E5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03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B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C5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AA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7C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D0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EE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C7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C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C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1B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9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8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3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9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45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7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72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1B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B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FB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F2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F8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10D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72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6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EA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0B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0E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4E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3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CD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B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B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73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36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BB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0D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3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1,335,345.24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379,506.24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278,788.50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109,563.88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167,705.40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342,714.50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4,387.54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13,776.80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13,716.80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54,506.24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50,436.12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1,349,122.04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379,506.24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713D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6A1C3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49179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51C66F23">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天津市东丽区华明街乡村振兴服务中心2024年项目支出决算表为空表。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284BB3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5A454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ADB1C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天津市东丽区华明街乡村振兴服务中心2024年度收入、支出决算总计1,728,628.28元。与2023年度相比，收、支总计各增加1,728,628.28元，增长100.000%，主要原因是机构改革，本部门为2024年新成立部门。</w:t>
      </w:r>
    </w:p>
    <w:p w14:paraId="73D01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收入包括：一般公共预算财政拨款收入1,728,628.28元。</w:t>
      </w:r>
    </w:p>
    <w:p w14:paraId="104409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支出包括：社会保障和就业支出146,730.06元、卫生健康支出59,971.24元、农林水支出1,194,378.98元、住房保障支出327,548.00元。</w:t>
      </w:r>
    </w:p>
    <w:p w14:paraId="540655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DBE07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天津市东丽区华明街乡村振兴服务中心2024年度本年收入合计1,728,628.28元，与2023年度相比增加1,728,628.28元，主要原因是​机构改革，本部门为2024年新成立部门。其中：</w:t>
      </w:r>
    </w:p>
    <w:p w14:paraId="0A27D0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一般公共预算财政拨款收入1,728,628.28元，占100.000%。</w:t>
      </w:r>
    </w:p>
    <w:p w14:paraId="79B283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2D28E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天津市东丽区华明街乡村振兴服务中心2024年度本年支出合计1,728,628.28元，与2023年度相比增加1,728,628.28元，主要原因是​机构改革，本部门为2024年新成立部门</w:t>
      </w:r>
      <w:r>
        <w:rPr>
          <w:rFonts w:hint="eastAsia" w:ascii="Times New Roman" w:eastAsia="仿宋_GB2312"/>
          <w:b w:val="0"/>
          <w:sz w:val="30"/>
          <w:szCs w:val="30"/>
          <w:lang w:eastAsia="zh-CN"/>
        </w:rPr>
        <w:t>。</w:t>
      </w:r>
      <w:r>
        <w:rPr>
          <w:rFonts w:ascii="Times New Roman" w:eastAsia="仿宋_GB2312"/>
          <w:b w:val="0"/>
          <w:sz w:val="30"/>
          <w:szCs w:val="30"/>
        </w:rPr>
        <w:t>其中：</w:t>
      </w:r>
    </w:p>
    <w:p w14:paraId="568586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基本支出1,728,628.28元，占100.000%。</w:t>
      </w:r>
    </w:p>
    <w:p w14:paraId="702083A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C54811F">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天津市东丽区华明街乡村振兴服务中心2024年度财政拨款收入、支出决算总计1,728,628.28元。与2023年度相比，财政拨款收、支总计各增加1,728,628.28元，增长100.000%，主要原因是机构改革，本部门为2024年新成立部门</w:t>
      </w:r>
      <w:r>
        <w:rPr>
          <w:rFonts w:hint="eastAsia" w:ascii="Times New Roman" w:eastAsia="仿宋_GB2312"/>
          <w:b w:val="0"/>
          <w:sz w:val="30"/>
          <w:szCs w:val="30"/>
          <w:lang w:eastAsia="zh-CN"/>
        </w:rPr>
        <w:t>。</w:t>
      </w:r>
    </w:p>
    <w:p w14:paraId="40F4ECAE">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收入包括：一般公共预算财政拨款1,728,628.28元。</w:t>
      </w:r>
    </w:p>
    <w:p w14:paraId="18225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支出包括：社会保障和就业支出146,730.06元、卫生健康支出59,971.24元、农林水支出1,194,378.98元、住房保障支出327,548.00元。</w:t>
      </w:r>
    </w:p>
    <w:p w14:paraId="1EB7B67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692CD9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AC7CA97">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东丽区华明街乡村振兴服务中心2024年度部门决算一般公共预算财政拨款支出合计1,728,628.28元，占本年支出合计的100.000%。与2023年度相比，一般公共预算财政拨款支出增加1,728,628.28元，增长100.000%，主要原因是</w:t>
      </w:r>
      <w:bookmarkStart w:id="0" w:name="_GoBack"/>
      <w:bookmarkEnd w:id="0"/>
      <w:r>
        <w:rPr>
          <w:rFonts w:ascii="Times New Roman" w:eastAsia="仿宋_GB2312"/>
          <w:b w:val="0"/>
          <w:sz w:val="30"/>
          <w:szCs w:val="30"/>
        </w:rPr>
        <w:t>机构改革，本部门为2024年新成立部门</w:t>
      </w:r>
      <w:r>
        <w:rPr>
          <w:rFonts w:hint="eastAsia" w:ascii="Times New Roman" w:eastAsia="仿宋_GB2312"/>
          <w:b w:val="0"/>
          <w:sz w:val="30"/>
          <w:szCs w:val="30"/>
          <w:lang w:eastAsia="zh-CN"/>
        </w:rPr>
        <w:t>。</w:t>
      </w:r>
    </w:p>
    <w:p w14:paraId="753960E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96178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1,728,628.28元，主要用于以下方面：社会保障和就业支出（类）146,730.06元，占8.488%；卫生健康支出（类）59,971.24元，占3.469%；农林水支出（类）1,194,378.98元，占69.094%；住房保障支出（类）327,548.00元，占18.948%。</w:t>
      </w:r>
    </w:p>
    <w:p w14:paraId="1C874FE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65F53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2024年度一般公共预算财政拨款支出年初预算为0.00元，支出决算为1,728,628.28元，完成年初预算的0.000%。其中： </w:t>
      </w:r>
    </w:p>
    <w:p w14:paraId="31D45AB4">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1.​社会保障和就业支出(类)行政事业单位养老支出(款)机关事业单位基本养老保险缴费支出(项)年初预算为0.00元，支出决算为98,363.42元，决算数大于年初预算数的主要原因是：机构改革，本部门为2024年新成立部门</w:t>
      </w:r>
      <w:r>
        <w:rPr>
          <w:rFonts w:hint="eastAsia" w:ascii="Times New Roman" w:eastAsia="仿宋_GB2312"/>
          <w:b w:val="0"/>
          <w:sz w:val="30"/>
          <w:szCs w:val="30"/>
          <w:lang w:eastAsia="zh-CN"/>
        </w:rPr>
        <w:t>。</w:t>
      </w:r>
    </w:p>
    <w:p w14:paraId="5C9BBBB6">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2.​社会保障和就业支出(类)行政事业单位养老支出(款)机关事业单位职业年金缴费支出(项)年初预算为0.00元，支出决算为48,366.64元，决算数大于年初预算数的主要原因是：机构改革，本部门为2024年新成立部门</w:t>
      </w:r>
      <w:r>
        <w:rPr>
          <w:rFonts w:hint="eastAsia" w:ascii="Times New Roman" w:eastAsia="仿宋_GB2312"/>
          <w:b w:val="0"/>
          <w:sz w:val="30"/>
          <w:szCs w:val="30"/>
          <w:lang w:eastAsia="zh-CN"/>
        </w:rPr>
        <w:t>。</w:t>
      </w:r>
    </w:p>
    <w:p w14:paraId="0FBDEDAF">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3.​卫生健康支出(类)行政事业单位医疗(款)事业单位医疗(项)年初预算为0.00元，支出决算为59,971.24元，决算数大于年初预算数的主要原因是：机构改革，本部门为2024年新成立部门</w:t>
      </w:r>
      <w:r>
        <w:rPr>
          <w:rFonts w:hint="eastAsia" w:ascii="Times New Roman" w:eastAsia="仿宋_GB2312"/>
          <w:b w:val="0"/>
          <w:sz w:val="30"/>
          <w:szCs w:val="30"/>
          <w:lang w:eastAsia="zh-CN"/>
        </w:rPr>
        <w:t>。</w:t>
      </w:r>
    </w:p>
    <w:p w14:paraId="72DAAB33">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4.​农林水支出(类)巩固脱贫攻坚成果衔接乡村振兴(款)其他巩固脱贫攻坚成果衔接乡村振兴支出(项)年初预算为0.00元，支出决算为1,194,378.98元，决算数大于年初预算数的主要原因是：机构改革，本部门为2024年新成立部门</w:t>
      </w:r>
      <w:r>
        <w:rPr>
          <w:rFonts w:hint="eastAsia" w:ascii="Times New Roman" w:eastAsia="仿宋_GB2312"/>
          <w:b w:val="0"/>
          <w:sz w:val="30"/>
          <w:szCs w:val="30"/>
          <w:lang w:eastAsia="zh-CN"/>
        </w:rPr>
        <w:t>。</w:t>
      </w:r>
    </w:p>
    <w:p w14:paraId="70D3EE76">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5.​住房保障支出(类)住房改革支出(款)住房公积金(项)年初预算为0.00元，支出决算为327,548.00元，决算数大于年初预算数的主要原因是：机构改革，本部门为2024年新成立部门</w:t>
      </w:r>
      <w:r>
        <w:rPr>
          <w:rFonts w:hint="eastAsia" w:ascii="Times New Roman" w:eastAsia="仿宋_GB2312"/>
          <w:b w:val="0"/>
          <w:sz w:val="30"/>
          <w:szCs w:val="30"/>
          <w:lang w:eastAsia="zh-CN"/>
        </w:rPr>
        <w:t>。</w:t>
      </w:r>
    </w:p>
    <w:p w14:paraId="12CFAA8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E8866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天津市东丽区华明街乡村振兴服务中心2024年度部门决算一般公共预算财政拨款基本支出合计1,728,628.28元，与2023年度相比增加1,728,628.28元，主要原因是机构改革，本部门为2024年新成立部门</w:t>
      </w:r>
      <w:r>
        <w:rPr>
          <w:rFonts w:hint="eastAsia" w:ascii="Times New Roman" w:eastAsia="仿宋_GB2312"/>
          <w:b w:val="0"/>
          <w:sz w:val="30"/>
          <w:szCs w:val="30"/>
          <w:lang w:eastAsia="zh-CN"/>
        </w:rPr>
        <w:t>。</w:t>
      </w:r>
      <w:r>
        <w:rPr>
          <w:rFonts w:ascii="Times New Roman" w:eastAsia="仿宋_GB2312"/>
          <w:b w:val="0"/>
          <w:sz w:val="30"/>
          <w:szCs w:val="30"/>
        </w:rPr>
        <w:t>其中：</w:t>
      </w:r>
    </w:p>
    <w:p w14:paraId="23AF7A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1,349,122.04元，主要包括基本工资、津贴补贴、绩效工资、机关事业单位基本养老保险缴费、职业年金缴费、职工基本医疗保险缴费、其他社会保障缴费、住房公积金、其他工资福利支出、退休费和奖励金。</w:t>
      </w:r>
    </w:p>
    <w:p w14:paraId="672908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公用经费379,506.24元，主要包括办公费、电费、工会经费、税金及附加费用和其他商品和服务支出。</w:t>
      </w:r>
    </w:p>
    <w:p w14:paraId="52E1B4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4F68F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天津市东丽区华明街乡村振兴服务中心2024年度无政府性基金预算财政拨款收入、支出和结转结余。</w:t>
      </w:r>
    </w:p>
    <w:p w14:paraId="2BDECF1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08330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天津市东丽区华明街乡村振兴服务中心2024年度无国有资本经营预算财政拨款收入、支出和结转结余。</w:t>
      </w:r>
    </w:p>
    <w:p w14:paraId="189816F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C1AAA9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58288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986E53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64085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BF806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6FF18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6F483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8CA68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6F5071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01AA8B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2ADDB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7CA8B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38038E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F8FB5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天津市东丽区华明街乡村振兴服务中心2024年度无机关运行经费。</w:t>
      </w:r>
    </w:p>
    <w:p w14:paraId="46B8CE3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4C990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天津市东丽区华明街乡村振兴服务中心2024年度无政府采购支出。</w:t>
      </w:r>
    </w:p>
    <w:p w14:paraId="5ED4A83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D498C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天津市东丽区华明街乡村振兴服务中心2024年度无国有资产占有使用情况。</w:t>
      </w:r>
    </w:p>
    <w:p w14:paraId="4CB3D9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95A6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天津市东丽区华明街乡村振兴服务中心2024年度没有项目支出，无需开展绩效自评。</w:t>
      </w:r>
    </w:p>
    <w:p w14:paraId="2A3CD6E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83513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天津市东丽区华明街乡村振兴服务中心2024年度不涉及公开教育、医疗卫生、社会保障和就业、住房保障、涉农补贴等民生支出情况。</w:t>
      </w:r>
    </w:p>
    <w:p w14:paraId="1CFB5FE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272E7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1FA2A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2F82B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54A0027-F38E-4AE8-BB74-2855581D7BD8}"/>
  </w:font>
  <w:font w:name="黑体">
    <w:panose1 w:val="02010609060101010101"/>
    <w:charset w:val="86"/>
    <w:family w:val="auto"/>
    <w:pitch w:val="default"/>
    <w:sig w:usb0="800002BF" w:usb1="38CF7CFA" w:usb2="00000016" w:usb3="00000000" w:csb0="00040001" w:csb1="00000000"/>
    <w:embedRegular r:id="rId2" w:fontKey="{CE3CD2BF-32B9-49D0-AE7C-25F525FEE3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347EDBC3-60DC-4589-8632-3B1681C75C1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93F42EA2-062C-46B6-8F13-EEF89E4BFEE0}"/>
  </w:font>
  <w:font w:name="仿宋_GB2312">
    <w:altName w:val="仿宋"/>
    <w:panose1 w:val="00000000000000000000"/>
    <w:charset w:val="00"/>
    <w:family w:val="auto"/>
    <w:pitch w:val="default"/>
    <w:sig w:usb0="00000000" w:usb1="00000000" w:usb2="00000000" w:usb3="00000000" w:csb0="00000000" w:csb1="00000000"/>
    <w:embedRegular r:id="rId5" w:fontKey="{19180B71-C0DA-4175-AED8-4E114F5284C7}"/>
  </w:font>
  <w:font w:name="宋体-简">
    <w:altName w:val="宋体"/>
    <w:panose1 w:val="02010800040101010101"/>
    <w:charset w:val="86"/>
    <w:family w:val="auto"/>
    <w:pitch w:val="default"/>
    <w:sig w:usb0="00000000" w:usb1="00000000" w:usb2="00000000" w:usb3="00000000" w:csb0="00040000" w:csb1="00000000"/>
    <w:embedRegular r:id="rId6" w:fontKey="{5B542D39-5A56-47E3-AE4B-FFECECB41AA6}"/>
  </w:font>
  <w:font w:name="楷体">
    <w:panose1 w:val="02010609060101010101"/>
    <w:charset w:val="86"/>
    <w:family w:val="auto"/>
    <w:pitch w:val="default"/>
    <w:sig w:usb0="800002BF" w:usb1="38CF7CFA" w:usb2="00000016" w:usb3="00000000" w:csb0="00040001" w:csb1="00000000"/>
    <w:embedRegular r:id="rId7" w:fontKey="{326E3A3E-51FC-4E66-9D8D-7C57172A06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BF82">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B95F">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75164"/>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AE3BE4"/>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7396</Words>
  <Characters>9988</Characters>
  <Lines>86</Lines>
  <Paragraphs>24</Paragraphs>
  <TotalTime>16</TotalTime>
  <ScaleCrop>false</ScaleCrop>
  <LinksUpToDate>false</LinksUpToDate>
  <CharactersWithSpaces>10261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启程</cp:lastModifiedBy>
  <cp:lastPrinted>2023-08-07T01:00:00Z</cp:lastPrinted>
  <dcterms:modified xsi:type="dcterms:W3CDTF">2025-09-22T02:16:02Z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eyJoZGlkIjoiZDE2ZGNjYjdlODBhZGQ0NmE1NDgzMWE3ODU5NjcyZDgiLCJ1c2VySWQiOiI0NzEzMzMxODEifQ==</vt:lpwstr>
  </property>
</Properties>
</file>