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天津市东丽区军粮城街党群服务中心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粮城街党群服务中心主要职能是：（1）负责辖区服务群众工作；（2）负责审批服务、公共服务等各类便民事项的受理等事务性工作；（3）负责本街社区建设，指导居委会、社区服务站建设；（4）负责社区工作者队伍建设和管理工作；（5）负责“街片长”制相关工作；（6）负责为辖区企业单位、居民群众提供精准化精细化服务等；（7）组织收集社区居民和驻区单位的需求、诉求，向区政府反映社区居民的意见、要求和提出建议；（8）负责指导社会组织和社会志愿者队伍建设工作；（9）负责对投入社区各类资金的统筹管理和监督指导工作；（10）负责本辖区群众性文化体育活动，发展和扶持基层文化体育队伍，积极开展全民健身活动；（11）搞好社区文化宣传阵地建设，抓好社区文艺团队的发展，组织开展经常性的群众文体活动；（12）配合区级有关部门做好辖区内文化娱乐场所和设施的管理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天津市东丽区军粮城街党群服务中心</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天津市东丽区军粮城街党群服务中心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天津市东丽区军粮城街党群服务中心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部门（单位）：天津市东丽区军粮城街党群服务中心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17,498,355.66</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15,967,364.60</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409,198.08</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186,859.98</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934,933.00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17,498,355.66</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17,498,355.66</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17,498,355.66</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17,498,355.66</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部门（单位）：天津市东丽区军粮城街党群服务中心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17,498,355.66</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17,498,355.66</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15,967,364.60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15,967,364.60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其他共产党事务支出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15,967,364.60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15,967,364.60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2013699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其他共产党事务支出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15,967,364.60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15,967,364.60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409,198.08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409,198.08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409,198.08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409,198.08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272,798.72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272,798.72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136,399.36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136,399.36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186,859.98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186,859.98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186,859.98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186,859.98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186,859.98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186,859.98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934,933.00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934,933.00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934,933.00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934,933.00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934,933.00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934,933.00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部门（单位）：天津市东丽区军粮城街党群服务中心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17,498,355.66</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17,498,355.66</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17,498,355.66</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805201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天津市东丽区军粮城街党群服务中心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17,498,355.66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17,498,355.66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17,498,355.66</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部门（单位）：天津市东丽区军粮城街党群服务中心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17,498,355.66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17,498,355.66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15,967,364.60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15,967,364.60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其他共产党事务支出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15,967,364.60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15,967,364.60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2013699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其他共产党事务支出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15,967,364.60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15,967,364.60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409,198.08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409,198.08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409,198.08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409,198.08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272,798.72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272,798.72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136,399.36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136,399.36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186,859.98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186,859.98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186,859.98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186,859.98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186,859.98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186,859.98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934,933.00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934,933.00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934,933.00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934,933.00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934,933.00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934,933.00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部门（单位）：天津市东丽区军粮城街党群服务中心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17,498,355.66</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15,967,364.60</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15,967,364.60</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409,198.08</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409,198.08</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186,859.98</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186,859.98</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934,933.00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934,933.00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17,498,355.66</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17,498,355.66</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17,498,355.66</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17,498,355.66</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17,498,355.66</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17,498,355.66</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天津市东丽区军粮城街党群服务中心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17,498,355.66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17,498,355.66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17,254,084.66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244,271.00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15,967,364.60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15,967,364.60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15,723,093.60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244,271.00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其他共产党事务支出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15,967,364.60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15,967,364.60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15,723,093.60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244,271.00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2013699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其他共产党事务支出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15,967,364.60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15,967,364.60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15,723,093.60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244,271.00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409,198.08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409,198.08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409,198.08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409,198.08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409,198.08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409,198.08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272,798.72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272,798.72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272,798.72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136,399.36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136,399.36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136,399.36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186,859.98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186,859.98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186,859.98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186,859.98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186,859.98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186,859.98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186,859.98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186,859.98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186,859.98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934,933.00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934,933.00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934,933.00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934,933.00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934,933.00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934,933.00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934,933.00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934,933.00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934,933.00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部门（单位）：天津市东丽区军粮城街党群服务中心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17,238,026.26</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244,271.00</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798,084.00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9,258.00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407,313.00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934,431.00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272,798.72</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72,000.00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136,399.36</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170,499.98</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11,935.42</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934,933.00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14,724.00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13,556,907.78</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16,058.40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2,350.00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12,217.40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1,636.00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39,354.00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16,309.00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17,254,084.66</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244,271.00</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天津市东丽区军粮城街党群服务中心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天津市东丽区军粮城街党群服务中心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天津市东丽区军粮城街党群服务中心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天津市东丽区军粮城街党群服务中心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部门（单位）：天津市东丽区军粮城街党群服务中心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天津市东丽区军粮城街党群服务中心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部门（单位）：天津市东丽区军粮城街党群服务中心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天津市东丽区军粮城街党群服务中心</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天津市东丽区军粮城街党群服务中心</w:t>
      </w:r>
      <w:r>
        <w:rPr>
          <w:rFonts w:ascii="Times New Roman" w:eastAsia="仿宋_GB2312"/>
          <w:b w:val="false"/>
          <w:sz w:val="30"/>
          <w:szCs w:val="30"/>
        </w:rPr>
        <w:t>2024年度收入、支出决算总计</w:t>
      </w:r>
      <w:r>
        <w:rPr>
          <w:rFonts w:ascii="Times New Roman" w:eastAsia="仿宋_GB2312"/>
          <w:b w:val="false"/>
          <w:sz w:val="30"/>
          <w:szCs w:val="30"/>
        </w:rPr>
        <w:t>17,498,355.66</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914,396.55</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4.966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网格员、社工等编制外长聘人员动态调整（离职4人），人员经费支出减少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一般公共预算财政拨款收入17,498,355.66元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一般公共服务支出15,967,364.60元、社会保障和就业支出409,198.08元、卫生健康支出186,859.98元、住房保障支出934,933.00元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天津市东丽区军粮城街党群服务中心</w:t>
      </w:r>
      <w:r>
        <w:rPr>
          <w:rFonts w:ascii="Times New Roman" w:eastAsia="仿宋_GB2312"/>
          <w:b w:val="false"/>
          <w:sz w:val="30"/>
          <w:szCs w:val="30"/>
        </w:rPr>
        <w:t>2024年度本年收入合计</w:t>
      </w:r>
      <w:r>
        <w:rPr>
          <w:rFonts w:ascii="Times New Roman" w:eastAsia="仿宋_GB2312"/>
          <w:b w:val="false"/>
          <w:sz w:val="30"/>
          <w:szCs w:val="30"/>
        </w:rPr>
        <w:t>17,498,355.66</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914,396.55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网格员、社工等编制外长聘人员动态调整（离职4人），人员经费支出减少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一般公共预算财政拨款收入17,498,355.66元，占100.000%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天津市东丽区军粮城街党群服务中心</w:t>
      </w:r>
      <w:r>
        <w:rPr>
          <w:rFonts w:ascii="Times New Roman" w:eastAsia="仿宋_GB2312"/>
          <w:b w:val="false"/>
          <w:sz w:val="30"/>
          <w:szCs w:val="30"/>
        </w:rPr>
        <w:t>2024年度本年支出合计</w:t>
      </w:r>
      <w:r>
        <w:rPr>
          <w:rFonts w:ascii="Times New Roman" w:eastAsia="仿宋_GB2312"/>
          <w:b w:val="false"/>
          <w:sz w:val="30"/>
          <w:szCs w:val="30"/>
        </w:rPr>
        <w:t>17,498,355.66</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914,396.55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网格员、社工等编制外长聘人员动态调整（离职4人），人员经费支出减少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基本支出17,498,355.66元，占100.000%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天津市东丽区军粮城街党群服务中心</w:t>
      </w:r>
      <w:r>
        <w:rPr>
          <w:rFonts w:ascii="Times New Roman" w:eastAsia="仿宋_GB2312"/>
          <w:b w:val="false"/>
          <w:sz w:val="30"/>
          <w:szCs w:val="30"/>
        </w:rPr>
        <w:t>2024年度财政拨款收入、支出决算总计</w:t>
      </w:r>
      <w:r>
        <w:rPr>
          <w:rFonts w:ascii="Times New Roman" w:eastAsia="仿宋_GB2312"/>
          <w:b w:val="false"/>
          <w:sz w:val="30"/>
          <w:szCs w:val="30"/>
        </w:rPr>
        <w:t>17,498,355.66</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914,396.55</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4.966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网格员、社工等编制外长聘人员动态调整（离职4人），人员经费支出减少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一般公共预算财政拨款17,498,355.66元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一般公共服务支出15,967,364.60元、社会保障和就业支出409,198.08元、卫生健康支出186,859.98元、住房保障支出934,933.00元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天津市东丽区军粮城街党群服务中心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17,498,355.66</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914,396.55</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4.966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网格员、社工等编制外长聘人员动态调整（离职4人），人员经费支出减少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17,498,355.66</w:t>
      </w:r>
      <w:r>
        <w:rPr>
          <w:rFonts w:ascii="Times New Roman" w:eastAsia="仿宋_GB2312"/>
          <w:b w:val="false"/>
          <w:sz w:val="30"/>
          <w:szCs w:val="30"/>
        </w:rPr>
        <w:t>元，主要用于以下方面：</w:t>
      </w:r>
      <w:r>
        <w:rPr>
          <w:rFonts w:ascii="Times New Roman" w:eastAsia="仿宋_GB2312"/>
          <w:b w:val="false"/>
          <w:sz w:val="30"/>
          <w:szCs w:val="30"/>
        </w:rPr>
        <w:t>一般公共服务支出（类）15,967,364.60元，占91.251%；社会保障和就业支出（类）409,198.08元，占2.338%；卫生健康支出（类）186,859.98元，占1.068%；住房保障支出（类）934,933.00元，占5.343%</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17,836,900.00</w:t>
      </w:r>
      <w:r>
        <w:rPr>
          <w:rFonts w:ascii="Times New Roman" w:eastAsia="仿宋_GB2312"/>
          <w:b w:val="false"/>
          <w:sz w:val="30"/>
          <w:szCs w:val="30"/>
        </w:rPr>
        <w:t>元，支出决算为</w:t>
      </w:r>
      <w:r>
        <w:rPr>
          <w:rFonts w:ascii="Times New Roman" w:eastAsia="仿宋_GB2312"/>
          <w:b w:val="false"/>
          <w:sz w:val="30"/>
          <w:szCs w:val="30"/>
        </w:rPr>
        <w:t>17,498,355.66</w:t>
      </w:r>
      <w:r>
        <w:rPr>
          <w:rFonts w:ascii="Times New Roman" w:eastAsia="仿宋_GB2312"/>
          <w:b w:val="false"/>
          <w:sz w:val="30"/>
          <w:szCs w:val="30"/>
        </w:rPr>
        <w:t>元，完成年初预算的</w:t>
      </w:r>
      <w:r>
        <w:rPr>
          <w:rFonts w:ascii="Times New Roman" w:eastAsia="仿宋_GB2312"/>
          <w:b w:val="false"/>
          <w:sz w:val="30"/>
          <w:szCs w:val="30"/>
        </w:rPr>
        <w:t>98.102</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其他共产党事务支出</w:t>
      </w:r>
      <w:r>
        <w:rPr>
          <w:rFonts w:ascii="Times New Roman" w:eastAsia="仿宋_GB2312"/>
          <w:b w:val="false"/>
          <w:sz w:val="30"/>
          <w:szCs w:val="30"/>
        </w:rPr>
        <w:t>(款)</w:t>
      </w:r>
      <w:r>
        <w:rPr>
          <w:rFonts w:ascii="Times New Roman" w:eastAsia="仿宋_GB2312"/>
          <w:b w:val="false"/>
          <w:sz w:val="30"/>
          <w:szCs w:val="30"/>
        </w:rPr>
        <w:t>其他共产党事务支出</w:t>
      </w:r>
      <w:r>
        <w:rPr>
          <w:rFonts w:ascii="Times New Roman" w:eastAsia="仿宋_GB2312"/>
          <w:b w:val="false"/>
          <w:sz w:val="30"/>
          <w:szCs w:val="30"/>
        </w:rPr>
        <w:t>(项)年初预算为</w:t>
      </w:r>
      <w:r>
        <w:rPr>
          <w:rFonts w:ascii="Times New Roman" w:eastAsia="仿宋_GB2312"/>
          <w:b w:val="false"/>
          <w:sz w:val="30"/>
          <w:szCs w:val="30"/>
        </w:rPr>
        <w:t>16,390,400.00</w:t>
      </w:r>
      <w:r>
        <w:rPr>
          <w:rFonts w:ascii="Times New Roman" w:eastAsia="仿宋_GB2312"/>
          <w:b w:val="false"/>
          <w:sz w:val="30"/>
          <w:szCs w:val="30"/>
        </w:rPr>
        <w:t>元，支出决算为</w:t>
      </w:r>
      <w:r>
        <w:rPr>
          <w:rFonts w:ascii="Times New Roman" w:eastAsia="仿宋_GB2312"/>
          <w:b w:val="false"/>
          <w:sz w:val="30"/>
          <w:szCs w:val="30"/>
        </w:rPr>
        <w:t>15,967,364.60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97.419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网格员、社工等编制外长聘人员动态调整（离职4人），人员经费支出减少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258,400.00</w:t>
      </w:r>
      <w:r>
        <w:rPr>
          <w:rFonts w:ascii="Times New Roman" w:eastAsia="仿宋_GB2312"/>
          <w:b w:val="false"/>
          <w:sz w:val="30"/>
          <w:szCs w:val="30"/>
        </w:rPr>
        <w:t>元，支出决算为</w:t>
      </w:r>
      <w:r>
        <w:rPr>
          <w:rFonts w:ascii="Times New Roman" w:eastAsia="仿宋_GB2312"/>
          <w:b w:val="false"/>
          <w:sz w:val="30"/>
          <w:szCs w:val="30"/>
        </w:rPr>
        <w:t>272,798.72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105.572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机构改革，在职人员动态调整（调入3人，调出1人），养老保险缴费支出增加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129,200.00</w:t>
      </w:r>
      <w:r>
        <w:rPr>
          <w:rFonts w:ascii="Times New Roman" w:eastAsia="仿宋_GB2312"/>
          <w:b w:val="false"/>
          <w:sz w:val="30"/>
          <w:szCs w:val="30"/>
        </w:rPr>
        <w:t>元，支出决算为</w:t>
      </w:r>
      <w:r>
        <w:rPr>
          <w:rFonts w:ascii="Times New Roman" w:eastAsia="仿宋_GB2312"/>
          <w:b w:val="false"/>
          <w:sz w:val="30"/>
          <w:szCs w:val="30"/>
        </w:rPr>
        <w:t>136,399.36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105.572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机构改革，在职人员动态调整（调入3人，调出1人），职业年金缴费支出增加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178,600.00</w:t>
      </w:r>
      <w:r>
        <w:rPr>
          <w:rFonts w:ascii="Times New Roman" w:eastAsia="仿宋_GB2312"/>
          <w:b w:val="false"/>
          <w:sz w:val="30"/>
          <w:szCs w:val="30"/>
        </w:rPr>
        <w:t>元，支出决算为</w:t>
      </w:r>
      <w:r>
        <w:rPr>
          <w:rFonts w:ascii="Times New Roman" w:eastAsia="仿宋_GB2312"/>
          <w:b w:val="false"/>
          <w:sz w:val="30"/>
          <w:szCs w:val="30"/>
        </w:rPr>
        <w:t>186,859.98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104.625</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机构改革，在职人员动态调整（调入3人，调出1人），医疗保险缴费支出增加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880,300.00</w:t>
      </w:r>
      <w:r>
        <w:rPr>
          <w:rFonts w:ascii="Times New Roman" w:eastAsia="仿宋_GB2312"/>
          <w:b w:val="false"/>
          <w:sz w:val="30"/>
          <w:szCs w:val="30"/>
        </w:rPr>
        <w:t>元，支出决算为</w:t>
      </w:r>
      <w:r>
        <w:rPr>
          <w:rFonts w:ascii="Times New Roman" w:eastAsia="仿宋_GB2312"/>
          <w:b w:val="false"/>
          <w:sz w:val="30"/>
          <w:szCs w:val="30"/>
        </w:rPr>
        <w:t>934,933.00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106.206</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机构改革，在职人员动态调整（调入3人，调出1人），住房公积金支出增加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天津市东丽区军粮城街党群服务中心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17,498,355.66</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914,396.55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网格员、社工等编制外长聘人员动态调整（离职4人），人员经费支出减少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17,254,084.66</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退休费、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244,271.00</w:t>
      </w:r>
      <w:r>
        <w:rPr>
          <w:rFonts w:ascii="Times New Roman" w:eastAsia="仿宋_GB2312"/>
          <w:b w:val="false"/>
          <w:sz w:val="30"/>
          <w:szCs w:val="30"/>
        </w:rPr>
        <w:t>元，主要包括</w:t>
      </w:r>
      <w:r>
        <w:rPr>
          <w:rFonts w:ascii="Times New Roman" w:eastAsia="仿宋_GB2312"/>
          <w:b w:val="false"/>
          <w:sz w:val="30"/>
          <w:szCs w:val="30"/>
        </w:rPr>
        <w:t>办公费、电费、培训费、工会经费、福利费和其他商品和服务支出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天津市东丽区军粮城街党群服务中心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天津市东丽区军粮城街党群服务中心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天津市东丽区军粮城街党群服务中心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天津市东丽区军粮城街党群服务中心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天津市东丽区军粮城街党群服务中心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天津市东丽区军粮城街党群服务中心2024年度没有项目支出，无需开展绩效自评。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天津市东丽区军粮城街党群服务中心2024年度不涉及公开教育、医疗卫生、社会保障和就业、住房保障、涉农补贴等民生支出情况。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