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40E99F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天津市东丽区军粮城街经济发展中心</w:t>
      </w:r>
    </w:p>
    <w:p w14:paraId="3381198C">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0B1DFB26">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9F567F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29970D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0C4FD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1D7A6B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E03BA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BE618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8C272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9B086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08B01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41F1A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E6F13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5C661B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A857F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1AF60B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BB8FA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BD85E3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CC753D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37436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D613CE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9A5BC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16CF7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2F2F2E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7DB380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FEEE3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3E5C8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B69967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6CCC16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51707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3D2AE58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65124B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D41546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9898ED3">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41EAA5C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83DE35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主要职责是：协助落实街道经济发展规划、优化辖区营商环境，负责贯彻落实企业发展的有关政策，服务辖区企业经济发展工作；负责落实“双万双服促发展”工作安排，摸排企业需求，开展政策宣传，促进银企对接等工作；协助实施人才支持政策、资金支持政策，服务企业科技进步、技术改造，调整产业、产品和布局结构；负责农业病虫害防治、农业技术服务和推广工作；负责农田水利设施建设管理；配合做好林业相关工作。</w:t>
      </w:r>
    </w:p>
    <w:p w14:paraId="7B903747">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天津市东丽区军粮城街经济发展中心内设1个职能部门；下辖0个预算单位。纳入天津市东丽区军粮城街经济发展中心2024年度部门决算编制范围的单位包括：</w:t>
      </w:r>
    </w:p>
    <w:p w14:paraId="758FC24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689FA5C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1.​天津市东丽区军粮城街经济发展中心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E7AEB1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1,862,083.79</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1,862,083.79</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04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5B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82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6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1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2A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36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1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A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3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8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69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E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F2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A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FD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6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A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7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E5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F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8B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F8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85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D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202,448.40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E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202,448.40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CE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77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B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A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4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0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24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CC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63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202,448.40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50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202,448.40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F0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B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9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3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2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C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8D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63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8A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B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134,965.60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D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134,965.60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3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A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B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6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8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1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4B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6E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FB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2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67,482.80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3B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67,482.80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D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DC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5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5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7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49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7A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10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D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5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97,442.13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44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97,442.13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63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3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6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41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64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F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AC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D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D2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F2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97,442.13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F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97,442.13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9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B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79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BC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6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AD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1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5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9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D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97,442.13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4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97,442.13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B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2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6B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9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D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9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D1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6C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5E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5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455,805.00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B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455,805.00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B1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2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2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1B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6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BA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96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E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0F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455,805.00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3B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455,805.00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43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6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99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8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5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3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95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3A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DA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83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455,805.00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DD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455,805.00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4B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7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58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3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6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8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部门（单位）：天津市东丽区军粮城街经济发展中心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1,862,083.79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1,862,083.79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1,862,083.79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天津市东丽区军粮城街经济发展中心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1,862,083.79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1,862,083.79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1,862,083.79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9C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0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E8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C5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1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1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9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A6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4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4C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1E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97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AB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3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A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3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A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7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BE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8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34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F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9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97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F7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E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9D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0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93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A0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04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E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9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B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E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A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EC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B0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E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A5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C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7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C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2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4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55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DA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46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D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67,482.80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1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67,482.80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D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56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9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4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B5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4E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AF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B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5C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C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1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D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D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D9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7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6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0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C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6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B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B0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A1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0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1E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1C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3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8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A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B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2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78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C1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ED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5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4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2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E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A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0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53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37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88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E9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4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3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8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4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8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E1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49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75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A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DB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2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D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0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3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202,448.40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97,442.13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1,862,083.79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天津市东丽区军粮城街经济发展中心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1,862,083.79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1,862,083.79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1,798,550.66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20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E0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CF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5B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77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74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EF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31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50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9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1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D1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56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81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FA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E7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32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3E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D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81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202,448.40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FA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202,448.40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7F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202,448.40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D5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06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26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47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CC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4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202,448.40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BE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202,448.40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0D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202,448.40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70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B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0F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0D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B0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DF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134,965.60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5B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134,965.60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B9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134,965.60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A0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64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29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D2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7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15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67,482.80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F0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67,482.80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48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67,482.80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95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7F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D23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CA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4E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A4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0B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DB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40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3C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9FB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2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3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3B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39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6B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0D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24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C9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13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0D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65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59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16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97,442.13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8C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22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48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66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EA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40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E5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55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E3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3A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1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80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F8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73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3A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5B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60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41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B0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9F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EC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3A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2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455,805.00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57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2E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1,798,410.66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63,533.13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396,431.00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184,413.00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455,966.00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134,965.60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45,631.48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67,482.80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3,335.65</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84,354.13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5,905.13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455,805.00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1,798,550.66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63,533.13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天津市东丽区军粮城街经济发展中心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C5400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天津市东丽区军粮城街经济发展中心2024年政府性基金预算财政拨款收入支出决算表为空表。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天津市东丽区军粮城街经济发展中心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0EF830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天津市东丽区军粮城街经济发展中心2024年国有资本经营预算财政拨款收入支出决算表为空表。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59EA1C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天津市东丽区军粮城街经济发展中心2024年财政拨款“三公”经费支出决算表为空表。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部门（单位）：天津市东丽区军粮城街经济发展中心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657D9E5B">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天津市东丽区军粮城街经济发展中心2024年项目支出决算表为空表。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570C301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606089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A962A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天津市东丽区军粮城街经济发展中心2024年度收入、支出决算总计1,862,083.79元。与2023年度相比，收、支总计各减少1,631,434.40元，下降46.699%，主要原因是机构改革，该单位8月注销。</w:t>
      </w:r>
    </w:p>
    <w:p w14:paraId="1902FE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收入包括：一般公共预算财政拨款收入1,862,083.79元。</w:t>
      </w:r>
    </w:p>
    <w:p w14:paraId="3BED10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支出包括：一般公共服务支出1,106,388.26元、社会保障和就业支出202,448.40元、卫生健康支出97,442.13元、住房保障支出455,805.00元。</w:t>
      </w:r>
    </w:p>
    <w:p w14:paraId="7A894CA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B3C02E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天津市东丽区军粮城街经济发展中心2024年度本年收入合计1,862,083.79元，与2023年度相比减少1,631,434.40元，主要原因是机构改革，该单位8月注销。其中：</w:t>
      </w:r>
    </w:p>
    <w:p w14:paraId="2D138C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一般公共预算财政拨款收入1,862,083.79元，占100.000%。</w:t>
      </w:r>
    </w:p>
    <w:p w14:paraId="54FD61B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11551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天津市东丽区军粮城街经济发展中心2024年度本年支出合计1,862,083.79元，与2023年度相比减少1,631,434.40元，主要原因是机构改革，该单位8月注销。其中：</w:t>
      </w:r>
    </w:p>
    <w:p w14:paraId="6E0777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基本支出1,862,083.79元，占100.000%。</w:t>
      </w:r>
    </w:p>
    <w:p w14:paraId="4006A6E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4D8FBB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天津市东丽区军粮城街经济发展中心2024年度财政拨款收入、支出决算总计1,862,083.79元。与2023年度相比，财政拨款收、支总计各减少1,631,434.40元，下降46.699%，主要原因是机构改革，该单位8月注销。</w:t>
      </w:r>
    </w:p>
    <w:p w14:paraId="7ED28405">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收入包括：一般公共预算财政拨款1,862,083.79元。</w:t>
      </w:r>
    </w:p>
    <w:p w14:paraId="2C7AB2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支出包括：一般公共服务支出1,106,388.26元、社会保障和就业支出202,448.40元、卫生健康支出97,442.13元、住房保障支出455,805.00元。</w:t>
      </w:r>
    </w:p>
    <w:p w14:paraId="5FCC5C1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0A7F519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7A028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部门决算一般公共预算财政拨款支出合计1,862,083.79元，占本年支出合计的100.000%。与2023年度相比，一般公共预算财政拨款支出减少1,631,434.40元，下降46.699%，主要原因是机构改革，该单位8月注销。</w:t>
      </w:r>
    </w:p>
    <w:p w14:paraId="0DCCB90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51054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1,862,083.79元，主要用于以下方面：一般公共服务支出（类）1,106,388.26元，占59.417%；社会保障和就业支出（类）202,448.40元，占10.872%；卫生健康支出（类）97,442.13元，占5.233%；住房保障支出（类）455,805.00元，占24.478%。</w:t>
      </w:r>
    </w:p>
    <w:p w14:paraId="6487295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7B25B7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2024年度一般公共预算财政拨款支出年初预算为3,357,500.00元，支出决算为1,862,083.79元，完成年初预算的55.460%。其中：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1.​一般公共服务支出(类)商贸事务(款)其他商贸事务支出(项)年初预算为2,070,700.00元，支出决算为1,106,388.26元，完成年初预算的53.431%，决算数小于年初预算数的主要原因是：机构改革，该单位8月注销。</w:t>
      </w:r>
    </w:p>
    <w:p w14:paraId="198E62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231,400.00元，支出决算为134,965.60元，完成年初预算的58.326%，决算数小于年初预算数的主要原因是：机构改革，该单位8月注销。</w:t>
      </w:r>
    </w:p>
    <w:p w14:paraId="3565C2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115,700.00元，支出决算为67,482.80元，完成年初预算的58.326%，决算数小于年初预算数的主要原因是：机构改革，该单位8月注销。</w:t>
      </w:r>
    </w:p>
    <w:p w14:paraId="420881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4.​卫生健康支出(类)行政事业单位医疗(款)事业单位医疗(项)年初预算为158,300.00元，支出决算为97,442.13元，完成年初预算的61.555%，决算数小于年初预算数的主要原因是：机构改革，该单位8月注销。</w:t>
      </w:r>
    </w:p>
    <w:p w14:paraId="40C583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5.​住房保障支出(类)住房改革支出(款)住房公积金(项)年初预算为781,400.00元，支出决算为455,805.00元，完成年初预算的58.332%，决算数小于年初预算数的主要原因是：机构改革，该单位8月注销。</w:t>
      </w:r>
    </w:p>
    <w:p w14:paraId="2A9158A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57FE8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天津市东丽区军粮城街经济发展中心2024年度部门决算一般公共预算财政拨款基本支出合计1,862,083.79元，与2023年度相比减少1,631,434.40元，主要原因是机构改革，该单位8月注销</w:t>
      </w:r>
      <w:bookmarkStart w:id="0" w:name="_GoBack"/>
      <w:bookmarkEnd w:id="0"/>
      <w:r>
        <w:rPr>
          <w:rFonts w:ascii="Times New Roman" w:eastAsia="仿宋_GB2312"/>
          <w:b w:val="0"/>
          <w:sz w:val="30"/>
          <w:szCs w:val="30"/>
        </w:rPr>
        <w:t>。其中：</w:t>
      </w:r>
    </w:p>
    <w:p w14:paraId="517969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人员经费1,798,550.66元，主要包括基本工资、津贴补贴、绩效工资、机关事业单位基本养老保险缴费、职业年金缴费、职工基本医疗保险缴费、其他社会保障缴费、住房公积金、医疗费和奖励金。</w:t>
      </w:r>
    </w:p>
    <w:p w14:paraId="0D3CAA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公用经费63,533.13元，主要包括办公费、电费、邮电费和福利费。</w:t>
      </w:r>
    </w:p>
    <w:p w14:paraId="1754E6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2A5CC4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天津市东丽区军粮城街经济发展中心2024年度无政府性基金预算财政拨款收入、支出和结转结余。</w:t>
      </w:r>
    </w:p>
    <w:p w14:paraId="76C3B14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92791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天津市东丽区军粮城街经济发展中心2024年度无国有资本经营预算财政拨款收入、支出和结转结余。</w:t>
      </w:r>
    </w:p>
    <w:p w14:paraId="744D962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6B1DB09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E2CA9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7DCC275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60380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5F60512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019D0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708B433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51D6D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D0F7E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A8635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81D47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F80249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23B7A2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BF0B6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天津市东丽区军粮城街经济发展中心2024年度无机关运行经费。</w:t>
      </w:r>
    </w:p>
    <w:p w14:paraId="01BBA09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25E70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天津市东丽区军粮城街经济发展中心2024年度无政府采购支出。</w:t>
      </w:r>
    </w:p>
    <w:p w14:paraId="1E84672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B342C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天津市东丽区军粮城街经济发展中心2024年度无国有资产占有使用情况。</w:t>
      </w:r>
    </w:p>
    <w:p w14:paraId="158619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92B857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天津市东丽区军粮城街经济发展中心2024年度没有项目支出，无需开展绩效自评。</w:t>
      </w:r>
    </w:p>
    <w:p w14:paraId="4B7B093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47AFBF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天津市东丽区军粮城街经济发展中心2024年度不涉及公开教育、医疗卫生、社会保障和就业、住房保障、涉农补贴等民生支出情况。</w:t>
      </w:r>
    </w:p>
    <w:p w14:paraId="79CA5A1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D02C0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40C91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324A8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A9EE092-3A99-45D0-9549-7F6FB5DE0F0C}"/>
  </w:font>
  <w:font w:name="黑体">
    <w:panose1 w:val="02010609060101010101"/>
    <w:charset w:val="86"/>
    <w:family w:val="auto"/>
    <w:pitch w:val="default"/>
    <w:sig w:usb0="800002BF" w:usb1="38CF7CFA" w:usb2="00000016" w:usb3="00000000" w:csb0="00040001" w:csb1="00000000"/>
    <w:embedRegular r:id="rId2" w:fontKey="{ADC92136-5C9F-46FD-ADB6-1EDF2805F5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806E28F1-494C-4F00-A24F-3CFB113D5F79}"/>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3E95EC5-8A3C-445F-BB88-B7F98095370D}"/>
  </w:font>
  <w:font w:name="仿宋_GB2312">
    <w:altName w:val="仿宋"/>
    <w:panose1 w:val="00000000000000000000"/>
    <w:charset w:val="00"/>
    <w:family w:val="auto"/>
    <w:pitch w:val="default"/>
    <w:sig w:usb0="00000000" w:usb1="00000000" w:usb2="00000000" w:usb3="00000000" w:csb0="00000000" w:csb1="00000000"/>
    <w:embedRegular r:id="rId5" w:fontKey="{7D4F8FC9-3627-4047-8A3E-1EDDA3B8264D}"/>
  </w:font>
  <w:font w:name="宋体-简">
    <w:altName w:val="宋体"/>
    <w:panose1 w:val="02010800040101010101"/>
    <w:charset w:val="86"/>
    <w:family w:val="auto"/>
    <w:pitch w:val="default"/>
    <w:sig w:usb0="00000000" w:usb1="00000000" w:usb2="00000000" w:usb3="00000000" w:csb0="00040000" w:csb1="00000000"/>
    <w:embedRegular r:id="rId6" w:fontKey="{1DDA27BE-E0F0-47AE-BEAF-BF4EA0D2C7D9}"/>
  </w:font>
  <w:font w:name="楷体">
    <w:panose1 w:val="02010609060101010101"/>
    <w:charset w:val="86"/>
    <w:family w:val="auto"/>
    <w:pitch w:val="default"/>
    <w:sig w:usb0="800002BF" w:usb1="38CF7CFA" w:usb2="00000016" w:usb3="00000000" w:csb0="00040001" w:csb1="00000000"/>
    <w:embedRegular r:id="rId7" w:fontKey="{5CEF6B4C-AAB1-405C-8606-CB3B131B44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6D9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6D9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144EDB"/>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1407</Words>
  <Characters>1516</Characters>
  <Lines>86</Lines>
  <Paragraphs>24</Paragraphs>
  <TotalTime>12</TotalTime>
  <ScaleCrop>false</ScaleCrop>
  <LinksUpToDate>false</LinksUpToDate>
  <CharactersWithSpaces>1568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2025-09-22T07:14:35Z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