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5B614">
      <w:pPr>
        <w:spacing w:line="600" w:lineRule="auto"/>
        <w:jc w:val="both"/>
        <w:rPr>
          <w:rFonts w:hint="eastAsia" w:asciiTheme="minorEastAsia" w:hAnsiTheme="minorEastAsia" w:eastAsiaTheme="minorEastAsia" w:cstheme="minorEastAsia"/>
          <w:b w:val="0"/>
          <w:bCs w:val="0"/>
          <w:color w:val="000000"/>
          <w:sz w:val="22"/>
          <w:szCs w:val="22"/>
        </w:rPr>
      </w:pPr>
    </w:p>
    <w:p w14:paraId="6F62B7A0">
      <w:pPr>
        <w:spacing w:line="600" w:lineRule="auto"/>
        <w:jc w:val="both"/>
        <w:rPr>
          <w:rFonts w:hint="eastAsia" w:asciiTheme="minorEastAsia" w:hAnsiTheme="minorEastAsia" w:eastAsiaTheme="minorEastAsia" w:cstheme="minorEastAsia"/>
          <w:b w:val="0"/>
          <w:bCs w:val="0"/>
          <w:color w:val="000000"/>
          <w:sz w:val="22"/>
          <w:szCs w:val="22"/>
        </w:rPr>
      </w:pPr>
    </w:p>
    <w:p w14:paraId="35F3F732">
      <w:pPr>
        <w:spacing w:line="600" w:lineRule="auto"/>
        <w:jc w:val="both"/>
        <w:rPr>
          <w:rFonts w:hint="eastAsia" w:asciiTheme="minorEastAsia" w:hAnsiTheme="minorEastAsia" w:eastAsiaTheme="minorEastAsia" w:cstheme="minorEastAsia"/>
          <w:b w:val="0"/>
          <w:bCs w:val="0"/>
          <w:color w:val="000000"/>
          <w:sz w:val="22"/>
          <w:szCs w:val="22"/>
        </w:rPr>
      </w:pPr>
    </w:p>
    <w:p w14:paraId="48DDF35C">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天津市东丽区军粮城街退役军人服务站</w:t>
      </w:r>
    </w:p>
    <w:p w14:paraId="519887C9">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14:paraId="5A869284">
      <w:pPr>
        <w:spacing w:line="600" w:lineRule="auto"/>
        <w:jc w:val="both"/>
        <w:rPr>
          <w:rFonts w:hint="eastAsia" w:asciiTheme="minorEastAsia" w:hAnsiTheme="minorEastAsia" w:eastAsiaTheme="minorEastAsia" w:cstheme="minorEastAsia"/>
          <w:b w:val="0"/>
          <w:bCs w:val="0"/>
          <w:color w:val="000000"/>
          <w:sz w:val="22"/>
          <w:szCs w:val="22"/>
        </w:rPr>
      </w:pPr>
    </w:p>
    <w:p w14:paraId="4437E50E">
      <w:pPr>
        <w:spacing w:line="600" w:lineRule="auto"/>
        <w:jc w:val="both"/>
        <w:rPr>
          <w:rFonts w:hint="eastAsia" w:asciiTheme="minorEastAsia" w:hAnsiTheme="minorEastAsia" w:eastAsiaTheme="minorEastAsia" w:cstheme="minorEastAsia"/>
          <w:b w:val="0"/>
          <w:bCs w:val="0"/>
          <w:color w:val="000000"/>
          <w:sz w:val="22"/>
          <w:szCs w:val="22"/>
        </w:rPr>
      </w:pPr>
    </w:p>
    <w:p w14:paraId="4B15A028">
      <w:pPr>
        <w:spacing w:line="600" w:lineRule="auto"/>
        <w:jc w:val="both"/>
        <w:rPr>
          <w:rFonts w:hint="eastAsia" w:asciiTheme="minorEastAsia" w:hAnsiTheme="minorEastAsia" w:eastAsiaTheme="minorEastAsia" w:cstheme="minorEastAsia"/>
          <w:b w:val="0"/>
          <w:bCs w:val="0"/>
          <w:color w:val="000000"/>
          <w:sz w:val="22"/>
          <w:szCs w:val="22"/>
        </w:rPr>
      </w:pPr>
    </w:p>
    <w:p w14:paraId="6DFD9925">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14:paraId="033E6FE2">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14:paraId="47E73F2F">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14:paraId="44135BE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14:paraId="3697C6E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14:paraId="2677DE4D">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14:paraId="56A2B26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14:paraId="5A30685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14:paraId="4D4D9D3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14:paraId="11A8B27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14:paraId="3F5356C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14:paraId="654B074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14:paraId="2C26669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14:paraId="1A3F967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14:paraId="1851221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14:paraId="101BEAA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14:paraId="4589BD2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14:paraId="7EE66BDE">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14:paraId="6FE874F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14:paraId="5B02FEC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14:paraId="1781AC4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14:paraId="3699D5D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14:paraId="76108A5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14:paraId="53879EF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14:paraId="5AE9CC7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14:paraId="162EEC6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14:paraId="0BFBD60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14:paraId="3659256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14:paraId="144A22C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14:paraId="18F5256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14:paraId="66E56F2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14:paraId="3514AAF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14:paraId="74CC4AB3">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14:paraId="7C76BF7E">
      <w:pPr>
        <w:rPr>
          <w:rFonts w:hint="eastAsia" w:asciiTheme="minorEastAsia" w:hAnsiTheme="minorEastAsia" w:eastAsiaTheme="minorEastAsia" w:cstheme="minorEastAsia"/>
          <w:b w:val="0"/>
          <w:bCs w:val="0"/>
          <w:sz w:val="22"/>
          <w:szCs w:val="22"/>
          <w:highlight w:val="yellow"/>
        </w:rPr>
      </w:pPr>
    </w:p>
    <w:p w14:paraId="5F8B6E60">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05C38345">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14:paraId="5188D46E">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14:paraId="6B4FA16C">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天津市东丽区军粮城街退役军人服务站主要职能是：（1）承担拥军优属、退役军人服务具体工作；（2）协助街道武装部做好相关事务性工作。</w:t>
      </w:r>
    </w:p>
    <w:p w14:paraId="1E8067C3">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14:paraId="583CF05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天津市东丽区军粮城街退役军人服务站内设1个职能部门；下辖0个预算单位。纳入天津市东丽区军粮城街退役军人服务站2024年度部门决算编制范围的单位包括：</w:t>
      </w:r>
    </w:p>
    <w:p w14:paraId="1C368EFC">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14:paraId="29F624E0">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1.​天津市东丽区军粮城街退役军人服务站</w:t>
      </w:r>
    </w:p>
    <w:p w14:paraId="5F889FAE">
      <w:pPr>
        <w:widowControl/>
        <w:spacing w:line="600" w:lineRule="exact"/>
        <w:jc w:val="left"/>
        <w:rPr>
          <w:rFonts w:hint="eastAsia" w:asciiTheme="minorEastAsia" w:hAnsiTheme="minorEastAsia" w:eastAsiaTheme="minorEastAsia" w:cstheme="minorEastAsia"/>
          <w:b w:val="0"/>
          <w:bCs w:val="0"/>
          <w:sz w:val="22"/>
          <w:szCs w:val="22"/>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74C086DB">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14:paraId="069FC8B4">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部门（单位）：天津市东丽区军粮城街退役军人服务站 </w:t>
            </w:r>
          </w:p>
        </w:tc>
        <w:tc>
          <w:tcPr>
            <w:tcW w:w="1087" w:type="pct"/>
            <w:tcBorders>
              <w:top w:val="nil"/>
              <w:left w:val="nil"/>
              <w:bottom w:val="nil"/>
              <w:right w:val="nil"/>
            </w:tcBorders>
            <w:shd w:val="clear" w:color="auto" w:fill="auto"/>
            <w:noWrap/>
            <w:vAlign w:val="bottom"/>
          </w:tcPr>
          <w:p w14:paraId="09A5DB07">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0"/>
                <w:bCs w:val="0"/>
                <w:i w:val="0"/>
                <w:iCs w:val="0"/>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2,009,163.07</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1,455,711.19</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91,182.88</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462,269.00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2,009,163.07</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2,009,163.07</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0"/>
                <w:bCs w:val="0"/>
                <w:i w:val="0"/>
                <w:iCs w:val="0"/>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0"/>
                <w:bCs w:val="0"/>
                <w:i w:val="0"/>
                <w:iCs w:val="0"/>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2,009,163.07</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2,009,163.07</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14:paraId="48EFDB26">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部门（单位）：天津市东丽区军粮城街退役军人服务站 </w:t>
            </w:r>
          </w:p>
        </w:tc>
        <w:tc>
          <w:tcPr>
            <w:tcW w:w="451" w:type="pct"/>
            <w:tcBorders>
              <w:top w:val="nil"/>
              <w:left w:val="nil"/>
              <w:bottom w:val="nil"/>
              <w:right w:val="nil"/>
            </w:tcBorders>
            <w:shd w:val="clear" w:color="auto" w:fill="auto"/>
            <w:noWrap/>
            <w:vAlign w:val="bottom"/>
          </w:tcPr>
          <w:p w14:paraId="45F79B2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0"/>
                <w:bCs w:val="0"/>
                <w:i w:val="0"/>
                <w:iCs w:val="0"/>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0"/>
                <w:bCs w:val="0"/>
                <w:i w:val="0"/>
                <w:iCs w:val="0"/>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0"/>
                <w:bCs w:val="0"/>
                <w:i w:val="0"/>
                <w:iCs w:val="0"/>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95" w:type="pct"/>
            <w:tcBorders>
              <w:top w:val="nil"/>
              <w:left w:val="nil"/>
              <w:bottom w:val="nil"/>
              <w:right w:val="single" w:color="000000" w:sz="4" w:space="0"/>
            </w:tcBorders>
            <w:shd w:val="clear" w:color="auto" w:fill="auto"/>
            <w:vAlign w:val="center"/>
          </w:tcPr>
          <w:p w14:paraId="02A1CB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2,009,163.07</w:t>
            </w:r>
          </w:p>
        </w:tc>
        <w:tc>
          <w:tcPr>
            <w:tcW w:w="446" w:type="pct"/>
            <w:tcBorders>
              <w:top w:val="nil"/>
              <w:left w:val="nil"/>
              <w:bottom w:val="nil"/>
              <w:right w:val="single" w:color="000000" w:sz="4" w:space="0"/>
            </w:tcBorders>
            <w:shd w:val="clear" w:color="auto" w:fill="auto"/>
            <w:vAlign w:val="center"/>
          </w:tcPr>
          <w:p w14:paraId="53CD55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2,009,163.07</w:t>
            </w:r>
          </w:p>
        </w:tc>
        <w:tc>
          <w:tcPr>
            <w:tcW w:w="464" w:type="pct"/>
            <w:tcBorders>
              <w:top w:val="nil"/>
              <w:left w:val="nil"/>
              <w:bottom w:val="nil"/>
              <w:right w:val="single" w:color="000000" w:sz="4" w:space="0"/>
            </w:tcBorders>
            <w:shd w:val="clear" w:color="auto" w:fill="auto"/>
            <w:vAlign w:val="center"/>
          </w:tcPr>
          <w:p w14:paraId="024A85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nil"/>
              <w:right w:val="single" w:color="000000" w:sz="4" w:space="0"/>
            </w:tcBorders>
            <w:shd w:val="clear" w:color="auto" w:fill="auto"/>
            <w:vAlign w:val="center"/>
          </w:tcPr>
          <w:p w14:paraId="02C5F5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nil"/>
              <w:left w:val="nil"/>
              <w:bottom w:val="nil"/>
              <w:right w:val="single" w:color="000000" w:sz="4" w:space="0"/>
            </w:tcBorders>
            <w:shd w:val="clear" w:color="auto" w:fill="auto"/>
            <w:vAlign w:val="center"/>
          </w:tcPr>
          <w:p w14:paraId="136766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14:paraId="27A09F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nil"/>
              <w:left w:val="nil"/>
              <w:bottom w:val="nil"/>
              <w:right w:val="single" w:color="000000" w:sz="4" w:space="0"/>
            </w:tcBorders>
            <w:shd w:val="clear" w:color="auto" w:fill="auto"/>
            <w:vAlign w:val="center"/>
          </w:tcPr>
          <w:p w14:paraId="68138F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nil"/>
              <w:left w:val="nil"/>
              <w:bottom w:val="nil"/>
              <w:right w:val="single" w:color="000000" w:sz="4" w:space="0"/>
            </w:tcBorders>
            <w:shd w:val="clear" w:color="auto" w:fill="auto"/>
            <w:vAlign w:val="center"/>
          </w:tcPr>
          <w:p w14:paraId="06203A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1,455,711.19</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1,455,711.19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16C0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7A9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807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72A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205,095.36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D42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205,095.36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E04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E4F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C9D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8E2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4E1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F68E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B6D8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DE1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103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471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136,730.24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87F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136,730.24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4E4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6D6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457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BFE4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01A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D18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E38D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5C6B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D95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809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68,365.12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C13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68,365.12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B08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0DD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C52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80F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B20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C54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9BE7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AB1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C0F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退役安置</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C40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1,250,615.83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9DD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1,250,615.83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B73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99B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983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E15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B05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003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4456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A46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2080999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83C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其他退役安置支出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C88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1,250,615.83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4D7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1,250,615.83</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27A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F36E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F23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B29B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12B6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71A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EE73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B231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7ED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A07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91,182.88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AD8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91,182.88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EBB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57B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D35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4F6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774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DD9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0C5D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C4C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DDB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AC2F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91,182.88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7F8D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91,182.88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2F7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C2A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92A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236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B7F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3A7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9A0B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A88A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8AE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576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91,182.88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6C7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91,182.88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C73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11E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773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5BC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D2F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514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1CED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71B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29C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FC8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462,269.00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888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462,269.00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384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29B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04B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D5B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2A8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C3D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D809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43B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FE8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D2D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462,269.00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F4C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462,269.00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8CA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10C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37FB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39E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773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B22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9843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781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FA6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132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462,269.00</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F7D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462,269.00</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6FF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F05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923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B57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AD6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81B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14:paraId="4F17208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DACB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部门（单位）：天津市东丽区军粮城街退役军人服务站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0"/>
                <w:bCs w:val="0"/>
                <w:i w:val="0"/>
                <w:iCs w:val="0"/>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0"/>
                <w:bCs w:val="0"/>
                <w:i w:val="0"/>
                <w:iCs w:val="0"/>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0"/>
                <w:bCs w:val="0"/>
                <w:i w:val="0"/>
                <w:iCs w:val="0"/>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0"/>
                <w:bCs w:val="0"/>
                <w:i w:val="0"/>
                <w:iCs w:val="0"/>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0"/>
                <w:bCs w:val="0"/>
                <w:i w:val="0"/>
                <w:iCs w:val="0"/>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0"/>
                <w:bCs w:val="0"/>
                <w:i w:val="0"/>
                <w:iCs w:val="0"/>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0"/>
                <w:bCs w:val="0"/>
                <w:i w:val="0"/>
                <w:iCs w:val="0"/>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0"/>
                <w:bCs w:val="0"/>
                <w:i w:val="0"/>
                <w:iCs w:val="0"/>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0"/>
                <w:bCs w:val="0"/>
                <w:i w:val="0"/>
                <w:iCs w:val="0"/>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0"/>
                <w:bCs w:val="0"/>
                <w:i w:val="0"/>
                <w:iCs w:val="0"/>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0"/>
                <w:bCs w:val="0"/>
                <w:i w:val="0"/>
                <w:iCs w:val="0"/>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0"/>
                <w:bCs w:val="0"/>
                <w:i w:val="0"/>
                <w:iCs w:val="0"/>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2,009,163.07</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2,009,163.07</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2,009,163.07</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805205</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天津市东丽区军粮城街退役军人服务站</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2,009,163.07</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2,009,163.07</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2,009,163.07</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5793248">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部门（单位）：天津市东丽区军粮城街退役军人服务站 </w:t>
            </w:r>
          </w:p>
        </w:tc>
        <w:tc>
          <w:tcPr>
            <w:tcW w:w="567" w:type="pct"/>
            <w:tcBorders>
              <w:top w:val="nil"/>
              <w:left w:val="nil"/>
              <w:bottom w:val="nil"/>
              <w:right w:val="nil"/>
            </w:tcBorders>
            <w:shd w:val="clear" w:color="auto" w:fill="auto"/>
            <w:noWrap/>
            <w:vAlign w:val="bottom"/>
          </w:tcPr>
          <w:p w14:paraId="1107D77C">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81" w:type="pct"/>
            <w:tcBorders>
              <w:top w:val="nil"/>
              <w:left w:val="nil"/>
              <w:bottom w:val="nil"/>
              <w:right w:val="single" w:color="000000" w:sz="4" w:space="0"/>
            </w:tcBorders>
            <w:shd w:val="clear" w:color="auto" w:fill="auto"/>
            <w:noWrap/>
            <w:vAlign w:val="center"/>
          </w:tcPr>
          <w:p w14:paraId="69D203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0"/>
                <w:bCs w:val="0"/>
                <w:i w:val="0"/>
                <w:iCs w:val="0"/>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2,009,163.07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2,009,163.07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1,455,711.19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1,455,711.19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8C32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4A5D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83F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D3C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205,095.36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CBBF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205,095.36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AA2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C9F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B30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3AD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9C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F2E49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3C8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BD4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136,730.24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E6F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136,730.24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F78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9D4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6F7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572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5BB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AE6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124E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FC1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68,365.12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5A3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68,365.12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018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265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A3C8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773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E4D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4839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542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退役安置</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54B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1,250,615.83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A94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1,250,615.83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DF95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EB9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C584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A6A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C971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6B77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2080999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392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其他退役安置支出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838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1,250,615.83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4A1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1,250,615.83</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BF2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AB9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712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6BA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DDF1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6C7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6E2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9A2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91,182.88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CEF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91,182.88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EE1B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295C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9E0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EFF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CCD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F1E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47A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370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91,182.88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F7D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91,182.88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093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E99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BB4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1C5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2612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557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4F1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A3B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91,182.88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A1C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91,182.88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9AA9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99F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9D4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E48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1E9F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D04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6CEDB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3C8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462,269.00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6014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462,269.00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3751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5C2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8CE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AF2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43BA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D38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92F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FFE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462,269.00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197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462,269.00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A1D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695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D1A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0B5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93B7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3EE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563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7A3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462,269.00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362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462,269.00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68B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B26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92D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ECE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14:paraId="24D72203">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2A4E90">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部门（单位）：天津市东丽区军粮城街退役军人服务站 </w:t>
            </w:r>
          </w:p>
        </w:tc>
        <w:tc>
          <w:tcPr>
            <w:tcW w:w="705" w:type="pct"/>
            <w:tcBorders>
              <w:top w:val="nil"/>
              <w:left w:val="nil"/>
              <w:bottom w:val="nil"/>
              <w:right w:val="nil"/>
            </w:tcBorders>
            <w:shd w:val="clear" w:color="auto" w:fill="auto"/>
            <w:noWrap/>
            <w:vAlign w:val="bottom"/>
          </w:tcPr>
          <w:p w14:paraId="47C6A39A">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2,009,163.07</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1,455,711.19</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1,455,711.19</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91,182.88</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91,182.88</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462,269.00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462,269.00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2,009,163.07</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2,009,163.07</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2,009,163.07</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0"/>
                <w:bCs w:val="0"/>
                <w:i w:val="0"/>
                <w:iCs w:val="0"/>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0"/>
                <w:bCs w:val="0"/>
                <w:i w:val="0"/>
                <w:iCs w:val="0"/>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0"/>
                <w:bCs w:val="0"/>
                <w:i w:val="0"/>
                <w:iCs w:val="0"/>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2,009,163.07</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2,009,163.07</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2,009,163.07</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50B2B1FE">
      <w:pPr>
        <w:pStyle w:val="28"/>
        <w:keepNext w:val="0"/>
        <w:keepLines w:val="0"/>
        <w:widowControl/>
        <w:numPr>
          <w:ilvl w:val="0"/>
          <w:numId w:val="2"/>
        </w:numPr>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天津市东丽区军粮城街退役军人服务站 </w:t>
            </w:r>
          </w:p>
        </w:tc>
        <w:tc>
          <w:tcPr>
            <w:tcW w:w="597" w:type="pct"/>
            <w:tcBorders>
              <w:top w:val="nil"/>
              <w:left w:val="nil"/>
              <w:bottom w:val="nil"/>
              <w:right w:val="nil"/>
            </w:tcBorders>
            <w:shd w:val="clear" w:color="auto" w:fill="auto"/>
            <w:noWrap/>
            <w:vAlign w:val="bottom"/>
          </w:tcPr>
          <w:p w14:paraId="21EC1AB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462" w:type="pct"/>
            <w:tcBorders>
              <w:top w:val="nil"/>
              <w:left w:val="nil"/>
              <w:bottom w:val="nil"/>
              <w:right w:val="single" w:color="000000" w:sz="4" w:space="0"/>
            </w:tcBorders>
            <w:shd w:val="clear" w:color="auto" w:fill="auto"/>
            <w:noWrap/>
            <w:vAlign w:val="center"/>
          </w:tcPr>
          <w:p w14:paraId="2DAFD8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621" w:type="pct"/>
            <w:tcBorders>
              <w:top w:val="nil"/>
              <w:left w:val="nil"/>
              <w:bottom w:val="nil"/>
              <w:right w:val="single" w:color="000000" w:sz="4" w:space="0"/>
            </w:tcBorders>
            <w:shd w:val="clear" w:color="auto" w:fill="auto"/>
            <w:noWrap/>
            <w:vAlign w:val="center"/>
          </w:tcPr>
          <w:p w14:paraId="5CFE89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610" w:type="pct"/>
            <w:tcBorders>
              <w:top w:val="nil"/>
              <w:left w:val="nil"/>
              <w:bottom w:val="nil"/>
              <w:right w:val="single" w:color="000000" w:sz="4" w:space="0"/>
            </w:tcBorders>
            <w:shd w:val="clear" w:color="auto" w:fill="auto"/>
            <w:noWrap/>
            <w:vAlign w:val="center"/>
          </w:tcPr>
          <w:p w14:paraId="198EAC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0"/>
                <w:iCs w:val="0"/>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2,009,163.07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2,009,163.07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1,875,511.82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133,651.25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1,455,711.19</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1,455,711.19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1,322,059.94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133,651.25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E453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DBAB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C485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50CA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205,095.36</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3A84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205,095.36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EA0C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205,095.36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0F0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1C7A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1960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9EA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538F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E2F0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136,730.24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A5B7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136,730.24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9701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136,730.24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F22B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FEE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5299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ECC9A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B86E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68E9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68,365.12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F0BE9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68,365.12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3C295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68,365.12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0269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8F06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B97C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7C96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A441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退役安置</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AAA8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1,250,615.83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3672C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1,250,615.83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92EF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1,116,964.58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DCB6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133,651.25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29177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B518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1B9F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2080999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5EB5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其他退役安置支出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556B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1,250,615.83</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0430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1,250,615.83</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11A3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1,116,964.58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37D2C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133,651.25</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1FD3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8342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494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54A9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A58D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91,182.88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1096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91,182.88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D970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91,182.88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9F07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9567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6B8E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1AD4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9DC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40BB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91,182.88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7AE8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91,182.88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2BC6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91,182.88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1C37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4346C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21A5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D0CC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9E34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A16D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91,182.88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7B6D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91,182.88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AB74D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91,182.88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01F7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0A46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5566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EEC2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DCE4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2CD3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462,269.00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8AC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462,269.00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4D2B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462,269.00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E64EA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660C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67C9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B720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F64E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30B7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462,269.00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7002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462,269.00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AFA8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462,269.00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FD93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FE09E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6199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C1BD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846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7EE2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462,269.00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85B0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462,269.00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D5A0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462,269.00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835A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56A0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14:paraId="2D3BEDF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067D0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部门（单位）：天津市东丽区军粮城街退役军人服务站 </w:t>
            </w:r>
          </w:p>
        </w:tc>
        <w:tc>
          <w:tcPr>
            <w:tcW w:w="617" w:type="pct"/>
            <w:tcBorders>
              <w:top w:val="nil"/>
              <w:left w:val="nil"/>
              <w:bottom w:val="nil"/>
              <w:right w:val="nil"/>
            </w:tcBorders>
            <w:shd w:val="clear" w:color="auto" w:fill="auto"/>
            <w:noWrap/>
            <w:vAlign w:val="bottom"/>
          </w:tcPr>
          <w:p w14:paraId="0A678682">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1,837,950.02</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133,651.25</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398,448.00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400.00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212,519.60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460,271.00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136,730.24</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24,000.00</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68,365.12</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7,800.00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85,456.88</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5,982.18</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462,269.00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4,908.00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3,000.00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37,561.80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1,540.00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4,482.80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818.00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18,726.36</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6,258.00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32,211.00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9,926.89</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65,000.00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1,875,511.82</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133,651.25</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14:paraId="057ED6E4">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A536BEC">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天津市东丽区军粮城街退役军人服务站 </w:t>
            </w:r>
          </w:p>
        </w:tc>
        <w:tc>
          <w:tcPr>
            <w:tcW w:w="517" w:type="pct"/>
            <w:tcBorders>
              <w:top w:val="nil"/>
              <w:left w:val="nil"/>
              <w:bottom w:val="nil"/>
              <w:right w:val="nil"/>
            </w:tcBorders>
            <w:shd w:val="clear" w:color="auto" w:fill="auto"/>
            <w:noWrap/>
            <w:vAlign w:val="bottom"/>
          </w:tcPr>
          <w:p w14:paraId="65235F2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376" w:type="pct"/>
            <w:tcBorders>
              <w:top w:val="nil"/>
              <w:left w:val="nil"/>
              <w:bottom w:val="nil"/>
              <w:right w:val="single" w:color="000000" w:sz="4" w:space="0"/>
            </w:tcBorders>
            <w:shd w:val="clear" w:color="auto" w:fill="auto"/>
            <w:noWrap/>
            <w:vAlign w:val="center"/>
          </w:tcPr>
          <w:p w14:paraId="50FB88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0"/>
                <w:iCs w:val="0"/>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10" w:type="pct"/>
            <w:tcBorders>
              <w:top w:val="nil"/>
              <w:left w:val="nil"/>
              <w:bottom w:val="nil"/>
              <w:right w:val="single" w:color="000000" w:sz="4" w:space="0"/>
            </w:tcBorders>
            <w:shd w:val="clear" w:color="auto" w:fill="auto"/>
            <w:noWrap/>
            <w:vAlign w:val="center"/>
          </w:tcPr>
          <w:p w14:paraId="4DEE45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0"/>
                <w:iCs w:val="0"/>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14:paraId="406C135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天津市东丽区军粮城街退役军人服务站2024年政府性基金预算财政拨款收入支出决算表为空表。</w:t>
      </w:r>
    </w:p>
    <w:p w14:paraId="1B98924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7BA01CAE">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天津市东丽区军粮城街退役军人服务站 </w:t>
            </w:r>
          </w:p>
        </w:tc>
        <w:tc>
          <w:tcPr>
            <w:tcW w:w="512" w:type="pct"/>
            <w:tcBorders>
              <w:top w:val="nil"/>
              <w:left w:val="nil"/>
              <w:bottom w:val="nil"/>
              <w:right w:val="nil"/>
            </w:tcBorders>
            <w:shd w:val="clear" w:color="auto" w:fill="auto"/>
            <w:noWrap/>
            <w:vAlign w:val="bottom"/>
          </w:tcPr>
          <w:p w14:paraId="098EDFB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0"/>
                <w:iCs w:val="0"/>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0"/>
                <w:iCs w:val="0"/>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14:paraId="7E9B241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天津市东丽区军粮城街退役军人服务站2024年国有资本经营预算财政拨款收入支出决算表为空表。</w:t>
      </w:r>
    </w:p>
    <w:p w14:paraId="25B7E058">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40A76D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部门（单位）：天津市东丽区军粮城街退役军人服务站 </w:t>
            </w:r>
          </w:p>
        </w:tc>
        <w:tc>
          <w:tcPr>
            <w:tcW w:w="2146" w:type="dxa"/>
            <w:tcBorders>
              <w:top w:val="nil"/>
              <w:left w:val="nil"/>
              <w:bottom w:val="nil"/>
              <w:right w:val="nil"/>
            </w:tcBorders>
            <w:shd w:val="clear" w:color="auto" w:fill="auto"/>
            <w:noWrap/>
            <w:vAlign w:val="bottom"/>
          </w:tcPr>
          <w:p w14:paraId="7747C6E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14:paraId="20AF24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0"/>
                <w:bCs w:val="0"/>
                <w:i w:val="0"/>
                <w:iCs w:val="0"/>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14:paraId="6156B55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天津市东丽区军粮城街退役军人服务站2024年财政拨款“三公”经费支出决算表为空表。</w:t>
      </w:r>
    </w:p>
    <w:p w14:paraId="1BD74E9E">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6222FDA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部门（单位）：天津市东丽区军粮城街退役军人服务站 </w:t>
            </w:r>
          </w:p>
        </w:tc>
        <w:tc>
          <w:tcPr>
            <w:tcW w:w="568" w:type="pct"/>
            <w:tcBorders>
              <w:top w:val="nil"/>
              <w:left w:val="nil"/>
              <w:bottom w:val="nil"/>
              <w:right w:val="nil"/>
            </w:tcBorders>
            <w:shd w:val="clear" w:color="auto" w:fill="auto"/>
            <w:noWrap/>
            <w:vAlign w:val="bottom"/>
          </w:tcPr>
          <w:p w14:paraId="41AE682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22" w:type="pct"/>
            <w:tcBorders>
              <w:top w:val="nil"/>
              <w:left w:val="nil"/>
              <w:bottom w:val="nil"/>
              <w:right w:val="single" w:color="000000" w:sz="4" w:space="0"/>
            </w:tcBorders>
            <w:shd w:val="clear" w:color="auto" w:fill="auto"/>
            <w:noWrap/>
            <w:vAlign w:val="center"/>
          </w:tcPr>
          <w:p w14:paraId="69D738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577" w:type="pct"/>
            <w:tcBorders>
              <w:top w:val="nil"/>
              <w:left w:val="nil"/>
              <w:bottom w:val="nil"/>
              <w:right w:val="single" w:color="000000" w:sz="4" w:space="0"/>
            </w:tcBorders>
            <w:shd w:val="clear" w:color="auto" w:fill="auto"/>
            <w:noWrap/>
            <w:vAlign w:val="center"/>
          </w:tcPr>
          <w:p w14:paraId="01ED70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14:paraId="73A6511A">
      <w:pPr>
        <w:widowControl/>
        <w:spacing w:before="0" w:beforeLines="0" w:beforeAutospacing="0" w:after="0" w:afterLines="0" w:afterAutospacing="0" w:line="240" w:lineRule="auto"/>
        <w:ind w:firstLine="640" w:firstLineChars="200"/>
        <w:jc w:val="left"/>
        <w:rPr>
          <w:rFonts w:ascii="宋体" w:eastAsia="仿宋_GB2312"/>
          <w:sz w:val="32"/>
          <w:szCs w:val="32"/>
        </w:rPr>
      </w:pPr>
      <w:r>
        <w:rPr>
          <w:rFonts w:ascii="宋体" w:eastAsia="仿宋_GB2312"/>
          <w:b w:val="0"/>
          <w:sz w:val="32"/>
          <w:szCs w:val="32"/>
        </w:rPr>
        <w:t>天津市东丽区军粮城街退役军人服务站2024年项目支出决算表为空表。</w:t>
      </w:r>
    </w:p>
    <w:p w14:paraId="4EEEF69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14:paraId="14921B6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14:paraId="20A3DFD2">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14:paraId="334C30B0">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14:paraId="22A8F9B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退役军人服务站2024年度收入、支出决算总计2,009,163.07元。与2023年度相比，收、支总计各增加660,386.05元，增长48.962%，主要原因是机构改革，人员动态调整（调入8人，新入职1人），人员经费支出增加。</w:t>
      </w:r>
    </w:p>
    <w:p w14:paraId="4ADACBB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收入包括：一般公共预算财政拨款收入2,009,163.07元。</w:t>
      </w:r>
    </w:p>
    <w:p w14:paraId="48C17DD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支出包括：社会保障和就业支出1,455,711.19元、卫生健康支出91,182.88元、住房保障支出462,269.00元。</w:t>
      </w:r>
    </w:p>
    <w:p w14:paraId="54D72E8C">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14:paraId="132CB11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天津市东丽区军粮城街退役军人服务站2024年度本年收入合计2,009,163.07元，与2023年度相比增加660,386.05元，主要原因是机构改革，人员动态调整（调入8人，新入职1人），人员经费支出增加。其中：</w:t>
      </w:r>
    </w:p>
    <w:p w14:paraId="07C9DF8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一般公共预算财政拨款收入2,009,163.07元，占100.000%。</w:t>
      </w:r>
    </w:p>
    <w:p w14:paraId="25212EE0">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14:paraId="676D856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天津市东丽区军粮城街退役军人服务站2024年度本年支出合计2,009,163.07元，与2023年度相比增加660,386.05元，主要原因是机构改革，人员动态调整（调入8人，新入职1人），人员经费支出增加。其中：</w:t>
      </w:r>
    </w:p>
    <w:p w14:paraId="6A81D2B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基本支出2,009,163.07元，占100.000%。</w:t>
      </w:r>
    </w:p>
    <w:p w14:paraId="5FDD6F68">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14:paraId="3712051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退役军人服务站2024年度财政拨款收入、支出决算总计2,009,163.07元。与2023年度相比，财政拨款收、支总计各增加660,386.05元，增长48.962%，主要原因是机构改革，人员动态调整（调入8人，新入职1人），人员经费支出增加。</w:t>
      </w:r>
    </w:p>
    <w:p w14:paraId="34C6730E">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收入包括：一般公共预算财政拨款2,009,163.07元。</w:t>
      </w:r>
    </w:p>
    <w:p w14:paraId="16C4143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支出包括：社会保障和就业支出1,455,711.19元、卫生健康支出91,182.88元、住房保障支出462,269.00元。</w:t>
      </w:r>
    </w:p>
    <w:p w14:paraId="06AE0FEA">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14:paraId="1A10EEFC">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0C15DC2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退役军人服务站2024年度部门决算一般公共预算财政拨款支出合计2,009,163.07元，占本年支出合计的100.000%。与2023年度相比，一般公共预算财政拨款支出增加660,386.05元，增长48.962%，主要原因是机构改革，人员动态调整（调入8人，新入职1人），人员经费支出增加。</w:t>
      </w:r>
    </w:p>
    <w:p w14:paraId="7921ABB8">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7496291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2024年度一般公共预算财政拨款支出2,009,163.07元，主要用于以下方面：社会保障和就业支出（类）1,455,711.19元，占72.454%；卫生健康支出（类）91,182.88元，占4.538%；住房保障支出（类）462,269.00元，占23.008%。</w:t>
      </w:r>
    </w:p>
    <w:p w14:paraId="06F2D239">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2AD0236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2024年度一般公共预算财政拨款支出年初预算为1,227,600.00元，支出决算为2,009,163.07元，完成年初预算的163.666%。其中： </w:t>
      </w:r>
    </w:p>
    <w:p w14:paraId="31D45AB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社会保障和就业支出(类)行政事业单位养老支出(款)机关事业单位基本养老保险缴费支出(项)年初预算为84,100.00元，支出决算为136,730.24元，完成年初预算的162.581%，决算数大于年初预算数的主要原因是：机构改革，人员动态调整（调入8人，新入职1人），养老保险缴费支出增加。</w:t>
      </w:r>
    </w:p>
    <w:p w14:paraId="1CF1F3D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社会保障和就业支出(类)行政事业单位养老支出(款)机关事业单位职业年金缴费支出(项)年初预算为42,000.00元，支出决算为68,365.12元，完成年初预算的162.774%，决算数大于年初预算数的主要原因是：机构改革，人员动态调整（调入8人，新入职1人），职业年金缴费支出增加。</w:t>
      </w:r>
    </w:p>
    <w:p w14:paraId="3DFAAD5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社会保障和就业支出(类)退役安置(款)其他退役安置支出(项)年初预算为765,100.00元，支出决算为1,250,615.83元，完成年初预算的163.458%，决算数大于年初预算数的主要原因是：机构改革，人员动态调整（调入8人，新入职1人），人员基本工资等支出增加。</w:t>
      </w:r>
    </w:p>
    <w:p w14:paraId="52E0C10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4.​卫生健康支出(类)行政事业单位医疗(款)事业单位医疗(项)年初预算为58,500.00元，支出决算为91,182.88元，完成年初预算的155.868%，决算数大于年初预算数的主要原因是：机构改革，人员动态调整（调入8人，新入职1人），医疗保险缴费支出增加。</w:t>
      </w:r>
    </w:p>
    <w:p w14:paraId="37D3954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5.​住房保障支出(类)住房改革支出(款)住房公积金(项)年初预算为277,900.00元，支出决算为462,269.00元，完成年初预算的166.344%，决算数大于年初预算数的主要原因是：机构改革，人员动态调整（调入8人，新入职1人），住房公积金支出增加。</w:t>
      </w:r>
      <w:bookmarkStart w:id="0" w:name="_GoBack"/>
      <w:bookmarkEnd w:id="0"/>
    </w:p>
    <w:p w14:paraId="66782629">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14:paraId="440A020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退役军人服务站2024年度部门决算一般公共预算财政拨款基本支出合计2,009,163.07元，与2023年度相比增加660,386.05元，主要原因是机构改革，人员动态调整（调入8人，新入职1人），人员经费支出增加。其中：</w:t>
      </w:r>
    </w:p>
    <w:p w14:paraId="2026741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1,875,511.82元，主要包括基本工资、津贴补贴、绩效工资、机关事业单位基本养老保险缴费、职业年金缴费、职工基本医疗保险缴费、其他社会保障缴费、住房公积金、医疗费、其他工资福利支出、退休费、医疗费补助、奖励金和其他对个人和家庭的补助。</w:t>
      </w:r>
    </w:p>
    <w:p w14:paraId="77E8617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公用经费133,651.25元，主要包括办公费、电费、邮电费、培训费、工会经费、福利费、税金及附加费用和其他商品和服务支出。</w:t>
      </w:r>
    </w:p>
    <w:p w14:paraId="32C34326">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14:paraId="3A7E016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天津市东丽区军粮城街退役军人服务站2024年度无政府性基金预算财政拨款收入、支出和结转结余。</w:t>
      </w:r>
    </w:p>
    <w:p w14:paraId="26A0C952">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14:paraId="0CD4256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天津市东丽区军粮城街退役军人服务站2024年度无国有资本经营预算财政拨款收入、支出和结转结余。</w:t>
      </w:r>
    </w:p>
    <w:p w14:paraId="0F78211B">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14:paraId="50CABC2A">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1CCC7BF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0.00元，支出决算0.00元，与2024年预算相比持平；支出决算较上年持平；决算数与预算数持平的主要原因是本年未用财政拨款列支“三公”经费；决算数较上年持平的主要原因是本年未用财政拨款列支“三公”经费。</w:t>
      </w:r>
    </w:p>
    <w:p w14:paraId="1F274958">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14:paraId="27CD16D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未用财政拨款列支因公出国（境）费；决算数较上年持平的主要原因是本年未用财政拨款列支因公出国（境）费。</w:t>
      </w:r>
    </w:p>
    <w:p w14:paraId="126555C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14:paraId="09D55A0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0.00元，支出决算0.00元，与预算相比持平；支出决算较上年持平；决算数与预算数持平的主要原因是本年未用财政拨款列支公务用车购置及运行维护费；决算数较上年持平的主要原因是本年未用财政拨款列支公务用车购置及运行维护费。其中：</w:t>
      </w:r>
    </w:p>
    <w:p w14:paraId="4CAEA0A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0.00元，支出决算0.00元，与预算相比持平；支出决算较上年持平；决算数与预算数持平的主要原因是本年未用财政拨款列支公务用车运行维护费；决算数较上年持平的主要原因是本年未用财政拨款列支公务用车运行维护费。</w:t>
      </w:r>
    </w:p>
    <w:p w14:paraId="151D7DA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截至2024年12月31日，使用财政拨款开支运行维护费的公务用车保有量为0辆。</w:t>
      </w:r>
    </w:p>
    <w:p w14:paraId="394E8E2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未用财政拨款列支公务用车购置费；决算数较上年持平的主要原因是本年未用财政拨款列支公务用车购置费。</w:t>
      </w:r>
    </w:p>
    <w:p w14:paraId="5DCBEDA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2024年购置公务用车0辆。</w:t>
      </w:r>
    </w:p>
    <w:p w14:paraId="436F8BB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未用财政拨款列支公务接待费；决算数较上年持平的主要原因是本年未用财政拨款列支公务接待费。</w:t>
      </w:r>
    </w:p>
    <w:p w14:paraId="3B3AF16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14:paraId="6FC061C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14:paraId="5BCCDB1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天津市东丽区军粮城街退役军人服务站2024年度无机关运行经费。</w:t>
      </w:r>
    </w:p>
    <w:p w14:paraId="3B6047A4">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14:paraId="65DA541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天津市东丽区军粮城街退役军人服务站2024年度无政府采购支出。</w:t>
      </w:r>
    </w:p>
    <w:p w14:paraId="525047BD">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14:paraId="53F7B42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天津市东丽区军粮城街退役军人服务站2024年度无国有资产占有使用情况。</w:t>
      </w:r>
    </w:p>
    <w:p w14:paraId="0BBDB479">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14:paraId="1FE46979">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天津市东丽区军粮城街退役军人服务站2024年度没有项目支出，无需开展绩效自评。</w:t>
      </w:r>
    </w:p>
    <w:p w14:paraId="1355F2F0">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3552A41F">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天津市东丽区军粮城街退役军人服务站2024年度不涉及公开教育、医疗卫生、社会保障和就业、住房保障、涉农补贴等民生支出情况。</w:t>
      </w:r>
    </w:p>
    <w:p w14:paraId="6E3CC782">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14:paraId="63026F0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31B31BA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7D3D3BF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29B9755F-4AD2-4363-BCCA-C1982889A1D4}"/>
  </w:font>
  <w:font w:name="黑体">
    <w:panose1 w:val="02010609060101010101"/>
    <w:charset w:val="86"/>
    <w:family w:val="auto"/>
    <w:pitch w:val="default"/>
    <w:sig w:usb0="800002BF" w:usb1="38CF7CFA" w:usb2="00000016" w:usb3="00000000" w:csb0="00040001" w:csb1="00000000"/>
    <w:embedRegular r:id="rId2" w:fontKey="{38B0A8E1-9A0F-421E-812D-093018F89F3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embedRegular r:id="rId3" w:fontKey="{B532C329-8735-4862-96FC-9724293CBE6C}"/>
  </w:font>
  <w:font w:name="Calibri Light">
    <w:altName w:val="Calibri"/>
    <w:panose1 w:val="020F0302020204030204"/>
    <w:charset w:val="00"/>
    <w:family w:val="auto"/>
    <w:pitch w:val="default"/>
    <w:sig w:usb0="00000000" w:usb1="00000000"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Fz_S_BiaoSong_Jt">
    <w:altName w:val="Segoe Print"/>
    <w:panose1 w:val="00000000000000000000"/>
    <w:charset w:val="00"/>
    <w:family w:val="auto"/>
    <w:pitch w:val="default"/>
    <w:sig w:usb0="00000000" w:usb1="00000000" w:usb2="00000000" w:usb3="00000000" w:csb0="00000000" w:csb1="00000000"/>
    <w:embedRegular r:id="rId4" w:fontKey="{4DBDFEB4-D7F7-4740-A1B8-F3FA30380605}"/>
  </w:font>
  <w:font w:name="仿宋_GB2312">
    <w:altName w:val="仿宋"/>
    <w:panose1 w:val="00000000000000000000"/>
    <w:charset w:val="00"/>
    <w:family w:val="auto"/>
    <w:pitch w:val="default"/>
    <w:sig w:usb0="00000000" w:usb1="00000000" w:usb2="00000000" w:usb3="00000000" w:csb0="00000000" w:csb1="00000000"/>
    <w:embedRegular r:id="rId5" w:fontKey="{C98730C1-1203-4C90-8F71-20F2815FB0D3}"/>
  </w:font>
  <w:font w:name="宋体-简">
    <w:altName w:val="宋体"/>
    <w:panose1 w:val="02010800040101010101"/>
    <w:charset w:val="86"/>
    <w:family w:val="auto"/>
    <w:pitch w:val="default"/>
    <w:sig w:usb0="00000000" w:usb1="00000000" w:usb2="00000000" w:usb3="00000000" w:csb0="00040000" w:csb1="00000000"/>
    <w:embedRegular r:id="rId6" w:fontKey="{9AD88868-5A7C-4346-BA02-623BC6248244}"/>
  </w:font>
  <w:font w:name="楷体">
    <w:panose1 w:val="02010609060101010101"/>
    <w:charset w:val="86"/>
    <w:family w:val="auto"/>
    <w:pitch w:val="default"/>
    <w:sig w:usb0="800002BF" w:usb1="38CF7CFA" w:usb2="00000016" w:usb3="00000000" w:csb0="00040001" w:csb1="00000000"/>
    <w:embedRegular r:id="rId7" w:fontKey="{98B454FB-F149-4634-90A9-D3AAE4C5742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A72AA">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A72AA">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57BAF"/>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31</Pages>
  <Words>714</Words>
  <Characters>731</Characters>
  <Lines>86</Lines>
  <Paragraphs>24</Paragraphs>
  <TotalTime>13</TotalTime>
  <ScaleCrop>false</ScaleCrop>
  <LinksUpToDate>false</LinksUpToDate>
  <CharactersWithSpaces>751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j</cp:lastModifiedBy>
  <cp:lastPrinted>2023-08-07T01:00:00Z</cp:lastPrinted>
  <dcterms:modified xsi:type="dcterms:W3CDTF">2025-09-22T07:12:45Z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eyJoZGlkIjoiM2RhNzJhM2VlNWNiNDhhZDhkNmFiYzkxMDc5YTNhMTUifQ==</vt:lpwstr>
  </property>
</Properties>
</file>