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天津市东丽区交通运输综合行政执法支队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(一)贯彻实施国家和本市有关交通运输行政执法的方针政策、法律法规和规章，参与拟定本区涉及交通运输执法工作的规范性文件和政策。</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(二)负责全区公路(高速公路、外环线、天津大道除外)路政和道路运政行政执法，负责全区城市客运管理行政执法。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(三)负责全区水路运政、航道行政、港口行政、地方海事行政、内河船舶检验监督管理、渔船检验监督管理行政执法。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(四)负责全区公路工程(高速公路和普通国省干线除外)、水运工程(市级水运工程除外)建设市场及质量安全监督管理行政执法。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(五)负责辖区内铁路道口监督管理行政执法。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(六)负责提出区交通运输部门权责清单中有关行政检查、行政处罚、行政强制的具体权责事项。</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(七)组织协调交通运输领域重大复杂案件查处的行政执法工作。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(八)提出全区交通运输行政执法站点规划布局和设置的意见。</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(九)负责本区交通运输执法队伍标准化、规范化建设；负责组织交通运输行政执法宣传教育和人员培训等工作。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完成区交通运输管理局交办的其他工作。区交通运输综合行政执法支队要依法履行职权，完善执法程序，创新监管方式，规范执法行为，加强绩效考核，提升执法效能，促进严格规范公正文明执法。做到执法有保障、有权必有责、用权受监督、违法受追究。具体行政职权按照《区交通运输综合行政执法支队权责清单》执行。</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内设</w:t>
      </w:r>
      <w:r>
        <w:rPr>
          <w:rFonts w:ascii="Times New Roman" w:eastAsia="仿宋_GB2312"/>
          <w:b w:val="false"/>
          <w:sz w:val="30"/>
          <w:szCs w:val="30"/>
        </w:rPr>
        <w:t>8</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天津市东丽区交通运输综合行政执法支队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1,135,474.19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517,446.67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200.85</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7,391,968.46</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2,593,470.00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11,638,560.17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200.85</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11,638,560.17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11,638,560.17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11,638,560.17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11,638,359.32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200.85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1,135,474.19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1,135,474.19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1,135,474.19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1,135,474.19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756,983.45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756,983.45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378,490.74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378,490.74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517,446.67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517,446.67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517,446.67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517,446.67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517,446.67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517,446.67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交通运输支出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7,392,169.31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7,391,968.46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200.85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公路水路运输</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7,392,169.31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7,391,968.46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200.85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2140199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其他公路水路运输支出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7,392,169.31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7,391,968.46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200.85</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2,593,470.00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2,593,470.00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2,593,470.00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2,593,470.00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2,593,470.00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2,593,470.00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部门（单位）：天津市东丽区交通运输综合行政执法支队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11,638,560.17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11,638,560.17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11,638,359.32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200.85</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327201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天津市东丽区交通运输综合行政执法支队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11,638,560.17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11,638,560.17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11,638,359.32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200.85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11,038,083.32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600,276.00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1,135,474.19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1,135,474.19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1,135,474.19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1,135,474.19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756,983.45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756,983.45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378,490.74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378,490.74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517,446.67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517,446.67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517,446.67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517,446.67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517,446.67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517,446.67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交通运输支出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7,391,968.46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6,791,692.46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公路水路运输</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7,391,968.46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6,791,692.46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其他公路水路运输支出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7,391,968.46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6,791,692.46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2,593,470.00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2,593,470.00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2,593,470.00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2,593,470.00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2,593,470.00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2,593,470.00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1,135,474.19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1,135,474.19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517,446.67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517,446.67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7,391,968.46</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7,391,968.46</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2,593,470.00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2,593,470.00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11,638,359.32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天津市东丽区交通运输综合行政执法支队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11,638,359.32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11,038,083.32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10,254,652.82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783,430.50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600,276.00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1,135,474.19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1,135,474.19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1,135,474.19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1,135,474.19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1,135,474.19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1,135,474.19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756,983.45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756,983.45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756,983.45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378,490.74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378,490.74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378,490.74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517,446.67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交通运输支出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7,391,968.46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6,791,692.46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6,008,261.96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783,430.50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600,276.00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公路水路运输</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7,391,968.46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6,791,692.46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6,008,261.96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783,430.50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600,276.00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其他公路水路运输支出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7,391,968.46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6,791,692.46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6,008,261.96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783,430.50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600,276.00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2,593,470.00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10,196,924.11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783,430.50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2,220,470.00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134,641.50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1,111,898.40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2,565,821.80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7,923.70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756,983.45</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87,306.50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378,490.74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10,072.00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473,274.67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36,661.05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2,593,470.00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43,354.00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26,495.00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57,728.71</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4,854.80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106,154.80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84,147.00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51,935.91</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10,254,652.82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783,430.50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天津市东丽区交通运输综合行政执法支队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天津市东丽区交通运输综合行政执法支队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天津市东丽区交通运输综合行政执法支队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天津市东丽区交通运输综合行政执法支队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84,147.00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84,147.00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84,147.00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部门（单位）：天津市东丽区交通运输综合行政执法支队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600,276.00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600,276.00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交通运输支出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600,276.00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600,276.00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公路水路运输</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其他公路水路运输支出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600,276.00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2024年东丽区治理超载超限工作经费项目（治超检测点场地租赁）</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机场客运出租短程复载运行保障经费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295,076.00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295,076.00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2024年度收入、支出决算总计</w:t>
      </w:r>
      <w:r>
        <w:rPr>
          <w:rFonts w:ascii="Times New Roman" w:eastAsia="仿宋_GB2312"/>
          <w:b w:val="false"/>
          <w:sz w:val="30"/>
          <w:szCs w:val="30"/>
        </w:rPr>
        <w:t>11,638,560.17</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611,557.13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5.546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财政拨款项目支出收入、支出增加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一般公共预算财政拨款收入11,638,359.32元、其他收入200.85元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社会保障和就业支出1,135,474.19元、卫生健康支出517,446.67元、交通运输支出7,391,968.46元、住房保障支出2,593,470.00元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2024年度本年收入合计</w:t>
      </w:r>
      <w:r>
        <w:rPr>
          <w:rFonts w:ascii="Times New Roman" w:eastAsia="仿宋_GB2312"/>
          <w:b w:val="false"/>
          <w:sz w:val="30"/>
          <w:szCs w:val="30"/>
        </w:rPr>
        <w:t>11,638,560.17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664,431.73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新增机场客运出租短程复载运行保障经费项目及2024年东丽区治理超载超限工作经费（治超检测点场地租赁）项目，财政拨款项目支出收入增加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一般公共预算财政拨款收入11,638,359.32元，占99.998%；其他收入200.85元，占0.002%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2024年度本年支出合计</w:t>
      </w:r>
      <w:r>
        <w:rPr>
          <w:rFonts w:ascii="Times New Roman" w:eastAsia="仿宋_GB2312"/>
          <w:b w:val="false"/>
          <w:sz w:val="30"/>
          <w:szCs w:val="30"/>
        </w:rPr>
        <w:t>11,638,359.32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681,199.87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新增机场客运出租短程复载运行保障经费项目及2024年东丽区治理超载超限工作经费（治超检测点场地租赁）项目，财政拨款项目支出费用增加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基本支出11,038,083.32元，占94.842%；项目支出600,276.00元，占5.158%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2024年度财政拨款收入、支出决算总计</w:t>
      </w:r>
      <w:r>
        <w:rPr>
          <w:rFonts w:ascii="Times New Roman" w:eastAsia="仿宋_GB2312"/>
          <w:b w:val="false"/>
          <w:sz w:val="30"/>
          <w:szCs w:val="30"/>
        </w:rPr>
        <w:t>11,638,359.32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611,588.27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5.546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新增机场客运出租短程复载运行保障经费项目及2024年东丽区治理超载超限工作经费（治超检测点场地租赁）项目，财政拨款项目支出收入、支出增加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一般公共预算财政拨款11,638,359.32元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社会保障和就业支出1,135,474.19元、卫生健康支出517,446.67元、交通运输支出7,391,968.46元、住房保障支出2,593,470.00元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11,638,359.32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681,199.87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6.217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新增机场客运出租短程复载运行保障经费项目及2024年东丽区治理超载超限工作经费（治超检测点场地租赁）项目，财政拨款项目支出费用增加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11,638,359.32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社会保障和就业支出（类）1,135,474.19元，占9.756%；卫生健康支出（类）517,446.67元，占4.446%；交通运输支出（类）7,391,968.46元，占63.514%；住房保障支出（类）2,593,470.00元，占22.284%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11,151,300.00</w:t>
      </w:r>
      <w:r>
        <w:rPr>
          <w:rFonts w:ascii="Times New Roman" w:eastAsia="仿宋_GB2312"/>
          <w:b w:val="false"/>
          <w:sz w:val="30"/>
          <w:szCs w:val="30"/>
        </w:rPr>
        <w:t>元，支出决算为</w:t>
      </w:r>
      <w:r>
        <w:rPr>
          <w:rFonts w:ascii="Times New Roman" w:eastAsia="仿宋_GB2312"/>
          <w:b w:val="false"/>
          <w:sz w:val="30"/>
          <w:szCs w:val="30"/>
        </w:rPr>
        <w:t>11,638,359.32</w:t>
      </w:r>
      <w:r>
        <w:rPr>
          <w:rFonts w:ascii="Times New Roman" w:eastAsia="仿宋_GB2312"/>
          <w:b w:val="false"/>
          <w:sz w:val="30"/>
          <w:szCs w:val="30"/>
        </w:rPr>
        <w:t>元，完成年初预算的</w:t>
      </w:r>
      <w:r>
        <w:rPr>
          <w:rFonts w:ascii="Times New Roman" w:eastAsia="仿宋_GB2312"/>
          <w:b w:val="false"/>
          <w:sz w:val="30"/>
          <w:szCs w:val="30"/>
        </w:rPr>
        <w:t>104.368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750,300.00</w:t>
      </w:r>
      <w:r>
        <w:rPr>
          <w:rFonts w:ascii="Times New Roman" w:eastAsia="仿宋_GB2312"/>
          <w:b w:val="false"/>
          <w:sz w:val="30"/>
          <w:szCs w:val="30"/>
        </w:rPr>
        <w:t>元，支出决算为</w:t>
      </w:r>
      <w:r>
        <w:rPr>
          <w:rFonts w:ascii="Times New Roman" w:eastAsia="仿宋_GB2312"/>
          <w:b w:val="false"/>
          <w:sz w:val="30"/>
          <w:szCs w:val="30"/>
        </w:rPr>
        <w:t>756,983.45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100.891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调增在职人员基本养老保险缴费支出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375,100.00</w:t>
      </w:r>
      <w:r>
        <w:rPr>
          <w:rFonts w:ascii="Times New Roman" w:eastAsia="仿宋_GB2312"/>
          <w:b w:val="false"/>
          <w:sz w:val="30"/>
          <w:szCs w:val="30"/>
        </w:rPr>
        <w:t>元，支出决算为</w:t>
      </w:r>
      <w:r>
        <w:rPr>
          <w:rFonts w:ascii="Times New Roman" w:eastAsia="仿宋_GB2312"/>
          <w:b w:val="false"/>
          <w:sz w:val="30"/>
          <w:szCs w:val="30"/>
        </w:rPr>
        <w:t>378,490.74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100.904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调增在职人员职业年金缴费支出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515,300.00</w:t>
      </w:r>
      <w:r>
        <w:rPr>
          <w:rFonts w:ascii="Times New Roman" w:eastAsia="仿宋_GB2312"/>
          <w:b w:val="false"/>
          <w:sz w:val="30"/>
          <w:szCs w:val="30"/>
        </w:rPr>
        <w:t>元，支出决算为</w:t>
      </w:r>
      <w:r>
        <w:rPr>
          <w:rFonts w:ascii="Times New Roman" w:eastAsia="仿宋_GB2312"/>
          <w:b w:val="false"/>
          <w:sz w:val="30"/>
          <w:szCs w:val="30"/>
        </w:rPr>
        <w:t>517,446.67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100.417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调增在职人员事业单位医疗支出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交通运输支出</w:t>
      </w:r>
      <w:r>
        <w:rPr>
          <w:rFonts w:ascii="Times New Roman" w:eastAsia="仿宋_GB2312"/>
          <w:b w:val="false"/>
          <w:sz w:val="30"/>
          <w:szCs w:val="30"/>
        </w:rPr>
        <w:t>(类)</w:t>
      </w:r>
      <w:r>
        <w:rPr>
          <w:rFonts w:ascii="Times New Roman" w:eastAsia="仿宋_GB2312"/>
          <w:b w:val="false"/>
          <w:sz w:val="30"/>
          <w:szCs w:val="30"/>
        </w:rPr>
        <w:t>公路水路运输</w:t>
      </w:r>
      <w:r>
        <w:rPr>
          <w:rFonts w:ascii="Times New Roman" w:eastAsia="仿宋_GB2312"/>
          <w:b w:val="false"/>
          <w:sz w:val="30"/>
          <w:szCs w:val="30"/>
        </w:rPr>
        <w:t>(款)</w:t>
      </w:r>
      <w:r>
        <w:rPr>
          <w:rFonts w:ascii="Times New Roman" w:eastAsia="仿宋_GB2312"/>
          <w:b w:val="false"/>
          <w:sz w:val="30"/>
          <w:szCs w:val="30"/>
        </w:rPr>
        <w:t>其他公路水路运输支出</w:t>
      </w:r>
      <w:r>
        <w:rPr>
          <w:rFonts w:ascii="Times New Roman" w:eastAsia="仿宋_GB2312"/>
          <w:b w:val="false"/>
          <w:sz w:val="30"/>
          <w:szCs w:val="30"/>
        </w:rPr>
        <w:t>(项)年初预算为</w:t>
      </w:r>
      <w:r>
        <w:rPr>
          <w:rFonts w:ascii="Times New Roman" w:eastAsia="仿宋_GB2312"/>
          <w:b w:val="false"/>
          <w:sz w:val="30"/>
          <w:szCs w:val="30"/>
        </w:rPr>
        <w:t>6,922,000.00</w:t>
      </w:r>
      <w:r>
        <w:rPr>
          <w:rFonts w:ascii="Times New Roman" w:eastAsia="仿宋_GB2312"/>
          <w:b w:val="false"/>
          <w:sz w:val="30"/>
          <w:szCs w:val="30"/>
        </w:rPr>
        <w:t>元，支出决算为</w:t>
      </w:r>
      <w:r>
        <w:rPr>
          <w:rFonts w:ascii="Times New Roman" w:eastAsia="仿宋_GB2312"/>
          <w:b w:val="false"/>
          <w:sz w:val="30"/>
          <w:szCs w:val="30"/>
        </w:rPr>
        <w:t>7,391,968.46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106.789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调增项目支出预算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2,588,600.00</w:t>
      </w:r>
      <w:r>
        <w:rPr>
          <w:rFonts w:ascii="Times New Roman" w:eastAsia="仿宋_GB2312"/>
          <w:b w:val="false"/>
          <w:sz w:val="30"/>
          <w:szCs w:val="30"/>
        </w:rPr>
        <w:t>元，支出决算为</w:t>
      </w:r>
      <w:r>
        <w:rPr>
          <w:rFonts w:ascii="Times New Roman" w:eastAsia="仿宋_GB2312"/>
          <w:b w:val="false"/>
          <w:sz w:val="30"/>
          <w:szCs w:val="30"/>
        </w:rPr>
        <w:t>2,593,470.00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100.188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调增在职人员住房公积金支出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11,038,083.32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234,385.14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在职人员晋升薪级工资</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10,254,652.82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783,430.50</w:t>
      </w:r>
      <w:r>
        <w:rPr>
          <w:rFonts w:ascii="Times New Roman" w:eastAsia="仿宋_GB2312"/>
          <w:b w:val="false"/>
          <w:sz w:val="30"/>
          <w:szCs w:val="30"/>
        </w:rPr>
        <w:t>元，主要包括</w:t>
      </w:r>
      <w:r>
        <w:rPr>
          <w:rFonts w:ascii="Times New Roman" w:eastAsia="仿宋_GB2312"/>
          <w:b w:val="false"/>
          <w:sz w:val="30"/>
          <w:szCs w:val="30"/>
        </w:rPr>
        <w:t>办公费、手续费、水费、电费、邮电费、差旅费、维修(护)费、培训费、工会经费、福利费、公务用车运行维护费、其他交通费用和其他商品和服务支出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84,147.00</w:t>
      </w:r>
      <w:r>
        <w:rPr>
          <w:rFonts w:ascii="Times New Roman" w:eastAsia="仿宋_GB2312"/>
          <w:b w:val="false"/>
          <w:sz w:val="30"/>
          <w:szCs w:val="30"/>
        </w:rPr>
        <w:t>元，支出决算</w:t>
      </w:r>
      <w:r>
        <w:rPr>
          <w:rFonts w:ascii="Times New Roman" w:eastAsia="仿宋_GB2312"/>
          <w:b w:val="false"/>
          <w:sz w:val="30"/>
          <w:szCs w:val="30"/>
        </w:rPr>
        <w:t>84,147.00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18,000.00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17.622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严格贯彻过“紧日子”的相关要求，压降“三公”经费支出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84,147.00</w:t>
      </w:r>
      <w:r>
        <w:rPr>
          <w:rFonts w:ascii="Times New Roman" w:eastAsia="仿宋_GB2312"/>
          <w:b w:val="false"/>
          <w:sz w:val="30"/>
          <w:szCs w:val="30"/>
        </w:rPr>
        <w:t>元，支出决算</w:t>
      </w:r>
      <w:r>
        <w:rPr>
          <w:rFonts w:ascii="Times New Roman" w:eastAsia="仿宋_GB2312"/>
          <w:b w:val="false"/>
          <w:sz w:val="30"/>
          <w:szCs w:val="30"/>
        </w:rPr>
        <w:t>84,147.00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18,000.00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17.622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严格贯彻过“紧日子”的相关要求，压降“三公”经费支出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84,147.00</w:t>
      </w:r>
      <w:r>
        <w:rPr>
          <w:rFonts w:ascii="Times New Roman" w:eastAsia="仿宋_GB2312"/>
          <w:b w:val="false"/>
          <w:sz w:val="30"/>
          <w:szCs w:val="30"/>
        </w:rPr>
        <w:t>元，支出决算</w:t>
      </w:r>
      <w:r>
        <w:rPr>
          <w:rFonts w:ascii="Times New Roman" w:eastAsia="仿宋_GB2312"/>
          <w:b w:val="false"/>
          <w:sz w:val="30"/>
          <w:szCs w:val="30"/>
        </w:rPr>
        <w:t>84,147.00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18,000.00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17.622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严格贯彻过“紧日子”的相关要求，压降“三公”经费支出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天津市东丽区交通运输综合行政执法支队</w:t>
      </w:r>
      <w:r>
        <w:rPr>
          <w:rFonts w:ascii="Times New Roman" w:eastAsia="仿宋_GB2312"/>
          <w:b w:val="false"/>
          <w:sz w:val="30"/>
          <w:szCs w:val="30"/>
        </w:rPr>
        <w:t>共有车辆</w:t>
      </w:r>
      <w:r>
        <w:rPr>
          <w:rFonts w:ascii="Times New Roman" w:eastAsia="仿宋_GB2312"/>
          <w:b w:val="false"/>
          <w:sz w:val="30"/>
          <w:szCs w:val="30"/>
        </w:rPr>
        <w:t>10</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3</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根据预算绩效管理要求，天津市东丽区交通运输综合行政执法支队2024年度已对2个项目开展绩效自评，涉及金额600276元，自评结果已随部门决算一并公开。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天津市东丽区交通运输综合行政执法支队不属于乡、镇、街级单位，不涉及公开2024年度教育、医疗卫生、社会保障和就业、住房保障、涉农补贴等民生支出情况。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