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天津市四合庄中学</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（一）贯彻执行国家和本市有关教育工作的法律、法规、规章和方针政策，拟定本校教育发展战略、发展规划和年度计划，并组织实施。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（二）结合上级有关部门研究教育系统改革发展的重大问题，并对本校有关决策实施过程进行有效监督，负责指导本校教育改革和发展的理论研究、教育教学研究工作。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依据上级有关部门要求制定本校招生计划，组织本校招生工作。合理管理教学工作，继续执行全员育人制度，全校老师都设有育人岗位，强化“校长、分管副校长、德育处、班主任”的四级德育管理网络，增强德育管理实效性。因地制宜，开展丰富多彩的活动。</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（四）切实加强基层党组织建设，以五好党支部建设为抓手，着力打造干部队伍、党员队伍、教师队伍。</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认真落实国家体质健康标准，落实阳光体育活动，保证开足开齐体育课程，保证学生每天活动一小时，召开趣味运动会和三跳比赛，提高学生的运动意识和身体素质。在上级部门的正确领导下，在班子成员通力合作下，在全体教师的共同努力下，比较圆满地完成了本年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（六）完成上级主管部门交办的工作和任务。主要职责实施初中义务教育、高中教育，促进基础教育发展，履行初中、高中学历教育。</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内设</w:t>
      </w:r>
      <w:r>
        <w:rPr>
          <w:rFonts w:ascii="Times New Roman" w:eastAsia="仿宋_GB2312"/>
          <w:b w:val="false"/>
          <w:sz w:val="30"/>
          <w:szCs w:val="30"/>
        </w:rPr>
        <w:t>5</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天津市四合庄中学</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天津市四合庄中学</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部门（单位）：天津市四合庄中学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37,213,840.48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32,626,761.98</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4,009,757.76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1,829,431.04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1,241,050.52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38,454,891.00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38,465,950.78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13,936.91</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2,877.13</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38,468,827.91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38,468,827.91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部门（单位）：天津市四合庄中学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38,454,891.00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37,213,840.48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1,241,050.52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32,615,702.20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31,374,651.68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1,241,050.52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32,609,702.20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31,368,651.68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1,241,050.52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9,304,079.47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9,304,079.47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高中教育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23,305,622.73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22,064,572.21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1,241,050.52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4,009,757.76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4,009,757.76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4,009,757.76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4,009,757.76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2,673,171.84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2,673,171.84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1,336,585.92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1,336,585.92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1,829,431.04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1,829,431.04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1,829,431.04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1,829,431.04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1,829,431.04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1,829,431.04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部门（单位）：天津市四合庄中学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38,468,827.91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38,454,891.00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37,213,840.48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1,241,050.52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13,936.91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13,936.91</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13,936.91</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330262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天津市四合庄中学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38,468,827.91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38,454,891.00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37,213,840.48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1,241,050.52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13,936.91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13,936.91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13,936.91</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部门（单位）：天津市四合庄中学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38,465,950.78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35,507,755.78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2,958,195.00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32,626,761.98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29,668,566.98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2,958,195.00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32,620,761.98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29,668,566.98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2,952,195.00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9,304,079.47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8,249,856.47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1,054,223.00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23,316,682.51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21,418,710.51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1,897,972.00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4,009,757.76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4,009,757.76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4,009,757.76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4,009,757.76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2,673,171.84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2,673,171.84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1,336,585.92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1,336,585.92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1,829,431.04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1,829,431.04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1,829,431.04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1,829,431.04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1,829,431.04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1,829,431.04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部门（单位）：天津市四合庄中学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37,213,840.48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31,374,651.68</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31,374,651.68</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4,009,757.76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4,009,757.76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1,829,431.04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1,829,431.04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37,213,840.48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37,213,840.48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37,213,840.48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37,213,840.48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37,213,840.48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37,213,840.48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天津市四合庄中学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37,213,840.48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34,255,645.48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32,934,502.61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1,321,142.87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2,958,195.00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31,374,651.68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28,416,456.68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27,095,313.81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1,321,142.87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2,958,195.00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31,368,651.68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28,416,456.68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27,095,313.81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1,321,142.87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2,952,195.00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9,304,079.47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8,249,856.47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7,809,161.55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440,694.92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1,054,223.00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高中教育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22,064,572.21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20,166,600.21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19,286,152.26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880,447.95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1,897,972.00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4,009,757.76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4,009,757.76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4,009,757.76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4,009,757.76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4,009,757.76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4,009,757.76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2,673,171.84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2,673,171.84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2,673,171.84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1,336,585.92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1,336,585.92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1,336,585.92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1,829,431.04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部门（单位）：天津市四合庄中学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32,005,316.21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1,270,742.87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7,087,745.60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39,295.11</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2,769,025.20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50,400.00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8,335,765.50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9,429.45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2,673,171.84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227,278.03</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1,336,585.92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4,095.40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1,670,739.04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134,011.11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7,891,932.00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106,340.00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929,186.40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9,080.00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701,190.90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9,150.00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50,400.00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3,340.00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108,434.21</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52,352.00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300,070.87</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171,138.50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364,829.30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32,934,502.61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1,321,142.87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天津市四合庄中学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天津市四合庄中学</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天津市四合庄中学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天津市四合庄中学</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部门（单位）：天津市四合庄中学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天津市四合庄中学</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部门（单位）：天津市四合庄中学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2,958,195.00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2,958,195.00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2,958,195.00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2,958,195.00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2,952,195.00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2,952,195.00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1,054,223.00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1,054,223.00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2024年抚恤金第七批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40,772.00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40,772.00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7,056.00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882,295.00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882,295.00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1,897,972.00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1,897,972.00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提前下达2023年学生资助补助经费（直达资金）-津财教指【2022】122号-01直达资金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677,120.00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677,120.00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44,472.00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44,472.00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2024年学生资助政策体系（高中免学杂费）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6,174.00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367,560.00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367,560.00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提前下达2024年学生资助补助经费（直达资金）-津财教指【2023】117号-01直达资金-高中免学杂费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提前下达2024年城乡义务教育补助经费直达资金预算-津财教指【2023】119号-01直达资金-义务教育阶段特殊教育学校和随班就读学生生均公用经费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2024年度收入、支出决算总计</w:t>
      </w:r>
      <w:r>
        <w:rPr>
          <w:rFonts w:ascii="Times New Roman" w:eastAsia="仿宋_GB2312"/>
          <w:b w:val="false"/>
          <w:sz w:val="30"/>
          <w:szCs w:val="30"/>
        </w:rPr>
        <w:t>38,468,827.91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3,736,669.17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8.854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人员经费减少，人员动态调整（退休5人，调出5人，调入1人）,2024年考评绩效标准下调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一般公共预算财政拨款收入37,213,840.48元、其他收入1,241,050.52元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教育支出32,626,761.98元、社会保障和就业支出4,009,757.76元、卫生健康支出1,829,431.04元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2024年度本年收入合计</w:t>
      </w:r>
      <w:r>
        <w:rPr>
          <w:rFonts w:ascii="Times New Roman" w:eastAsia="仿宋_GB2312"/>
          <w:b w:val="false"/>
          <w:sz w:val="30"/>
          <w:szCs w:val="30"/>
        </w:rPr>
        <w:t>38,454,891.00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3,681,340.96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人员经费减少，人员动态调整（退休5人，调出5人，调入1人）,2024年考评绩效标准下调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一般公共预算财政拨款收入37,213,840.48元，占96.773%；其他收入1,241,050.52元，占3.227%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2024年度本年支出合计</w:t>
      </w:r>
      <w:r>
        <w:rPr>
          <w:rFonts w:ascii="Times New Roman" w:eastAsia="仿宋_GB2312"/>
          <w:b w:val="false"/>
          <w:sz w:val="30"/>
          <w:szCs w:val="30"/>
        </w:rPr>
        <w:t>38,465,950.78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3,739,546.30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人员经费减少，人员动态调整（退休5人，调出5人，调入1人）,2024年考评绩效标准下调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基本支出35,507,755.78元，占92.310%；项目支出2,958,195.00元，占7.690%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2024年度财政拨款收入、支出决算总计</w:t>
      </w:r>
      <w:r>
        <w:rPr>
          <w:rFonts w:ascii="Times New Roman" w:eastAsia="仿宋_GB2312"/>
          <w:b w:val="false"/>
          <w:sz w:val="30"/>
          <w:szCs w:val="30"/>
        </w:rPr>
        <w:t>37,213,840.48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3,369,883.01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8.304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人员经费减少，人员动态调整（退休5人，调出5人，调入1人）,2024年考评绩效标准下调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一般公共预算财政拨款37,213,840.48元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教育支出31,374,651.68元、社会保障和就业支出4,009,757.76元、卫生健康支出1,829,431.04元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37,213,840.48</w:t>
      </w:r>
      <w:r>
        <w:rPr>
          <w:rFonts w:ascii="Times New Roman" w:eastAsia="仿宋_GB2312"/>
          <w:b w:val="false"/>
          <w:sz w:val="30"/>
          <w:szCs w:val="30"/>
        </w:rPr>
        <w:t>元，占本年支出合计的</w:t>
      </w:r>
      <w:r>
        <w:rPr>
          <w:rFonts w:ascii="Times New Roman" w:eastAsia="仿宋_GB2312"/>
          <w:b w:val="false"/>
          <w:sz w:val="30"/>
          <w:szCs w:val="30"/>
        </w:rPr>
        <w:t>96.745</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3,369,883.01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8.304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人员经费减少，人员动态调整（退休5人，调出5人，调入1人）,2024年考评绩效标准下调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37,213,840.48</w:t>
      </w:r>
      <w:r>
        <w:rPr>
          <w:rFonts w:ascii="Times New Roman" w:eastAsia="仿宋_GB2312"/>
          <w:b w:val="false"/>
          <w:sz w:val="30"/>
          <w:szCs w:val="30"/>
        </w:rPr>
        <w:t>元，主要用于以下方面：</w:t>
      </w:r>
      <w:r>
        <w:rPr>
          <w:rFonts w:ascii="Times New Roman" w:eastAsia="仿宋_GB2312"/>
          <w:b w:val="false"/>
          <w:sz w:val="30"/>
          <w:szCs w:val="30"/>
        </w:rPr>
        <w:t>教育支出（类）31,374,651.68元，占84.309%；社会保障和就业支出（类）4,009,757.76元，占10.775%；卫生健康支出（类）1,829,431.04元，占4.916%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35,791,200.00</w:t>
      </w:r>
      <w:r>
        <w:rPr>
          <w:rFonts w:ascii="Times New Roman" w:eastAsia="仿宋_GB2312"/>
          <w:b w:val="false"/>
          <w:sz w:val="30"/>
          <w:szCs w:val="30"/>
        </w:rPr>
        <w:t>元，支出决算为</w:t>
      </w:r>
      <w:r>
        <w:rPr>
          <w:rFonts w:ascii="Times New Roman" w:eastAsia="仿宋_GB2312"/>
          <w:b w:val="false"/>
          <w:sz w:val="30"/>
          <w:szCs w:val="30"/>
        </w:rPr>
        <w:t>37,213,840.48</w:t>
      </w:r>
      <w:r>
        <w:rPr>
          <w:rFonts w:ascii="Times New Roman" w:eastAsia="仿宋_GB2312"/>
          <w:b w:val="false"/>
          <w:sz w:val="30"/>
          <w:szCs w:val="30"/>
        </w:rPr>
        <w:t>元，完成年初预算的</w:t>
      </w:r>
      <w:r>
        <w:rPr>
          <w:rFonts w:ascii="Times New Roman" w:eastAsia="仿宋_GB2312"/>
          <w:b w:val="false"/>
          <w:sz w:val="30"/>
          <w:szCs w:val="30"/>
        </w:rPr>
        <w:t>103.975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8,566,400.00</w:t>
      </w:r>
      <w:r>
        <w:rPr>
          <w:rFonts w:ascii="Times New Roman" w:eastAsia="仿宋_GB2312"/>
          <w:b w:val="false"/>
          <w:sz w:val="30"/>
          <w:szCs w:val="30"/>
        </w:rPr>
        <w:t>元，支出决算为</w:t>
      </w:r>
      <w:r>
        <w:rPr>
          <w:rFonts w:ascii="Times New Roman" w:eastAsia="仿宋_GB2312"/>
          <w:b w:val="false"/>
          <w:sz w:val="30"/>
          <w:szCs w:val="30"/>
        </w:rPr>
        <w:t>9,304,079.47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108.611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本年年中追加了2024年城乡义务教育补助经费直达资金预算项目、抚恤金项目等经费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高中教育</w:t>
      </w:r>
      <w:r>
        <w:rPr>
          <w:rFonts w:ascii="Times New Roman" w:eastAsia="仿宋_GB2312"/>
          <w:b w:val="false"/>
          <w:sz w:val="30"/>
          <w:szCs w:val="30"/>
        </w:rPr>
        <w:t>(项)年初预算为</w:t>
      </w:r>
      <w:r>
        <w:rPr>
          <w:rFonts w:ascii="Times New Roman" w:eastAsia="仿宋_GB2312"/>
          <w:b w:val="false"/>
          <w:sz w:val="30"/>
          <w:szCs w:val="30"/>
        </w:rPr>
        <w:t>21,087,300.00</w:t>
      </w:r>
      <w:r>
        <w:rPr>
          <w:rFonts w:ascii="Times New Roman" w:eastAsia="仿宋_GB2312"/>
          <w:b w:val="false"/>
          <w:sz w:val="30"/>
          <w:szCs w:val="30"/>
        </w:rPr>
        <w:t>元，支出决算为</w:t>
      </w:r>
      <w:r>
        <w:rPr>
          <w:rFonts w:ascii="Times New Roman" w:eastAsia="仿宋_GB2312"/>
          <w:b w:val="false"/>
          <w:sz w:val="30"/>
          <w:szCs w:val="30"/>
        </w:rPr>
        <w:t>22,064,572.21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104.634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本年年中追加了2024年校园安全运行保障项目等经费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2024年中追加了义务教育阶段特殊教育学校和随班就读学生生均公用经费项目经费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2,809,900.00</w:t>
      </w:r>
      <w:r>
        <w:rPr>
          <w:rFonts w:ascii="Times New Roman" w:eastAsia="仿宋_GB2312"/>
          <w:b w:val="false"/>
          <w:sz w:val="30"/>
          <w:szCs w:val="30"/>
        </w:rPr>
        <w:t>元，支出决算为</w:t>
      </w:r>
      <w:r>
        <w:rPr>
          <w:rFonts w:ascii="Times New Roman" w:eastAsia="仿宋_GB2312"/>
          <w:b w:val="false"/>
          <w:sz w:val="30"/>
          <w:szCs w:val="30"/>
        </w:rPr>
        <w:t>2,673,171.84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95.134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人员经费减少，人员动态调整（退休5人，调出5人，调入1人）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1,405,000.00</w:t>
      </w:r>
      <w:r>
        <w:rPr>
          <w:rFonts w:ascii="Times New Roman" w:eastAsia="仿宋_GB2312"/>
          <w:b w:val="false"/>
          <w:sz w:val="30"/>
          <w:szCs w:val="30"/>
        </w:rPr>
        <w:t>元，支出决算为</w:t>
      </w:r>
      <w:r>
        <w:rPr>
          <w:rFonts w:ascii="Times New Roman" w:eastAsia="仿宋_GB2312"/>
          <w:b w:val="false"/>
          <w:sz w:val="30"/>
          <w:szCs w:val="30"/>
        </w:rPr>
        <w:t>1,336,585.92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95.131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人员经费减少，人员动态调整（退休5人，调出5人，调入1人）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1,922,600.00</w:t>
      </w:r>
      <w:r>
        <w:rPr>
          <w:rFonts w:ascii="Times New Roman" w:eastAsia="仿宋_GB2312"/>
          <w:b w:val="false"/>
          <w:sz w:val="30"/>
          <w:szCs w:val="30"/>
        </w:rPr>
        <w:t>元，支出决算为</w:t>
      </w:r>
      <w:r>
        <w:rPr>
          <w:rFonts w:ascii="Times New Roman" w:eastAsia="仿宋_GB2312"/>
          <w:b w:val="false"/>
          <w:sz w:val="30"/>
          <w:szCs w:val="30"/>
        </w:rPr>
        <w:t>1,829,431.04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95.154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人员经费减少，人员动态调整（退休5人，调出5人，调入1人）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34,255,645.48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5,231,039.26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人员经费减少，人员动态调整（退休5人，调出5人，调入1人）;2024年响应政府过紧日子号召，厉行节约，压减经费支出；2024年取暖费安排在项目支出；2024年考评绩效标准下调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32,934,502.61</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1,321,142.87</w:t>
      </w:r>
      <w:r>
        <w:rPr>
          <w:rFonts w:ascii="Times New Roman" w:eastAsia="仿宋_GB2312"/>
          <w:b w:val="false"/>
          <w:sz w:val="30"/>
          <w:szCs w:val="30"/>
        </w:rPr>
        <w:t>元，主要包括</w:t>
      </w:r>
      <w:r>
        <w:rPr>
          <w:rFonts w:ascii="Times New Roman" w:eastAsia="仿宋_GB2312"/>
          <w:b w:val="false"/>
          <w:sz w:val="30"/>
          <w:szCs w:val="30"/>
        </w:rPr>
        <w:t>办公费、咨询费、手续费、水费、电费、邮电费、培训费、专用材料费、劳务费、工会经费、福利费、其他商品和服务支出和其他资本性支出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w:t>
      </w:r>
      <w:r>
        <w:rPr>
          <w:rFonts w:ascii="Times New Roman" w:eastAsia="仿宋_GB2312"/>
          <w:b w:val="false"/>
          <w:sz w:val="30"/>
          <w:szCs w:val="30"/>
        </w:rPr>
        <w:t>2024年政府采购支出总额</w:t>
      </w:r>
      <w:r>
        <w:rPr>
          <w:rFonts w:ascii="Times New Roman" w:eastAsia="仿宋_GB2312"/>
          <w:b w:val="false"/>
          <w:sz w:val="30"/>
          <w:szCs w:val="30"/>
        </w:rPr>
        <w:t>639,996.00</w:t>
      </w:r>
      <w:r>
        <w:rPr>
          <w:rFonts w:ascii="Times New Roman" w:eastAsia="仿宋_GB2312"/>
          <w:b w:val="false"/>
          <w:sz w:val="30"/>
          <w:szCs w:val="30"/>
        </w:rPr>
        <w:t>元，其中：政府采购货物支出</w:t>
      </w:r>
      <w:r>
        <w:rPr>
          <w:rFonts w:ascii="Times New Roman" w:eastAsia="仿宋_GB2312"/>
          <w:b w:val="false"/>
          <w:sz w:val="30"/>
          <w:szCs w:val="30"/>
        </w:rPr>
        <w:t>9,996.00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630,000.00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639,996.00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639,996.00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天津市四合庄中学</w:t>
      </w:r>
      <w:r>
        <w:rPr>
          <w:rFonts w:ascii="Times New Roman" w:eastAsia="仿宋_GB2312"/>
          <w:b w:val="false"/>
          <w:sz w:val="30"/>
          <w:szCs w:val="30"/>
        </w:rPr>
        <w:t>共有车辆</w:t>
      </w:r>
      <w:r>
        <w:rPr>
          <w:rFonts w:ascii="Times New Roman" w:eastAsia="仿宋_GB2312"/>
          <w:b w:val="false"/>
          <w:sz w:val="30"/>
          <w:szCs w:val="30"/>
        </w:rPr>
        <w:t>2</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正在办理公务车减少手续的2辆车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根据预算绩效管理要求，天津市四合庄中学已对13个2024年度项目开展绩效自评，涉及金额2,958,699.00元，自评结果已随部门决算一并公开。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天津市四合庄中学不属于乡、镇、街级单位，不涉及公开2024年度教育、医疗卫生、社会保障和就业、住房保障、涉农补贴等民生支出情况。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