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4224312C">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天津市第一百中学</w:t>
      </w:r>
    </w:p>
    <w:p w14:paraId="30BFBEC3">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27367995">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0D97656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5221C8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55AA41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3C40880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66DA6F5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E379C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396A7FE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F9AF64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6170B7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81B1F4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E7AB6D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5CC12D7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051B8D4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3C36DE1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5ACFD8C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7CBCC8B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20B8F75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5A9FF7C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6153FF0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7D4F36B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3161C7C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428F2FD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3B55E0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7744F3F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738F681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6414634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0B649A6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7777C82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189C51F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5085A7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3FFD5564">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2B615227">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5823F8A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383F3F37">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BC318D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一）适应现代教育发展需要，贯彻国家教育方针，深化教育改革，保障学校依法自主管理，全面提高办学品质，提高东丽区高中教育的水平，满足东丽区居民子女享受高中教育的需要，为东丽区学生提供优质的高级中学教育。</w:t>
      </w:r>
    </w:p>
    <w:p w14:paraId="3C0C9B2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（二）指导、管理、检查、评价本校的教育教学工作，提高办学质量和办学效益。按照教育课程计划，开齐课程，开足课时，认真实施中小学的教育教学管理，全面推进素质教育，全面提高教育教学质量。</w:t>
      </w:r>
    </w:p>
    <w:p w14:paraId="76BE867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（三）学校加强以树立社会主义民主法治、自由平等、公平正义理念为目标的公民意识教育，积极引导学生理解并正确地行使权利，依法维护自身合法权益，并尊重他人权利，履行相应义务，增强社会责任感。</w:t>
      </w:r>
    </w:p>
    <w:p w14:paraId="3239C962">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四）完成学生高中阶段三年的学历教育，使学生树立正确的人生观、价值观，树立远大的理想，传授给学生科学文化知识，指导学生学习方法，养成良好的学习习惯，使学生能够健康成长，努力将学生培养成为有理想、有文化、有道德的合格的高中毕业生。为高等学校输送大批优秀学生，为社会培养合格的建设者。</w:t>
      </w:r>
    </w:p>
    <w:p w14:paraId="2EDB6849">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3BF134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天津市第一百中学内设9个职能部门；下辖0个预算单位。纳入天津市第一百中学2024年度部门决算编制范围的单位包括：</w:t>
      </w:r>
    </w:p>
    <w:p w14:paraId="47BCCD25">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1.​天津市第一百中学</w:t>
      </w:r>
    </w:p>
    <w:p w14:paraId="5120A250">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0E88513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部门（单位）：天津市第一百中学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58,252,590.98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53,658,765.07</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6,617,486.14</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5,879,799.56</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64,132,390.54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63,270,761.04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122,864.19</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5,701,172.95</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6,685,666.64</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5,701,172.95</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69,956,427.68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69,956,427.68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部门（单位）：天津市第一百中学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64,132,390.54</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58,252,590.98</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5,879,799.56</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54,520,394.57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48,640,595.01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5,879,799.56</w:t>
            </w:r>
          </w:p>
        </w:tc>
      </w:tr>
      <w:tr w14:paraId="60B7E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7F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E80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普通教育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8B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54,520,394.57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8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48,640,595.01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191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C9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D33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6C0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31E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D55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5,879,799.56</w:t>
            </w:r>
          </w:p>
        </w:tc>
      </w:tr>
      <w:tr w14:paraId="07AD3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6F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8DC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高中教育</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39B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54,415,394.57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13E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48,535,595.01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3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D8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0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30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AE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8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5,879,799.56</w:t>
            </w:r>
          </w:p>
        </w:tc>
      </w:tr>
      <w:tr w14:paraId="6FC1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D59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2050299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B71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其他普通教育支出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680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105,000.00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B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105,000.00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8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E4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262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36E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55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C67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299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40D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A81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3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6,617,486.14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EE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6,617,486.14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C4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D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9D3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5E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F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9F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9D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20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2D8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37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6,617,486.14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5D8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6,617,486.14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B29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B5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04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88D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143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F0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11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954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31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4DE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4,411,663.02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FFC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4,411,663.02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6F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1B2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46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577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F42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85C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AC4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3A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7F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2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2,205,823.12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FE5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2,205,823.12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E99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31C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25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A9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175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F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6D1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06B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A6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683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2,994,509.83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06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2,994,509.83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D3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92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5D1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3AE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65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AC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7AF3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DC8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A2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81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2,994,509.83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17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2,994,509.83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EE7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1F8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D21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05B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2B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8F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49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2D8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ADC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8E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2,994,509.83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6D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2,994,509.83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9A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F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FC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F8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A4E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1A7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部门（单位）：天津市第一百中学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69,956,427.68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64,132,390.54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58,252,590.98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5,879,799.56</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5,824,037.14</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5,824,037.14</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5,824,037.14</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330277</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天津市第一百中学</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69,956,427.68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64,132,390.54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58,252,590.98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5,879,799.56</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5,824,037.14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5,824,037.14</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5,824,037.14</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部门（单位）：天津市第一百中学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63,270,761.04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55,433,128.13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7,837,632.91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53,658,765.07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45,821,132.16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7,837,632.91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7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18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78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53,658,765.07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7D3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45,821,132.16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D8B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7,837,632.91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A7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68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D97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F5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16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高中教育</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C6D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53,553,765.07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56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45,821,132.16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79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7,732,632.91</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7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DE0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C79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43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D126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7C6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3CA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1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F42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884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9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3B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EC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92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35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74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6,617,486.14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725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6,617,486.14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271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C5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4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8C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F40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FB6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77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B05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6,617,486.14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FBA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6,617,486.14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0A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BE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CE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627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D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8A1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A08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947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4,411,663.02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CB0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4,411,663.02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22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6E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FA5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B00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76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3F1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25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2,205,823.12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E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2,205,823.12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6B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1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90F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9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519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4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85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C6F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5F2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3C1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6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514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EDE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CCC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41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A4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E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08A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B14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EA2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0C8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795A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F5E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C2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45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AEE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D5C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EF7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2972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9B6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部门（单位）：天津市第一百中学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58,252,590.98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48,640,595.01</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48,640,595.01</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6,617,486.14</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6,617,486.14</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2,994,509.83</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58,252,590.98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58,252,590.98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58,252,590.98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58,252,590.98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58,252,590.98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58,252,590.98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天津市第一百中学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58,252,590.98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53,270,464.38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50,555,343.86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2,715,120.52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4,982,126.60</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48,640,595.01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43,658,468.41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40,943,347.89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2,715,120.52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4,982,126.60</w:t>
            </w:r>
          </w:p>
        </w:tc>
      </w:tr>
      <w:tr w14:paraId="7B85C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ED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AC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普通教育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AC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48,640,595.01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3B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43,658,468.41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98F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40,943,347.89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F6F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2,715,120.52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1E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4,982,126.60</w:t>
            </w:r>
          </w:p>
        </w:tc>
      </w:tr>
      <w:tr w14:paraId="4534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66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388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高中教育</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4674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48,535,595.01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462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43,658,468.41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92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40,943,347.89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1C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2,715,120.52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8A2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4,877,126.60</w:t>
            </w:r>
          </w:p>
        </w:tc>
      </w:tr>
      <w:tr w14:paraId="7FB2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3360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2050299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5D6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其他普通教育支出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CC1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105,000.00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04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51C6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55FD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83F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105,000.00</w:t>
            </w:r>
          </w:p>
        </w:tc>
      </w:tr>
      <w:tr w14:paraId="0C23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6FE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24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4929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6,617,486.14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013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6,617,486.14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047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6,617,486.14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6A4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271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21FB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1D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FB7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5D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6,617,486.14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1FA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6,617,486.14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CA5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6,617,486.14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374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86E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AAF6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611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2A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FD4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4,411,663.02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ED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4,411,663.02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AB1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4,411,663.02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433C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8FE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B12E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36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286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97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2,205,823.12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A0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2,205,823.12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A3CF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2,205,823.12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DB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085D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0F25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49D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64B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D15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56C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8868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2E8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F9E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95F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827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B4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16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2CD8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5A8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BF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7CD1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683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B9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444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01D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184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513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2,994,509.83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17B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9173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部门（单位）：天津市第一百中学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49,144,217.26</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2,650,320.52</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11,135,551.60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4,109,073.85</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64,800.00</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12,311,850.75</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181,679.25</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4,411,663.02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347,990.35</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2,205,823.12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7,095.00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2,757,289.83</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774,033.15</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275,386.09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11,784,613.00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152,966.00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1,411,126.60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216,366.80</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51,700.00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971,694.80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64,800.00</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15,756.00</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2,000.00</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84,254.00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441,504.95</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288,000.00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2,178.82</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554,139.00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50,555,343.86</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2,715,120.52</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天津市第一百中学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5766803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天津市第一百中学2024年政府性基金预算财政拨款收入支出决算表为空表。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天津市第一百中学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5AB3FDC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天津市第一百中学2024年国有资本经营预算财政拨款收入支出决算表为空表。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部门（单位）：天津市第一百中学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4A2A83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天津市第一百中学2024年财政拨款“三公”经费支出决算表为空表。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部门（单位）：天津市第一百中学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7,837,632.91</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4,982,126.60</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2,855,506.31</w:t>
            </w: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7,837,632.91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4,982,126.60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2,855,506.31</w:t>
            </w:r>
          </w:p>
        </w:tc>
      </w:tr>
      <w:tr w14:paraId="7E7B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2E1F89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w:t>
            </w:r>
          </w:p>
        </w:tc>
        <w:tc>
          <w:tcPr>
            <w:tcW w:w="1022" w:type="pct"/>
            <w:tcBorders>
              <w:top w:val="nil"/>
              <w:left w:val="nil"/>
              <w:bottom w:val="single" w:color="000000" w:sz="4" w:space="0"/>
              <w:right w:val="single" w:color="000000" w:sz="4" w:space="0"/>
            </w:tcBorders>
            <w:shd w:val="clear" w:color="auto" w:fill="auto"/>
            <w:noWrap/>
            <w:vAlign w:val="center"/>
          </w:tcPr>
          <w:p w14:paraId="31FF1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普通教育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61E74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7,837,632.91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36302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4,982,126.60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2599F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51DE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858F3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B853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2,855,506.31</w:t>
            </w:r>
          </w:p>
        </w:tc>
      </w:tr>
      <w:tr w14:paraId="280E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683C2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285FC6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高中教育</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BCEE3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7,732,632.91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F526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4,877,126.60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24C7B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CEA87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C77BB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2DADC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2,855,506.31</w:t>
            </w:r>
          </w:p>
        </w:tc>
      </w:tr>
      <w:tr w14:paraId="539F1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6BFB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5959C7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2024年区级体育特色学校专项经费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3A26A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70BB9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D99FD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5BD38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DF54D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AB0CD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D71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6667E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5691B9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2024年抚恤金第九批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6CFD3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59,758.00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2BDB5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59,758.00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C0111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2BD646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EEB0F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1ACB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07D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98E3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5BBB05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2024年教育保障经费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DEB7E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650,113.00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C634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650,113.00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79DBB6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E881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C2664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D61C2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E79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14066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40F929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2024年运行经费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776C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2,112,633.60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74B4F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2,112,633.60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71401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430EC4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D7E0B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7C3EC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22A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CDF6F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07437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2024年抚恤金第一批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8F56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43,216.00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FB0E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43,216.00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4BCFC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87A1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519A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F015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F5E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D23DD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618236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2024年校园安全运行保障项目</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75068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48AC8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1,000,000.00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72037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B1CD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7323C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F2398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67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D4C49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1D662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2024年参加区、市、国家级阳光体育比赛奖励</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E2714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68B32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BE310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C20E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889FC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B2350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9D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0E91F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4E8CCF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2024年抚恤金第三批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E3C23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40,612.00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2DA2B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40,612.00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F6D7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E17CF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6DEC2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55988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340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F52E8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35268D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2024年学生资助政策体系（高中免学杂费）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2B53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5,733.00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3B194F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5,733.00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6731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018C6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4A2D2F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6D072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ACA6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7CD6A0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55AC20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提前下达2024年学生资助补助经费（直达资金）-津财教指【2023】117号-01直达资金-高中免学杂费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61764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2,457.00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3C88D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2,457.00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5B4E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77E9B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6D77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1C37D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F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78323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4B0023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2024年中小学幼儿园食堂匹配人员专项经费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5E37C8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892,604.00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6F35D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892,604.00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2A7B14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A1743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9EFF5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ECB09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431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B1FEB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2050204</w:t>
            </w:r>
          </w:p>
        </w:tc>
        <w:tc>
          <w:tcPr>
            <w:tcW w:w="1022" w:type="pct"/>
            <w:tcBorders>
              <w:top w:val="nil"/>
              <w:left w:val="nil"/>
              <w:bottom w:val="single" w:color="000000" w:sz="4" w:space="0"/>
              <w:right w:val="single" w:color="000000" w:sz="4" w:space="0"/>
            </w:tcBorders>
            <w:shd w:val="clear" w:color="auto" w:fill="auto"/>
            <w:noWrap/>
            <w:vAlign w:val="center"/>
          </w:tcPr>
          <w:p w14:paraId="06B9C2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黄南班办学经费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C3CD7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2,855,506.31</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672C2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nil"/>
              <w:left w:val="single" w:color="000000" w:sz="4" w:space="0"/>
              <w:bottom w:val="single" w:color="000000" w:sz="4" w:space="0"/>
              <w:right w:val="single" w:color="000000" w:sz="4" w:space="0"/>
            </w:tcBorders>
            <w:shd w:val="clear" w:color="auto" w:fill="auto"/>
            <w:vAlign w:val="center"/>
          </w:tcPr>
          <w:p w14:paraId="1E5D9B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AE2E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DF39D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4E3385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2,855,506.31</w:t>
            </w:r>
          </w:p>
        </w:tc>
      </w:tr>
      <w:tr w14:paraId="380D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8659A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2B021D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其他普通教育支出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4E4336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1009C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4AECCE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6E7E84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86B2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240EB8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FD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0BFC33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2050299</w:t>
            </w:r>
          </w:p>
        </w:tc>
        <w:tc>
          <w:tcPr>
            <w:tcW w:w="1022" w:type="pct"/>
            <w:tcBorders>
              <w:top w:val="nil"/>
              <w:left w:val="nil"/>
              <w:bottom w:val="single" w:color="000000" w:sz="4" w:space="0"/>
              <w:right w:val="single" w:color="000000" w:sz="4" w:space="0"/>
            </w:tcBorders>
            <w:shd w:val="clear" w:color="auto" w:fill="auto"/>
            <w:noWrap/>
            <w:vAlign w:val="center"/>
          </w:tcPr>
          <w:p w14:paraId="5E38C9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提前下达2024年市对区财政教育转移支付资金预算-津财教指【2023】126号-杰出津门校长、班主任、教师经费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0B2E3F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5FC04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105,000.00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AD51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1041FE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6FAB0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7CCEB7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0821B5C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303CF6B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18CD246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7987BD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天津市第一百中学2024年度收入、支出决算总计69,956,427.68元。与2023年度相比，收、支总计各增加1,663,985.57元，增长2.437%，主要原因是非财政年初结转结余项目调整增加。</w:t>
      </w:r>
    </w:p>
    <w:p w14:paraId="063370C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收入包括：一般公共预算财政拨款收入58,252,590.98元、其他收入5,879,799.56元。</w:t>
      </w:r>
    </w:p>
    <w:p w14:paraId="304D8CB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支出包括：教育支出53,658,765.07元、社会保障和就业支出6,617,486.14元、卫生健康支出2,994,509.83元。</w:t>
      </w:r>
    </w:p>
    <w:p w14:paraId="6D63388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075F067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天津市第一百中学2024年度本年收入合计64,132,390.54元，与2023年度相比减少1,022,724.14元，主要原因是响应政府过紧日子号召，厉行节约，压减公用经费，本年未安排事业收入。其中：</w:t>
      </w:r>
    </w:p>
    <w:p w14:paraId="6474EC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一般公共预算财政拨款收入58,252,590.98元，占90.832%；其他收入5,879,799.56元，占9.168%。</w:t>
      </w:r>
    </w:p>
    <w:p w14:paraId="7FEB4C7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1E47437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天津市第一百中学2024年度本年支出合计63,270,761.04元，与2023年度相比减少2,191,985.54元，主要原因是响应政府过紧日子号召，厉行节约，压减公用经费支出</w:t>
      </w:r>
      <w:r>
        <w:rPr>
          <w:rFonts w:hint="eastAsia" w:ascii="Times New Roman" w:eastAsia="仿宋_GB2312"/>
          <w:b w:val="0"/>
          <w:sz w:val="30"/>
          <w:szCs w:val="30"/>
          <w:lang w:eastAsia="zh-CN"/>
        </w:rPr>
        <w:t>；考评绩效标准下调。</w:t>
      </w:r>
      <w:r>
        <w:rPr>
          <w:rFonts w:ascii="Times New Roman" w:eastAsia="仿宋_GB2312"/>
          <w:b w:val="0"/>
          <w:sz w:val="30"/>
          <w:szCs w:val="30"/>
        </w:rPr>
        <w:t>其中：</w:t>
      </w:r>
    </w:p>
    <w:p w14:paraId="3E9BC87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基本支出55,433,128.13元，占87.613%；项目支出7,837,632.91元，占12.387%。</w:t>
      </w:r>
    </w:p>
    <w:p w14:paraId="4F1F5AB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42E99095">
      <w:pPr>
        <w:widowControl/>
        <w:spacing w:before="0" w:beforeLines="0" w:beforeAutospacing="0" w:after="0" w:afterLines="0" w:afterAutospacing="0" w:line="360" w:lineRule="auto"/>
        <w:ind w:firstLine="600" w:firstLineChars="200"/>
        <w:jc w:val="left"/>
        <w:rPr>
          <w:rFonts w:hint="eastAsia" w:ascii="Times New Roman" w:eastAsia="仿宋_GB2312"/>
          <w:sz w:val="30"/>
          <w:szCs w:val="30"/>
          <w:lang w:eastAsia="zh-CN"/>
        </w:rPr>
      </w:pPr>
      <w:r>
        <w:rPr>
          <w:rFonts w:ascii="Times New Roman" w:eastAsia="仿宋_GB2312"/>
          <w:b w:val="0"/>
          <w:sz w:val="30"/>
          <w:szCs w:val="30"/>
        </w:rPr>
        <w:t>天津市第一百中学2024年度财政拨款收入、支出决算总计58,252,590.98元。与2023年度相比，财政拨款收、支总计各增加742,956.16元，增长1.292%，主要原因是在职人员</w:t>
      </w:r>
      <w:r>
        <w:rPr>
          <w:rFonts w:hint="eastAsia" w:ascii="Times New Roman" w:eastAsia="仿宋_GB2312"/>
          <w:b w:val="0"/>
          <w:sz w:val="30"/>
          <w:szCs w:val="30"/>
          <w:lang w:eastAsia="zh-CN"/>
        </w:rPr>
        <w:t>薪级调整；</w:t>
      </w:r>
      <w:bookmarkStart w:id="0" w:name="_GoBack"/>
      <w:bookmarkEnd w:id="0"/>
      <w:r>
        <w:rPr>
          <w:rFonts w:ascii="Times New Roman" w:eastAsia="仿宋_GB2312"/>
          <w:b w:val="0"/>
          <w:sz w:val="30"/>
          <w:szCs w:val="30"/>
        </w:rPr>
        <w:t>社保缴费基数、公积金缴费基数调整增加</w:t>
      </w:r>
      <w:r>
        <w:rPr>
          <w:rFonts w:hint="eastAsia" w:ascii="Times New Roman" w:eastAsia="仿宋_GB2312"/>
          <w:b w:val="0"/>
          <w:sz w:val="30"/>
          <w:szCs w:val="30"/>
          <w:lang w:eastAsia="zh-CN"/>
        </w:rPr>
        <w:t>；调整运行保障经费。</w:t>
      </w:r>
    </w:p>
    <w:p w14:paraId="722CB181">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收入包括：一般公共预算财政拨款58,252,590.98元。</w:t>
      </w:r>
    </w:p>
    <w:p w14:paraId="40BF10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支出包括：教育支出48,640,595.01元、社会保障和就业支出6,617,486.14元、卫生健康支出2,994,509.83元。</w:t>
      </w:r>
    </w:p>
    <w:p w14:paraId="2E31677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3BCD1F9F">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A532D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天津市第一百中学2024年度部门决算一般公共预算财政拨款支出合计58,252,590.98元，占本年支出合计的92.069%。与2023年度相比，一般公共预算财政拨款支出增加742,956.16元，增长1.292%，主要原因是在职人员</w:t>
      </w:r>
      <w:r>
        <w:rPr>
          <w:rFonts w:hint="eastAsia" w:ascii="Times New Roman" w:eastAsia="仿宋_GB2312"/>
          <w:b w:val="0"/>
          <w:sz w:val="30"/>
          <w:szCs w:val="30"/>
          <w:lang w:eastAsia="zh-CN"/>
        </w:rPr>
        <w:t>薪级调整，</w:t>
      </w:r>
      <w:r>
        <w:rPr>
          <w:rFonts w:ascii="Times New Roman" w:eastAsia="仿宋_GB2312"/>
          <w:b w:val="0"/>
          <w:sz w:val="30"/>
          <w:szCs w:val="30"/>
        </w:rPr>
        <w:t>社保缴费基数、公积金缴费基数调整增加</w:t>
      </w:r>
      <w:r>
        <w:rPr>
          <w:rFonts w:hint="eastAsia" w:ascii="Times New Roman" w:eastAsia="仿宋_GB2312"/>
          <w:b w:val="0"/>
          <w:sz w:val="30"/>
          <w:szCs w:val="30"/>
          <w:lang w:eastAsia="zh-CN"/>
        </w:rPr>
        <w:t>；调整运行保障经费</w:t>
      </w:r>
      <w:r>
        <w:rPr>
          <w:rFonts w:ascii="Times New Roman" w:eastAsia="仿宋_GB2312"/>
          <w:b w:val="0"/>
          <w:sz w:val="30"/>
          <w:szCs w:val="30"/>
        </w:rPr>
        <w:t>。</w:t>
      </w:r>
    </w:p>
    <w:p w14:paraId="1C06CF13">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77D73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2024年度一般公共预算财政拨款支出58,252,590.98元，主要用于以下方面：教育支出（类）48,640,595.01元，占83.499%；社会保障和就业支出（类）6,617,486.14元，占11.360%；卫生健康支出（类）2,994,509.83元，占5.141%。</w:t>
      </w:r>
    </w:p>
    <w:p w14:paraId="5B5C35CB">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5789CF3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2024年度一般公共预算财政拨款支出年初预算为54,508,800.00元，支出决算为58,252,590.98元，完成年初预算的106.868%。其中：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color w:val="0000FF"/>
          <w:sz w:val="30"/>
          <w:szCs w:val="30"/>
        </w:rPr>
      </w:pPr>
      <w:r>
        <w:rPr>
          <w:rFonts w:ascii="Times New Roman" w:eastAsia="仿宋_GB2312"/>
          <w:b w:val="0"/>
          <w:sz w:val="30"/>
          <w:szCs w:val="30"/>
        </w:rPr>
        <w:t>1.​教育支出(类)普通教育(款)高中教育(项)年初预算为45,638,500.00元，支出决算为48,535,595.01元，完成年初预算的106.348%，决算数大于年初预算数的主要原因是：</w:t>
      </w:r>
      <w:r>
        <w:rPr>
          <w:rFonts w:hint="eastAsia" w:ascii="Times New Roman" w:eastAsia="仿宋_GB2312"/>
          <w:b w:val="0"/>
          <w:color w:val="auto"/>
          <w:sz w:val="30"/>
          <w:szCs w:val="30"/>
          <w:lang w:eastAsia="zh-CN"/>
        </w:rPr>
        <w:t>在职人员调整薪级、公积金基数调整，</w:t>
      </w:r>
      <w:r>
        <w:rPr>
          <w:rFonts w:ascii="Times New Roman" w:eastAsia="仿宋_GB2312"/>
          <w:b w:val="0"/>
          <w:color w:val="auto"/>
          <w:sz w:val="30"/>
          <w:szCs w:val="30"/>
        </w:rPr>
        <w:t>追加预算列支考评绩效</w:t>
      </w:r>
      <w:r>
        <w:rPr>
          <w:rFonts w:hint="eastAsia" w:ascii="Times New Roman" w:eastAsia="仿宋_GB2312"/>
          <w:b w:val="0"/>
          <w:color w:val="auto"/>
          <w:sz w:val="30"/>
          <w:szCs w:val="30"/>
          <w:lang w:val="en-US" w:eastAsia="zh-CN"/>
        </w:rPr>
        <w:t>,调整运行保障</w:t>
      </w:r>
      <w:r>
        <w:rPr>
          <w:rFonts w:ascii="Times New Roman" w:eastAsia="仿宋_GB2312"/>
          <w:b w:val="0"/>
          <w:color w:val="auto"/>
          <w:sz w:val="30"/>
          <w:szCs w:val="30"/>
        </w:rPr>
        <w:t>经费等。</w:t>
      </w:r>
    </w:p>
    <w:p w14:paraId="6B9121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教育支出(类)普通教育(款)其他普通教育支出(项)年初预算为0.00元，支出决算为105,000.00元，决算数大于年初预算数的主要原因是：调整提前下达2024年市对区财政教育转移支付资金预算-津财教指【2023】126号-杰出津门校长、班主任、教师经费项目。</w:t>
      </w:r>
    </w:p>
    <w:p w14:paraId="6298ABD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基本养老保险缴费支出(项)年初预算为4,058,800.00元，支出决算为4,411,663.02元，完成年初预算的108.694%，决算数大于年初预算数的主要原因是：在职人员社保缴费基数调整增加。</w:t>
      </w:r>
    </w:p>
    <w:p w14:paraId="6B9D9A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职业年金缴费支出(项)年初预算为2,029,400.00元，支出决算为2,205,823.12元，完成年初预算的108.693%，决算数大于年初预算数的主要原因是：在职人员社保缴费基数调整增加。</w:t>
      </w:r>
    </w:p>
    <w:p w14:paraId="29CC9FB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5.​卫生健康支出(类)行政事业单位医疗(款)事业单位医疗(项)年初预算为2,782,100.00元，支出决算为2,994,509.83元，完成年初预算的107.635%，决算数大于年初预算数的主要原因是：在职人员社保缴费基数调整增加。</w:t>
      </w:r>
    </w:p>
    <w:p w14:paraId="3C01455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40C1A17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天津市第一百中学2024年度部门决算一般公共预算财政拨款基本支出合计53,270,464.38元，与2023年度相比减少2,961,340.44元，主要原因是</w:t>
      </w:r>
      <w:r>
        <w:rPr>
          <w:rFonts w:hint="eastAsia" w:ascii="Times New Roman" w:eastAsia="仿宋_GB2312"/>
          <w:b w:val="0"/>
          <w:color w:val="auto"/>
          <w:sz w:val="30"/>
          <w:szCs w:val="30"/>
          <w:lang w:eastAsia="zh-CN"/>
        </w:rPr>
        <w:t>响应政府过紧日子号召，厉行节约，压减经费支出；取暖费调整至项目列支；考评绩效标准下调</w:t>
      </w:r>
      <w:r>
        <w:rPr>
          <w:rFonts w:ascii="Times New Roman" w:eastAsia="仿宋_GB2312"/>
          <w:b w:val="0"/>
          <w:color w:val="auto"/>
          <w:sz w:val="30"/>
          <w:szCs w:val="30"/>
        </w:rPr>
        <w:t>。</w:t>
      </w:r>
      <w:r>
        <w:rPr>
          <w:rFonts w:ascii="Times New Roman" w:eastAsia="仿宋_GB2312"/>
          <w:b w:val="0"/>
          <w:sz w:val="30"/>
          <w:szCs w:val="30"/>
        </w:rPr>
        <w:t>其中：</w:t>
      </w:r>
    </w:p>
    <w:p w14:paraId="7CF6B3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50,555,343.86元，主要包括基本工资、津贴补贴、绩效工资、机关事业单位基本养老保险缴费、职业年金缴费、职工基本医疗保险缴费、其他社会保障缴费、住房公积金、医疗费、离休费、退休费、生活补助、医疗费补助、奖励金和其他对个人和家庭的补助。</w:t>
      </w:r>
    </w:p>
    <w:p w14:paraId="075397F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公用经费2,715,120.52元，主要包括水费、电费、邮电费、物业管理费、培训费、劳务费、工会经费、福利费、其他交通费用、其他商品和服务支出和其他资本性支出。</w:t>
      </w:r>
    </w:p>
    <w:p w14:paraId="72AB058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6948C6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天津市第一百中学2024年度无政府性基金预算财政拨款收入、支出和结转结余。</w:t>
      </w:r>
    </w:p>
    <w:p w14:paraId="1985DB7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6E102DA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天津市第一百中学2024年度无国有资本经营预算财政拨款收入、支出和结转结余。</w:t>
      </w:r>
    </w:p>
    <w:p w14:paraId="0DA877A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4032AB2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6E6CE57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6FAE526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42E622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21DE89B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1CFC6AF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4978E3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5B46DD4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330083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E562C1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681F94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5F7871A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4C31A15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65EF9E3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天津市第一百中学2024年度无机关运行经费。</w:t>
      </w:r>
    </w:p>
    <w:p w14:paraId="08D86B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11B999B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天津市第一百中学2024年政府采购支出总额1,592,033.18元，其中：政府采购货物支出0.00元、政府采购工程支出0.00元、政府采购服务支出1,592,033.18元。</w:t>
      </w:r>
    </w:p>
    <w:p w14:paraId="424FB7F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1,592,033.18元，占政府采购支出总额的100.000%，其中：授予小微企业合同金额1,592,033.18元，占政府采购支出总额的100.000%；货物采购授予中小企业合同金额占货物支出金额的0.000%；工程采购授予中小企业合同金额占工程支出金额的0.000%；服务采购授予中小企业合同金额占服务支出金额的100.000%。</w:t>
      </w:r>
    </w:p>
    <w:p w14:paraId="4AAED85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C3F5E2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天津市第一百中学2024年度无国有资产占有使用情况。</w:t>
      </w:r>
    </w:p>
    <w:p w14:paraId="29B8B6B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60A5AC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根据预算绩效管理要求，天津市第一百中学已对12个2024年项目开展绩效自评,涉及资金4,984,709.60元,自评结果已随部门决算一并公开。</w:t>
      </w:r>
    </w:p>
    <w:p w14:paraId="3BF5AAA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4DD5DAD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天津市第一百中学不属于乡、镇、街级单位，不涉及公开2024年度教育、医疗卫生、社会保障和就业、住房保障、涉农补贴等民生支出情况。</w:t>
      </w:r>
    </w:p>
    <w:p w14:paraId="6179648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7C8048D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3D3FDE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8B8E0D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565A5F7-EE1A-4ABF-94E5-21E2F9DC54BF}"/>
  </w:font>
  <w:font w:name="黑体">
    <w:panose1 w:val="02010609060101010101"/>
    <w:charset w:val="86"/>
    <w:family w:val="auto"/>
    <w:pitch w:val="default"/>
    <w:sig w:usb0="800002BF" w:usb1="38CF7CFA" w:usb2="00000016" w:usb3="00000000" w:csb0="00040001" w:csb1="00000000"/>
    <w:embedRegular r:id="rId2" w:fontKey="{6A8056E5-B396-47DC-96E9-273D793240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95524724-CA34-4623-A09F-2F74C39C2B69}"/>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6B17B356-E40E-4178-8717-30FE903A4297}"/>
  </w:font>
  <w:font w:name="仿宋_GB2312">
    <w:altName w:val="仿宋"/>
    <w:panose1 w:val="00000000000000000000"/>
    <w:charset w:val="00"/>
    <w:family w:val="auto"/>
    <w:pitch w:val="default"/>
    <w:sig w:usb0="00000000" w:usb1="00000000" w:usb2="00000000" w:usb3="00000000" w:csb0="00000000" w:csb1="00000000"/>
    <w:embedRegular r:id="rId5" w:fontKey="{82DCA437-68E9-4EF5-88DF-0942635B2CE1}"/>
  </w:font>
  <w:font w:name="宋体-简">
    <w:altName w:val="宋体"/>
    <w:panose1 w:val="02010800040101010101"/>
    <w:charset w:val="86"/>
    <w:family w:val="auto"/>
    <w:pitch w:val="default"/>
    <w:sig w:usb0="00000000" w:usb1="00000000" w:usb2="00000000" w:usb3="00000000" w:csb0="00040000" w:csb1="00000000"/>
    <w:embedRegular r:id="rId6" w:fontKey="{7EB5684E-CF67-4B73-9928-2428A90D9619}"/>
  </w:font>
  <w:font w:name="楷体">
    <w:panose1 w:val="02010609060101010101"/>
    <w:charset w:val="86"/>
    <w:family w:val="auto"/>
    <w:pitch w:val="default"/>
    <w:sig w:usb0="800002BF" w:usb1="38CF7CFA" w:usb2="00000016" w:usb3="00000000" w:csb0="00040001" w:csb1="00000000"/>
    <w:embedRegular r:id="rId7" w:fontKey="{3D9AD341-6619-47C8-8418-6BC95E2139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8965F">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48371">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2155B"/>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17411E"/>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6D0B07"/>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431C9C"/>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34</Pages>
  <Words>1617</Words>
  <Characters>1892</Characters>
  <Lines>86</Lines>
  <Paragraphs>24</Paragraphs>
  <TotalTime>6</TotalTime>
  <ScaleCrop>false</ScaleCrop>
  <LinksUpToDate>false</LinksUpToDate>
  <CharactersWithSpaces>1944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清风徐来</cp:lastModifiedBy>
  <cp:lastPrinted>2023-08-07T01:00:00Z</cp:lastPrinted>
  <dcterms:modified xsi:type="dcterms:W3CDTF">2025-09-23T07:11:53Z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35704079AC62490DBFECB44DFC27467E_13</vt:lpwstr>
  </property>
  <property fmtid="{D5CDD505-2E9C-101B-9397-08002B2CF9AE}" pid="4" name="KSOTemplateUUID">
    <vt:lpwstr>v1.0_mb_S7ajbG3IpAnL1wSthNCxfw==</vt:lpwstr>
  </property>
  <property fmtid="{D5CDD505-2E9C-101B-9397-08002B2CF9AE}" pid="5" name="KSOTemplateDocerSaveRecord">
    <vt:lpwstr>eyJoZGlkIjoiM2I2YjhjYzkzY2M0YWIwNzMxNDg3M2I4Mzc4NzZiMjkiLCJ1c2VySWQiOiIzMjU1Nzc0NjkifQ==</vt:lpwstr>
  </property>
</Properties>
</file>