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楷体_GB2312" w:cs="Times New Roman"/>
          <w:b/>
          <w:sz w:val="32"/>
          <w:szCs w:val="32"/>
          <w:highlight w:val="none"/>
        </w:rPr>
      </w:pPr>
      <w:r>
        <w:rPr>
          <w:rFonts w:hint="eastAsia" w:eastAsia="方正小标宋简体"/>
          <w:sz w:val="44"/>
          <w:szCs w:val="44"/>
          <w:highlight w:val="none"/>
        </w:rPr>
        <w:t>天津市东丽区</w:t>
      </w:r>
      <w:r>
        <w:rPr>
          <w:rFonts w:hint="eastAsia" w:ascii="Times New Roman" w:hAnsi="Times New Roman" w:eastAsia="仿宋_GB2312" w:cs="Times New Roman"/>
          <w:snapToGrid w:val="0"/>
          <w:sz w:val="44"/>
          <w:szCs w:val="44"/>
          <w:highlight w:val="none"/>
        </w:rPr>
        <w:t>202</w:t>
      </w:r>
      <w:r>
        <w:rPr>
          <w:rFonts w:hint="eastAsia" w:ascii="Times New Roman" w:hAnsi="Times New Roman" w:eastAsia="仿宋_GB2312" w:cs="Times New Roman"/>
          <w:snapToGrid w:val="0"/>
          <w:sz w:val="44"/>
          <w:szCs w:val="44"/>
          <w:highlight w:val="none"/>
          <w:lang w:val="en-US" w:eastAsia="zh-CN"/>
        </w:rPr>
        <w:t>3</w:t>
      </w:r>
      <w:r>
        <w:rPr>
          <w:rFonts w:hint="eastAsia" w:eastAsia="方正小标宋简体"/>
          <w:sz w:val="44"/>
          <w:szCs w:val="44"/>
          <w:highlight w:val="none"/>
        </w:rPr>
        <w:t>年教育工作</w:t>
      </w:r>
      <w:r>
        <w:rPr>
          <w:rFonts w:hint="eastAsia" w:eastAsia="方正小标宋简体"/>
          <w:sz w:val="44"/>
          <w:szCs w:val="44"/>
          <w:highlight w:val="none"/>
          <w:lang w:eastAsia="zh-CN"/>
        </w:rPr>
        <w:t>总结</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2023</w:t>
      </w:r>
      <w:r>
        <w:rPr>
          <w:rFonts w:hint="eastAsia" w:ascii="Times New Roman" w:hAnsi="Times New Roman" w:eastAsia="仿宋_GB2312" w:cs="仿宋_GB2312"/>
          <w:kern w:val="2"/>
          <w:sz w:val="32"/>
          <w:szCs w:val="32"/>
          <w:highlight w:val="none"/>
          <w:lang w:val="en-US" w:eastAsia="zh-CN" w:bidi="ar-SA"/>
        </w:rPr>
        <w:t>年，东丽区教育系统深入学习贯彻党的二十大精神和习近平总书记关于教育的重要论述，贯彻落实市委市政府决策部署和区委区政府工作要求，以强优势、补短板、促公平为主线，攻坚克难、创新突破，教育领域各项工作取得显著成效。</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黑体" w:hAnsi="黑体" w:eastAsia="黑体" w:cs="黑体"/>
          <w:snapToGrid w:val="0"/>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黑体"/>
          <w:snapToGrid w:val="0"/>
          <w:color w:val="000000" w:themeColor="text1"/>
          <w:kern w:val="2"/>
          <w:sz w:val="32"/>
          <w:szCs w:val="32"/>
          <w:highlight w:val="none"/>
          <w:lang w:val="en-US" w:eastAsia="zh-CN" w:bidi="ar-SA"/>
          <w14:textFill>
            <w14:solidFill>
              <w14:schemeClr w14:val="tx1"/>
            </w14:solidFill>
          </w14:textFill>
        </w:rPr>
        <w:t>一、提升政治自觉，党的领导全面加强</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仿宋_GB2312"/>
          <w:kern w:val="2"/>
          <w:sz w:val="32"/>
          <w:szCs w:val="32"/>
          <w:highlight w:val="none"/>
          <w:lang w:val="en" w:eastAsia="zh-CN" w:bidi="ar-SA"/>
        </w:rPr>
      </w:pPr>
      <w:r>
        <w:rPr>
          <w:rFonts w:hint="eastAsia" w:ascii="Times New Roman" w:hAnsi="Times New Roman" w:eastAsia="仿宋_GB2312" w:cs="仿宋_GB2312"/>
          <w:kern w:val="2"/>
          <w:sz w:val="32"/>
          <w:szCs w:val="32"/>
          <w:highlight w:val="none"/>
          <w:lang w:val="en" w:eastAsia="zh-CN" w:bidi="ar-SA"/>
        </w:rPr>
        <w:t>以深入学习贯彻习近平新时代中国特色社会主义思想和党的二十大精神为主线，</w:t>
      </w:r>
      <w:r>
        <w:rPr>
          <w:rFonts w:hint="eastAsia" w:ascii="Times New Roman" w:hAnsi="Times New Roman" w:eastAsia="仿宋_GB2312" w:cs="仿宋_GB2312"/>
          <w:kern w:val="2"/>
          <w:sz w:val="32"/>
          <w:szCs w:val="32"/>
          <w:highlight w:val="none"/>
          <w:lang w:val="en-US" w:eastAsia="zh-CN" w:bidi="ar-SA"/>
        </w:rPr>
        <w:t>实施“创业、创优、创新”行动，打造“党建引领 红色铸魂”教育系统党建品牌，促进党建业务深度融合，基层党组织形成10个典型案例成果。加强民办学校党建工作，实现党的组织和党的工作全覆盖。健全“双培养”机制，培养入党积极分子178名，发展党员48名。推进全面从严治党，坚持以严的基调强化正风肃纪，召开教育系统全面从严治党工作会议，着力解决校外培训监管、师德师风等领域的突出问题。全面推进党风廉政建设，持续开展“清风校园”创建活动。持续开展“清廉学校”创建活动。</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黑体" w:hAnsi="黑体" w:eastAsia="黑体" w:cs="黑体"/>
          <w:snapToGrid w:val="0"/>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黑体"/>
          <w:snapToGrid w:val="0"/>
          <w:color w:val="000000" w:themeColor="text1"/>
          <w:kern w:val="2"/>
          <w:sz w:val="32"/>
          <w:szCs w:val="32"/>
          <w:highlight w:val="none"/>
          <w:lang w:val="en-US" w:eastAsia="zh-CN" w:bidi="ar-SA"/>
          <w14:textFill>
            <w14:solidFill>
              <w14:schemeClr w14:val="tx1"/>
            </w14:solidFill>
          </w14:textFill>
        </w:rPr>
        <w:t>二、坚持立德树人，教育质量巩固提升</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1.</w:t>
      </w: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坚持以德为先。</w:t>
      </w: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推动三全育人体系建立，东丽区获评“三全育人”试点区，建设10所市、区级“三全育人”示范校。成立思政网络名师工作室，创建红色乡土资源课程资源69个。开展全区思政教师磨课练兵活动，评选出10节区级“金课”，打造精品课程。组织参加天津市大中小学“故事思政”微课大赛，2名教师分获特等奖第一名、一等奖第一名。大力开展科普活动，组织东丽区科技教育交流暨科普思政共建推动会，教育局获全国科普日活动优秀组织奖。强化实践育人，持续开展“我和我求学的城市”之“读”“游”“赞”津城活动。</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2.</w:t>
      </w: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坚持以智启慧。</w:t>
      </w: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深入70所学校开展教学视导，听课576节。参与校本研修89场次、预约教研28场次、专题教研活动218场次、教材、课标培训40场次、中高考方面的指导活动60场次。指导下发中考复习资源4套，共118个。组织完成义务教育阶段22个学科8千人次参加“人教云教研”活动。制定《东丽区常态课评价标准》《东丽区校本教研评价标准》《东丽区作业评价标准》《东丽区中小学常态课评价标准》《东丽区中小学校本教研评价标准》《东丽区中小学作业设计评价标准》，进一步规范教学管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3.</w:t>
      </w: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坚持以体育智。</w:t>
      </w: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开展体质健康“弱项提升、强项再提高”促进行动，完成体质健康全员测试，全区总体合格率97.05%，优良率50.16%。完善课余训练和竞赛体系，举办田径运动会、足球、篮球、啦啦操、武术等10项体育竞赛，累计参赛人数达5000人以上，创近十年来历史新高。校园足球、篮球、射击、游泳项目在市级比赛中取得优异成绩，军粮城中学、刘台小学代表天津市参加2023年全国初中、小学篮球联赛。创建区级体育特色学校2所。华明中学、刘台小学等9所学校体育场地免费对外开放。</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4.</w:t>
      </w: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坚持以美塑心。</w:t>
      </w: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建立美育共同体机制，选取鉴开中学、丽泽小学、刘台小学、苗街小学、正心小学为艺术基地。建设面向人人的常态化艺术展演机制，举办第37届艺术节。举办“津沽文化日”主题活动，对学校传统文化艺术特色工作进行展示。强化家校社协同育人与心理健康教育，召开2023年学校家庭教育主题宣传月暨“5.25”学生心理健康月推动会。</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5.</w:t>
      </w: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坚持以劳立身。</w:t>
      </w: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全面加强劳动教育，成功举办2023年东丽区中小学生劳动技能大赛。多渠道挖掘劳动教育载体资源，开辟生态园、种植园、悦耕园等，全区现有劳动专用教室50个，授牌大顺花卉市场、胡张庄葡萄生态园、新天钢工业旅游景区为区级劳动教育实践基地。参加天津市第二届中小学劳动教育案例（课程）遴选，6所学校，7个案例获奖。东丽区金钟小学被评为天津市劳动教育示范校。</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黑体" w:hAnsi="黑体" w:eastAsia="黑体" w:cs="黑体"/>
          <w:snapToGrid w:val="0"/>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黑体"/>
          <w:snapToGrid w:val="0"/>
          <w:color w:val="000000" w:themeColor="text1"/>
          <w:kern w:val="2"/>
          <w:sz w:val="32"/>
          <w:szCs w:val="32"/>
          <w:highlight w:val="none"/>
          <w:lang w:val="en-US" w:eastAsia="zh-CN" w:bidi="ar-SA"/>
          <w14:textFill>
            <w14:solidFill>
              <w14:schemeClr w14:val="tx1"/>
            </w14:solidFill>
          </w14:textFill>
        </w:rPr>
        <w:t>三、加快扩容提质，各类教育稳中有进</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1.</w:t>
      </w: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学前教育更加普惠。</w:t>
      </w: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建成汇涛苑幼儿园、玖樾府幼儿园、雅郡幼儿园，新增学前学位990个。新招收4641名幼儿，学前毛入园率</w:t>
      </w:r>
      <w:r>
        <w:rPr>
          <w:rFonts w:hint="eastAsia" w:ascii="Times New Roman" w:hAnsi="Times New Roman" w:eastAsia="仿宋_GB2312" w:cs="Times New Roman"/>
          <w:snapToGrid w:val="0"/>
          <w:color w:val="000000" w:themeColor="text1"/>
          <w:kern w:val="0"/>
          <w:sz w:val="32"/>
          <w:szCs w:val="32"/>
          <w:highlight w:val="none"/>
          <w:lang w:val="en" w:eastAsia="zh-CN" w:bidi="ar-SA"/>
          <w14:textFill>
            <w14:solidFill>
              <w14:schemeClr w14:val="tx1"/>
            </w14:solidFill>
          </w14:textFill>
        </w:rPr>
        <w:t>达到</w:t>
      </w: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97.9%，普惠率达到88.4%。圆满完成公办幼儿园及普惠性民办幼儿园等级评定工作，评定公办幼儿园25所，普惠性民办幼儿园19所。坚持以游戏为基本活动，确定军丽幼儿园等3所幼儿园为市级“高质量幼儿游戏研究实践”试点园。深化公民办幼儿园结对帮扶，重新结对帮扶幼儿园37所，有效提升民办幼儿园办园质量。</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snapToGrid/>
        <w:spacing w:line="550" w:lineRule="exact"/>
        <w:ind w:firstLine="640" w:firstLineChars="200"/>
        <w:contextualSpacing/>
        <w:jc w:val="both"/>
        <w:textAlignment w:val="auto"/>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2.</w:t>
      </w: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义务教育日趋均衡。</w:t>
      </w: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建成逸阳雅郡小学和金钟街11号地C地块小学，新增义务教育学位2700个。投入730万元，完成振华里小学和四合庄小学约2500平方米C级校舍提升改造。推动委托管理学校、6个教育集团和8个教学共同体扩大优质资源覆盖面，开展教学、创新作业设计、学生核心素养评价等专题研讨20余场活动，推动区域教学质量均衡发展。聚焦课后服务开发，累计开设1583个课程社团，开展181项特色课后服务项目，推动3.3万名学生参加多样化课后服务，学生参与率达79.3%，获得国家级活动奖项10项，市区级奖项163项。以共同体为载体开展课后服务互比互看互学活动，推出实验小学、格瑞思学校、鉴开中学等6所中小学进行课后服务展示，程林中学承办天津市义务教育阶段学校课后服务互比互看活动东丽区专场。</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snapToGrid/>
        <w:spacing w:line="550" w:lineRule="exact"/>
        <w:ind w:firstLine="640" w:firstLineChars="200"/>
        <w:contextualSpacing/>
        <w:jc w:val="both"/>
        <w:textAlignment w:val="auto"/>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3.</w:t>
      </w: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高中教育特色发展。</w:t>
      </w: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实施品牌高中建设和普通高中强校工程，制定并完善《第一百中学品牌高中建设三年方案》。推进钢管公司中学等4所高中校新课程新教材市级实验校项目建设，四合庄中学被评为学生发展指导市级实验学校。组织第一百中学与军粮城中学、天津钢管公司中学与天津经济开发区第一中学召开“强校工程”中期推动会，加强与结对校共建工作。</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snapToGrid/>
        <w:spacing w:line="550" w:lineRule="exact"/>
        <w:ind w:firstLine="640" w:firstLineChars="200"/>
        <w:contextualSpacing/>
        <w:jc w:val="both"/>
        <w:textAlignment w:val="auto"/>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4.</w:t>
      </w: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职业教育创优赋能。</w:t>
      </w: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投入220万元建设无人机智能应用与指挥中心、智能网联汽车创新中心等产教融合实训基地，培养高技能人才。推进“双证”融通培养模式，获批计算机应用、会计事务等4个“1+X”证书制度试点，实现工作过程、课堂任务、竞赛标准、证书考核和创新创业的有机衔接融入。优化现代学徒制人才培养模式，联合津乐园、北京松鹤楼等企业开展“订单式”培养，组织多形式、多层次、多工种在岗培训，锚定优势产业发展需求，深度推动校企融合。</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snapToGrid/>
        <w:spacing w:line="550" w:lineRule="exact"/>
        <w:ind w:firstLine="640" w:firstLineChars="200"/>
        <w:contextualSpacing/>
        <w:jc w:val="both"/>
        <w:textAlignment w:val="auto"/>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5.</w:t>
      </w: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特殊教育融合发展。</w:t>
      </w: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推动明强特殊教育学校普特融合、社会融合，参加特奥融合足球赛、义卖、远足实践和职业环境适应等多种活动使学生积极融入社会。与丰年街社区卫生服务中心共建共联，探索“医教结合”模式。健全学前到高中职业教育阶段特殊教育服务体系，7名学生取得了儿童庇护就业指导中心职业合格证。组织召开全区中小学特教工作经验分享交流会，为各校随班就读学生管理提供成功案例。</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snapToGrid/>
        <w:spacing w:line="550" w:lineRule="exact"/>
        <w:ind w:firstLine="640" w:firstLineChars="200"/>
        <w:contextualSpacing/>
        <w:jc w:val="both"/>
        <w:textAlignment w:val="auto"/>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6.</w:t>
      </w:r>
      <w:r>
        <w:rPr>
          <w:rFonts w:hint="eastAsia" w:ascii="楷体" w:hAnsi="楷体" w:eastAsia="楷体"/>
          <w:bCs/>
          <w:sz w:val="32"/>
          <w:szCs w:val="32"/>
          <w:highlight w:val="none"/>
        </w:rPr>
        <w:t>民办教育规范办学。</w:t>
      </w: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加强日常监管，完成民办中小学及成人教育培训机构决策机构备案工作。完善政府购买民办义务教育学位机制。开展民办学校收费专项检查工作及民办高中办学行为专项整治工作。开展2022年度年检工作。</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snapToGrid/>
        <w:spacing w:line="550" w:lineRule="exact"/>
        <w:ind w:firstLine="640" w:firstLineChars="200"/>
        <w:contextualSpacing/>
        <w:jc w:val="both"/>
        <w:textAlignment w:val="auto"/>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sz w:val="32"/>
          <w:szCs w:val="32"/>
          <w:highlight w:val="none"/>
          <w:shd w:val="clear" w:color="auto" w:fill="FFFFFF"/>
          <w:lang w:val="en-US" w:eastAsia="zh-CN" w:bidi="ar"/>
        </w:rPr>
        <w:t>7.</w:t>
      </w:r>
      <w:r>
        <w:rPr>
          <w:rFonts w:hint="eastAsia" w:ascii="楷体" w:hAnsi="楷体" w:eastAsia="楷体"/>
          <w:bCs/>
          <w:sz w:val="32"/>
          <w:szCs w:val="32"/>
          <w:highlight w:val="none"/>
        </w:rPr>
        <w:t>终身教育</w:t>
      </w:r>
      <w:r>
        <w:rPr>
          <w:rFonts w:hint="eastAsia" w:ascii="楷体" w:hAnsi="楷体" w:eastAsia="楷体"/>
          <w:bCs/>
          <w:sz w:val="32"/>
          <w:szCs w:val="32"/>
          <w:highlight w:val="none"/>
          <w:lang w:eastAsia="zh-CN"/>
        </w:rPr>
        <w:t>充满</w:t>
      </w:r>
      <w:r>
        <w:rPr>
          <w:rFonts w:hint="eastAsia" w:ascii="楷体" w:hAnsi="楷体" w:eastAsia="楷体"/>
          <w:bCs/>
          <w:sz w:val="32"/>
          <w:szCs w:val="32"/>
          <w:highlight w:val="none"/>
        </w:rPr>
        <w:t>活力。</w:t>
      </w: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打造终身学习品牌项目，积极参加市级终身学习品牌项目评选，营造“人人皆学”的良好氛围。2023年，大郑剪纸经理刘长会获评天津市“百姓学习之星”称号、华新街天欣花园社区霞满桑榆社区服务体系被认定为天津市终身学习品牌项目。</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snapToGrid/>
        <w:spacing w:line="550" w:lineRule="exact"/>
        <w:ind w:firstLine="640" w:firstLineChars="200"/>
        <w:contextualSpacing/>
        <w:jc w:val="both"/>
        <w:textAlignment w:val="auto"/>
        <w:rPr>
          <w:rFonts w:hint="eastAsia" w:ascii="黑体" w:hAnsi="黑体" w:eastAsia="黑体" w:cs="黑体"/>
          <w:snapToGrid w:val="0"/>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黑体"/>
          <w:snapToGrid w:val="0"/>
          <w:color w:val="000000" w:themeColor="text1"/>
          <w:kern w:val="2"/>
          <w:sz w:val="32"/>
          <w:szCs w:val="32"/>
          <w:highlight w:val="none"/>
          <w:lang w:val="en-US" w:eastAsia="zh-CN" w:bidi="ar-SA"/>
          <w14:textFill>
            <w14:solidFill>
              <w14:schemeClr w14:val="tx1"/>
            </w14:solidFill>
          </w14:textFill>
        </w:rPr>
        <w:t xml:space="preserve">四、突出人才兴教，教师队伍持续优化 </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snapToGrid/>
        <w:spacing w:line="550" w:lineRule="exact"/>
        <w:ind w:firstLine="640" w:firstLineChars="200"/>
        <w:contextualSpacing/>
        <w:jc w:val="both"/>
        <w:textAlignment w:val="auto"/>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1.</w:t>
      </w: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加强师德师风建设。</w:t>
      </w: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坚持典型树德，开展第39个教师节宣传庆祝活动，选树师德优秀教师143人。坚持规则立德，制定《东丽区教育系统教师失德失范行为处理办法》，坚决查处师德违规行为。</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snapToGrid/>
        <w:spacing w:line="550" w:lineRule="exact"/>
        <w:ind w:firstLine="640" w:firstLineChars="200"/>
        <w:contextualSpacing/>
        <w:jc w:val="both"/>
        <w:textAlignment w:val="auto"/>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2.</w:t>
      </w: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优化教师队伍结构。</w:t>
      </w: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稳步推进中小学教师“区管校聘”管理改革，核定中小学编制总量，开展第七期岗位聘任，师资配置进一步优化。做好2023年新教师招聘，</w:t>
      </w:r>
      <w:bookmarkStart w:id="0" w:name="_GoBack"/>
      <w:bookmarkEnd w:id="0"/>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共招聘新教师120名，加大紧缺学科、学段教师精准招聘力度，破解师资紧缺难题。交流轮岗教师417名，推进师资均衡配置。完成44名科级干部选拔任用、17名科级干部平职交流工作，补足配齐学校（幼儿园）班子队伍短板。</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snapToGrid/>
        <w:spacing w:line="550" w:lineRule="exact"/>
        <w:ind w:firstLine="640" w:firstLineChars="200"/>
        <w:contextualSpacing/>
        <w:jc w:val="both"/>
        <w:textAlignment w:val="auto"/>
        <w:rPr>
          <w:rFonts w:hint="default"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3.</w:t>
      </w: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提升教师专业化水平。</w:t>
      </w: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实施“校长领航、骨干教师领雁”等项目，举办暑期书记校长培训班、中层干部培训班、第六周期继续教育市级通识培训班等培训活动百余场，50名教师认定为中小学市级学科骨干教师，1名校长入选杰出津门校长，1名教师入选杰出津门班主任</w:t>
      </w:r>
      <w:r>
        <w:rPr>
          <w:rFonts w:hint="default"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snapToGrid/>
        <w:spacing w:line="550" w:lineRule="exact"/>
        <w:ind w:firstLine="640" w:firstLineChars="200"/>
        <w:contextualSpacing/>
        <w:jc w:val="both"/>
        <w:textAlignment w:val="auto"/>
        <w:rPr>
          <w:rFonts w:hint="eastAsia" w:ascii="黑体" w:hAnsi="黑体" w:eastAsia="黑体" w:cs="黑体"/>
          <w:snapToGrid w:val="0"/>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黑体"/>
          <w:snapToGrid w:val="0"/>
          <w:color w:val="000000" w:themeColor="text1"/>
          <w:kern w:val="2"/>
          <w:sz w:val="32"/>
          <w:szCs w:val="32"/>
          <w:highlight w:val="none"/>
          <w:lang w:val="en-US" w:eastAsia="zh-CN" w:bidi="ar-SA"/>
          <w14:textFill>
            <w14:solidFill>
              <w14:schemeClr w14:val="tx1"/>
            </w14:solidFill>
          </w14:textFill>
        </w:rPr>
        <w:t>五、完善治理体系，教育治理效能不断提升</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snapToGrid/>
        <w:spacing w:line="550" w:lineRule="exact"/>
        <w:ind w:firstLine="640" w:firstLineChars="200"/>
        <w:contextualSpacing/>
        <w:jc w:val="both"/>
        <w:textAlignment w:val="auto"/>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1.</w:t>
      </w: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规范校外培训机构。</w:t>
      </w: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打造校外培训机构监督治理体系，建立街道、社区、网格员三级网络排查机制，统筹做好校外培训机构寒暑假期专项治理、艺术类高考培训机构专项治理、中小学生违规竞赛活动专项治理、校外培训“安全守护”专项行动</w:t>
      </w:r>
      <w:r>
        <w:rPr>
          <w:rFonts w:hint="eastAsia" w:ascii="Times New Roman" w:hAnsi="Times New Roman" w:eastAsia="仿宋_GB2312" w:cs="Times New Roman"/>
          <w:snapToGrid w:val="0"/>
          <w:color w:val="000000" w:themeColor="text1"/>
          <w:kern w:val="0"/>
          <w:sz w:val="32"/>
          <w:szCs w:val="32"/>
          <w:highlight w:val="none"/>
          <w:lang w:val="en" w:eastAsia="zh-CN" w:bidi="ar-SA"/>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“监管护苗”专项行动。131家有证培训机构全部开通平台支付，培训机构预收费全部纳入监管，在暑期专项治理工作中获得市级督查组好评。</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snapToGrid/>
        <w:spacing w:line="550" w:lineRule="exact"/>
        <w:ind w:firstLine="640" w:firstLineChars="200"/>
        <w:contextualSpacing/>
        <w:jc w:val="both"/>
        <w:textAlignment w:val="auto"/>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2.</w:t>
      </w: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扎实推进普法工作。</w:t>
      </w: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开展“民法典宣传月”“学宪法讲宪法”等法治宣传教育。扩展青少年法治教育资源，开展“以案释法”典型案例征集评选。规范中小学法治副校长聘任与管理，联合区人民法院、检察院、公安东丽分局、司法局组织精干力量建立东丽区法治副校长库，为全区中小学配备了85名法治副校长，实现了全区中小学校法治副校长聘任工作全覆盖。联合区司法局在全区中小学校建立22个青少年法治教育工作站，让校园普法与法治实践相结合，让东丽学子受到专业法治教育。</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snapToGrid/>
        <w:spacing w:line="550" w:lineRule="exact"/>
        <w:ind w:firstLine="640" w:firstLineChars="200"/>
        <w:contextualSpacing/>
        <w:jc w:val="both"/>
        <w:textAlignment w:val="auto"/>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3.</w:t>
      </w: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筑牢校园安全屏障。</w:t>
      </w: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开展7次校园安全隐患督查，摸排风险隐患，及时推进整改，实行闭环管理。先后通过国务院考核安全生产和消防工作、市互联网销售危化品专项行动督查以及市、区安全生产巡查。抓好学生安全教育，全区学校幼儿园开展安全教育第一课680次，公众号推送播放宣传知识1200条，专题讲座170余次，开展重点校园应急消防演练570余次。开展食品安全专项检查，查找问题481项，整改完成率100%。推进“互联网+明厨亮灶”100%全覆盖，自觉接受家长和社会监督，坚决杜绝食品安全事故发生。</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snapToGrid/>
        <w:spacing w:line="550" w:lineRule="exact"/>
        <w:ind w:firstLine="640" w:firstLineChars="200"/>
        <w:contextualSpacing/>
        <w:jc w:val="both"/>
        <w:textAlignment w:val="auto"/>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4.</w:t>
      </w: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实施智慧教育建设。</w:t>
      </w: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完成东丽区中高考考点提升改造及新建校的数字校园基础设施建设，维护各学校网络基础设施环境的承载力和稳定性。目前，全区幼儿园有7961个视频监控点位，中小学有10355个视频监控点位，联网率达到100%，幼儿园三级监控视频在线率99%以上。充分发挥7所智慧教育示范校引领作用，4所学校获批天津市国家中小学智慧教育平台应用市级实验学校，开展各类师生信息素养提升与实践活动，多人次获得全国及市级奖项，教师发展中心荣获市级优秀组织单位。</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snapToGrid/>
        <w:spacing w:line="550" w:lineRule="exact"/>
        <w:ind w:firstLine="640" w:firstLineChars="200"/>
        <w:contextualSpacing/>
        <w:jc w:val="both"/>
        <w:textAlignment w:val="auto"/>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5.</w:t>
      </w: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发挥教育督导作用。</w:t>
      </w: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做好天津市人民政府教育督导室对我区人民政府2021年履行教育职责情况的复查回访工作。统筹推进我区学前教育普及普惠和义务教育优质均衡发展评估认定工作，认真按照市政府教育督导室督办函，组织责任部门采取有力措施，全力推进问题整改，取得明显成效。做好市级学前教育普及普惠实地督导评估迎检工作。组织104位责任督学对全区152所中小学、幼儿园，开展“教育教学提质增效”“保育教育”等21个主题11个批次挂牌督导工作并督促问题的整改落实。组织完成20所样本学校德育、科学、劳动三个学科的国家义务教育质量监测工作，做好质量监测结果报告的应用。制定《东丽区深化新时代教育评价改革总体方案工作清单》，扎实推进新时代教育评价改革。</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snapToGrid/>
        <w:spacing w:line="550" w:lineRule="exact"/>
        <w:ind w:firstLine="640" w:firstLineChars="200"/>
        <w:contextualSpacing/>
        <w:jc w:val="both"/>
        <w:textAlignment w:val="auto"/>
        <w:rPr>
          <w:rFonts w:hint="eastAsia" w:ascii="黑体" w:hAnsi="黑体" w:eastAsia="黑体" w:cs="黑体"/>
          <w:snapToGrid w:val="0"/>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黑体"/>
          <w:snapToGrid w:val="0"/>
          <w:color w:val="000000" w:themeColor="text1"/>
          <w:kern w:val="2"/>
          <w:sz w:val="32"/>
          <w:szCs w:val="32"/>
          <w:highlight w:val="none"/>
          <w:lang w:val="en-US" w:eastAsia="zh-CN" w:bidi="ar-SA"/>
          <w14:textFill>
            <w14:solidFill>
              <w14:schemeClr w14:val="tx1"/>
            </w14:solidFill>
          </w14:textFill>
        </w:rPr>
        <w:t>六、坚守人民立场，群众获得感不断增强</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snapToGrid/>
        <w:spacing w:line="550" w:lineRule="exact"/>
        <w:ind w:firstLine="640" w:firstLineChars="200"/>
        <w:contextualSpacing/>
        <w:jc w:val="both"/>
        <w:textAlignment w:val="auto"/>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1.</w:t>
      </w: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民生实事惠及民生。</w:t>
      </w: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持续关爱家庭困难学生，精准资助困难学生</w:t>
      </w:r>
      <w:r>
        <w:rPr>
          <w:rFonts w:hint="eastAsia" w:ascii="Times New Roman" w:hAnsi="Times New Roman" w:eastAsia="仿宋_GB2312" w:cs="Times New Roman"/>
          <w:snapToGrid w:val="0"/>
          <w:color w:val="auto"/>
          <w:kern w:val="0"/>
          <w:sz w:val="32"/>
          <w:szCs w:val="32"/>
          <w:highlight w:val="none"/>
          <w:lang w:val="en-US" w:eastAsia="zh-CN" w:bidi="ar-SA"/>
        </w:rPr>
        <w:t>7247</w:t>
      </w: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人，发放资助金785.38万元，办理生源地贷款92人，贷款资金</w:t>
      </w:r>
      <w:r>
        <w:rPr>
          <w:rFonts w:hint="eastAsia" w:ascii="Times New Roman" w:hAnsi="Times New Roman" w:eastAsia="仿宋_GB2312" w:cs="Times New Roman"/>
          <w:snapToGrid w:val="0"/>
          <w:color w:val="auto"/>
          <w:kern w:val="0"/>
          <w:sz w:val="32"/>
          <w:szCs w:val="32"/>
          <w:highlight w:val="none"/>
          <w:lang w:val="en-US" w:eastAsia="zh-CN" w:bidi="ar-SA"/>
        </w:rPr>
        <w:t>114.09</w:t>
      </w: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万元。对全区5万多名学生进行2次视力筛查，6500余名学龄前儿童进行视力筛查和视觉训练干预，以津门小学、实验小学等6家学校为中医适宜技术防控儿童青少年近视试点，对学生近视进行早防早控。</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snapToGrid/>
        <w:spacing w:line="550" w:lineRule="exact"/>
        <w:ind w:firstLine="640" w:firstLineChars="200"/>
        <w:contextualSpacing/>
        <w:jc w:val="both"/>
        <w:textAlignment w:val="auto"/>
        <w:rPr>
          <w:rFonts w:hint="eastAsia" w:ascii="Times New Roman" w:hAnsi="Times New Roman" w:eastAsia="仿宋_GB2312" w:cs="Times New Roman"/>
          <w:snapToGrid w:val="0"/>
          <w:color w:val="000000" w:themeColor="text1"/>
          <w:kern w:val="0"/>
          <w:sz w:val="32"/>
          <w:szCs w:val="32"/>
          <w:highlight w:val="none"/>
          <w:lang w:val="zh-CN" w:eastAsia="zh-CN" w:bidi="ar-SA"/>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2.</w:t>
      </w: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民呼我应解决难题。</w:t>
      </w: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收到人大代表建议、政协委员提案7件，各类政民互动平台意见建议4044件，办结率100%。助力优化营商环境，累计解决45名企业员工子女入学、转学问题，吸引更多人才来东丽区投资创业、就业发展。</w:t>
      </w:r>
      <w:r>
        <w:rPr>
          <w:rFonts w:hint="eastAsia" w:ascii="Times New Roman" w:hAnsi="Times New Roman" w:eastAsia="仿宋_GB2312" w:cs="Times New Roman"/>
          <w:snapToGrid w:val="0"/>
          <w:color w:val="000000" w:themeColor="text1"/>
          <w:kern w:val="0"/>
          <w:sz w:val="32"/>
          <w:szCs w:val="32"/>
          <w:highlight w:val="none"/>
          <w:lang w:val="zh-CN" w:eastAsia="zh-CN" w:bidi="ar-SA"/>
          <w14:textFill>
            <w14:solidFill>
              <w14:schemeClr w14:val="tx1"/>
            </w14:solidFill>
          </w14:textFill>
        </w:rPr>
        <w:t>加强军地、军民团结，全面落实优抚政策，</w:t>
      </w: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解决34名</w:t>
      </w:r>
      <w:r>
        <w:rPr>
          <w:rFonts w:hint="eastAsia" w:ascii="Times New Roman" w:hAnsi="Times New Roman" w:eastAsia="仿宋_GB2312" w:cs="Times New Roman"/>
          <w:snapToGrid w:val="0"/>
          <w:color w:val="000000" w:themeColor="text1"/>
          <w:kern w:val="0"/>
          <w:sz w:val="32"/>
          <w:szCs w:val="32"/>
          <w:highlight w:val="none"/>
          <w:lang w:val="zh-CN" w:eastAsia="zh-CN" w:bidi="ar-SA"/>
          <w14:textFill>
            <w14:solidFill>
              <w14:schemeClr w14:val="tx1"/>
            </w14:solidFill>
          </w14:textFill>
        </w:rPr>
        <w:t>驻军部队子女入学入托，完成202</w:t>
      </w: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3</w:t>
      </w:r>
      <w:r>
        <w:rPr>
          <w:rFonts w:hint="eastAsia" w:ascii="Times New Roman" w:hAnsi="Times New Roman" w:eastAsia="仿宋_GB2312" w:cs="Times New Roman"/>
          <w:snapToGrid w:val="0"/>
          <w:color w:val="000000" w:themeColor="text1"/>
          <w:kern w:val="0"/>
          <w:sz w:val="32"/>
          <w:szCs w:val="32"/>
          <w:highlight w:val="none"/>
          <w:lang w:val="zh-CN" w:eastAsia="zh-CN" w:bidi="ar-SA"/>
          <w14:textFill>
            <w14:solidFill>
              <w14:schemeClr w14:val="tx1"/>
            </w14:solidFill>
          </w14:textFill>
        </w:rPr>
        <w:t>年东丽区征兵学历审查、兵员审定工作，形成良好的军民共建氛围。</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snapToGrid/>
        <w:spacing w:line="550" w:lineRule="exact"/>
        <w:ind w:firstLine="640" w:firstLineChars="200"/>
        <w:contextualSpacing/>
        <w:jc w:val="both"/>
        <w:textAlignment w:val="auto"/>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3.</w:t>
      </w: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交流合作落到实处。</w:t>
      </w: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扎实深化东西部协作和支援合作，选派援甘教师23名，助力乡村振兴。累计接待3批共166名干部、教师到我区开展培训交流活动，深化我区45所中小学、幼儿园巩固与受援县82所学校结对成果，深化结对关系，突出帮扶成效。全年消费帮扶260余万元，向结对地区捐款捐物4万余元，助力乡村振兴。</w:t>
      </w:r>
    </w:p>
    <w:p>
      <w:pPr>
        <w:pStyle w:val="4"/>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pPr>
    </w:p>
    <w:p>
      <w:pPr>
        <w:pStyle w:val="4"/>
        <w:rPr>
          <w:rFonts w:hint="eastAsia" w:ascii="Times New Roman" w:hAnsi="Times New Roman" w:eastAsia="仿宋_GB2312" w:cs="Times New Roman"/>
          <w:snapToGrid w:val="0"/>
          <w:color w:val="000000" w:themeColor="text1"/>
          <w:kern w:val="0"/>
          <w:sz w:val="32"/>
          <w:szCs w:val="32"/>
          <w:lang w:val="en-US" w:eastAsia="zh-CN" w:bidi="ar-SA"/>
          <w14:textFill>
            <w14:solidFill>
              <w14:schemeClr w14:val="tx1"/>
            </w14:solidFill>
          </w14:textFill>
        </w:rPr>
      </w:pPr>
    </w:p>
    <w:p>
      <w:pPr>
        <w:pStyle w:val="4"/>
        <w:rPr>
          <w:rFonts w:hint="eastAsia" w:ascii="Times New Roman" w:hAnsi="Times New Roman" w:eastAsia="仿宋_GB2312" w:cs="Times New Roman"/>
          <w:snapToGrid w:val="0"/>
          <w:color w:val="000000" w:themeColor="text1"/>
          <w:kern w:val="0"/>
          <w:sz w:val="32"/>
          <w:szCs w:val="32"/>
          <w:lang w:val="en-US" w:eastAsia="zh-CN" w:bidi="ar-SA"/>
          <w14:textFill>
            <w14:solidFill>
              <w14:schemeClr w14:val="tx1"/>
            </w14:solidFill>
          </w14:textFill>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00000" w:usb3="00000000" w:csb0="00040000" w:csb1="00000000"/>
  </w:font>
  <w:font w:name="文星仿宋">
    <w:altName w:val="仿宋"/>
    <w:panose1 w:val="00000000000000000000"/>
    <w:charset w:val="00"/>
    <w:family w:val="auto"/>
    <w:pitch w:val="default"/>
    <w:sig w:usb0="00000000" w:usb1="00000000" w:usb2="00000010"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w:t>
                          </w:r>
                          <w:r>
                            <w:rPr>
                              <w:rFonts w:hint="eastAsia" w:ascii="宋体" w:hAnsi="宋体" w:eastAsia="宋体" w:cs="宋体"/>
                              <w:sz w:val="24"/>
                              <w:szCs w:val="24"/>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t>—</w:t>
                    </w:r>
                    <w:r>
                      <w:rPr>
                        <w:rFonts w:hint="eastAsia" w:ascii="宋体" w:hAnsi="宋体" w:eastAsia="宋体" w:cs="宋体"/>
                        <w:sz w:val="24"/>
                        <w:szCs w:val="24"/>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iOWE2NjEwZGJjZjQ3ZjQwZGFiNTY4NjNhYmZhYTYifQ=="/>
  </w:docVars>
  <w:rsids>
    <w:rsidRoot w:val="7406375B"/>
    <w:rsid w:val="00692E57"/>
    <w:rsid w:val="01970BC3"/>
    <w:rsid w:val="023C4E17"/>
    <w:rsid w:val="02A200E9"/>
    <w:rsid w:val="02F24BE4"/>
    <w:rsid w:val="077270B3"/>
    <w:rsid w:val="0B236202"/>
    <w:rsid w:val="0B43617A"/>
    <w:rsid w:val="0B9E52ED"/>
    <w:rsid w:val="0C420E09"/>
    <w:rsid w:val="0C9523B7"/>
    <w:rsid w:val="0D870F11"/>
    <w:rsid w:val="10BC20F4"/>
    <w:rsid w:val="11292A0B"/>
    <w:rsid w:val="117F3186"/>
    <w:rsid w:val="12472E95"/>
    <w:rsid w:val="13CC1571"/>
    <w:rsid w:val="13FA6C31"/>
    <w:rsid w:val="153E5197"/>
    <w:rsid w:val="15B669CC"/>
    <w:rsid w:val="16BE0537"/>
    <w:rsid w:val="17DF5B98"/>
    <w:rsid w:val="18003D99"/>
    <w:rsid w:val="18090EA0"/>
    <w:rsid w:val="18BE55DD"/>
    <w:rsid w:val="18F14763"/>
    <w:rsid w:val="196547FC"/>
    <w:rsid w:val="1A08264E"/>
    <w:rsid w:val="1AE71464"/>
    <w:rsid w:val="1B4403E5"/>
    <w:rsid w:val="1CD97604"/>
    <w:rsid w:val="1DEC729A"/>
    <w:rsid w:val="1FD629B5"/>
    <w:rsid w:val="20A0068D"/>
    <w:rsid w:val="21D82483"/>
    <w:rsid w:val="21DD12A4"/>
    <w:rsid w:val="22122EB9"/>
    <w:rsid w:val="228710A4"/>
    <w:rsid w:val="23A814DA"/>
    <w:rsid w:val="23D21FE8"/>
    <w:rsid w:val="240A06F7"/>
    <w:rsid w:val="24257892"/>
    <w:rsid w:val="25585215"/>
    <w:rsid w:val="255C0EBD"/>
    <w:rsid w:val="26B64CFD"/>
    <w:rsid w:val="2761467A"/>
    <w:rsid w:val="27E50C16"/>
    <w:rsid w:val="2B430715"/>
    <w:rsid w:val="2BAC46AA"/>
    <w:rsid w:val="2DF8576E"/>
    <w:rsid w:val="2E8517E0"/>
    <w:rsid w:val="2EF97A69"/>
    <w:rsid w:val="2FC0109A"/>
    <w:rsid w:val="2FE7613A"/>
    <w:rsid w:val="3224635A"/>
    <w:rsid w:val="33537857"/>
    <w:rsid w:val="3359561A"/>
    <w:rsid w:val="34D70062"/>
    <w:rsid w:val="34FD4454"/>
    <w:rsid w:val="36146F36"/>
    <w:rsid w:val="367D10F2"/>
    <w:rsid w:val="36985DB9"/>
    <w:rsid w:val="37B7226F"/>
    <w:rsid w:val="3B2D3F7E"/>
    <w:rsid w:val="3B466CD9"/>
    <w:rsid w:val="3C0A0D05"/>
    <w:rsid w:val="3E1626C7"/>
    <w:rsid w:val="3E7F23BA"/>
    <w:rsid w:val="3EF82F39"/>
    <w:rsid w:val="3F4563B2"/>
    <w:rsid w:val="409E596A"/>
    <w:rsid w:val="411A3E3B"/>
    <w:rsid w:val="415805F1"/>
    <w:rsid w:val="437A5885"/>
    <w:rsid w:val="45C953D0"/>
    <w:rsid w:val="46192347"/>
    <w:rsid w:val="49EE325A"/>
    <w:rsid w:val="4A4A7BCF"/>
    <w:rsid w:val="4AE41175"/>
    <w:rsid w:val="4B59617D"/>
    <w:rsid w:val="4BDA4326"/>
    <w:rsid w:val="4C94692B"/>
    <w:rsid w:val="4D3D6261"/>
    <w:rsid w:val="4E2F4B6D"/>
    <w:rsid w:val="4EC16211"/>
    <w:rsid w:val="4FFF4F35"/>
    <w:rsid w:val="52184A5B"/>
    <w:rsid w:val="527F49BF"/>
    <w:rsid w:val="529A65BD"/>
    <w:rsid w:val="567B0038"/>
    <w:rsid w:val="5765363E"/>
    <w:rsid w:val="5820511C"/>
    <w:rsid w:val="58A669B6"/>
    <w:rsid w:val="59C87418"/>
    <w:rsid w:val="5B297208"/>
    <w:rsid w:val="5C7834CB"/>
    <w:rsid w:val="5C955189"/>
    <w:rsid w:val="5E8351CF"/>
    <w:rsid w:val="616B05D0"/>
    <w:rsid w:val="61C716E1"/>
    <w:rsid w:val="62674759"/>
    <w:rsid w:val="628030DA"/>
    <w:rsid w:val="62847924"/>
    <w:rsid w:val="638E4D64"/>
    <w:rsid w:val="67377EF0"/>
    <w:rsid w:val="69B833A1"/>
    <w:rsid w:val="6CC93BB8"/>
    <w:rsid w:val="6CD521C2"/>
    <w:rsid w:val="6D8842B7"/>
    <w:rsid w:val="6F9B59F7"/>
    <w:rsid w:val="706D20F0"/>
    <w:rsid w:val="71F275CE"/>
    <w:rsid w:val="72620DB4"/>
    <w:rsid w:val="72AA6854"/>
    <w:rsid w:val="72EB40BA"/>
    <w:rsid w:val="7406375B"/>
    <w:rsid w:val="750F1A33"/>
    <w:rsid w:val="75114065"/>
    <w:rsid w:val="755F59AA"/>
    <w:rsid w:val="761F6241"/>
    <w:rsid w:val="76392857"/>
    <w:rsid w:val="763C62A6"/>
    <w:rsid w:val="784B0444"/>
    <w:rsid w:val="786D3D1D"/>
    <w:rsid w:val="79CC1B79"/>
    <w:rsid w:val="7ABB6F28"/>
    <w:rsid w:val="7AEF0E32"/>
    <w:rsid w:val="7AF4420D"/>
    <w:rsid w:val="7B587D69"/>
    <w:rsid w:val="7C49683E"/>
    <w:rsid w:val="7D1666BD"/>
    <w:rsid w:val="7DFD5EAF"/>
    <w:rsid w:val="7FD45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4">
    <w:name w:val="Normal Indent"/>
    <w:basedOn w:val="1"/>
    <w:autoRedefine/>
    <w:qFormat/>
    <w:uiPriority w:val="0"/>
    <w:pPr>
      <w:widowControl/>
      <w:ind w:firstLine="420"/>
      <w:jc w:val="left"/>
    </w:pPr>
    <w:rPr>
      <w:rFonts w:ascii="宋体" w:hAnsi="Courier New" w:eastAsia="宋体" w:cs="Times New Roman"/>
      <w:kern w:val="0"/>
      <w:sz w:val="20"/>
      <w:szCs w:val="24"/>
      <w:lang w:eastAsia="en-US"/>
    </w:rPr>
  </w:style>
  <w:style w:type="paragraph" w:styleId="5">
    <w:name w:val="Body Text Indent"/>
    <w:basedOn w:val="1"/>
    <w:autoRedefine/>
    <w:qFormat/>
    <w:uiPriority w:val="0"/>
    <w:pPr>
      <w:spacing w:after="120" w:afterLines="0" w:afterAutospacing="0"/>
      <w:ind w:left="420" w:leftChars="200"/>
    </w:pPr>
  </w:style>
  <w:style w:type="paragraph" w:styleId="6">
    <w:name w:val="Body Text Indent 2"/>
    <w:basedOn w:val="1"/>
    <w:autoRedefine/>
    <w:qFormat/>
    <w:uiPriority w:val="0"/>
    <w:pPr>
      <w:ind w:firstLine="644" w:firstLineChars="200"/>
    </w:pPr>
    <w:rPr>
      <w:rFonts w:ascii="Times New Roman" w:hAnsi="Times New Roman" w:eastAsia="黑体"/>
      <w:sz w:val="32"/>
      <w:szCs w:val="24"/>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5"/>
    <w:autoRedefine/>
    <w:qFormat/>
    <w:uiPriority w:val="0"/>
    <w:pPr>
      <w:ind w:firstLine="420" w:firstLineChars="200"/>
    </w:pPr>
  </w:style>
  <w:style w:type="character" w:styleId="12">
    <w:name w:val="Strong"/>
    <w:basedOn w:val="11"/>
    <w:autoRedefine/>
    <w:qFormat/>
    <w:uiPriority w:val="0"/>
    <w:rPr>
      <w:b/>
      <w:bCs/>
    </w:rPr>
  </w:style>
  <w:style w:type="character" w:styleId="13">
    <w:name w:val="page number"/>
    <w:basedOn w:val="11"/>
    <w:autoRedefine/>
    <w:qFormat/>
    <w:uiPriority w:val="0"/>
  </w:style>
  <w:style w:type="character" w:styleId="14">
    <w:name w:val="FollowedHyperlink"/>
    <w:basedOn w:val="11"/>
    <w:autoRedefine/>
    <w:qFormat/>
    <w:uiPriority w:val="0"/>
    <w:rPr>
      <w:rFonts w:hint="eastAsia" w:ascii="微软雅黑" w:hAnsi="微软雅黑" w:eastAsia="微软雅黑" w:cs="微软雅黑"/>
      <w:color w:val="333333"/>
      <w:u w:val="none"/>
    </w:rPr>
  </w:style>
  <w:style w:type="character" w:styleId="15">
    <w:name w:val="Emphasis"/>
    <w:basedOn w:val="11"/>
    <w:autoRedefine/>
    <w:qFormat/>
    <w:uiPriority w:val="0"/>
    <w:rPr>
      <w:i/>
    </w:rPr>
  </w:style>
  <w:style w:type="character" w:styleId="16">
    <w:name w:val="Hyperlink"/>
    <w:basedOn w:val="11"/>
    <w:autoRedefine/>
    <w:qFormat/>
    <w:uiPriority w:val="0"/>
    <w:rPr>
      <w:rFonts w:ascii="微软雅黑" w:hAnsi="微软雅黑" w:eastAsia="微软雅黑" w:cs="微软雅黑"/>
      <w:color w:val="333333"/>
      <w:u w:val="none"/>
    </w:rPr>
  </w:style>
  <w:style w:type="paragraph" w:customStyle="1" w:styleId="17">
    <w:name w:val="Default"/>
    <w:autoRedefine/>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customStyle="1" w:styleId="18">
    <w:name w:val="BodyText1I"/>
    <w:basedOn w:val="19"/>
    <w:autoRedefine/>
    <w:qFormat/>
    <w:uiPriority w:val="0"/>
    <w:pPr>
      <w:ind w:firstLine="100" w:firstLineChars="100"/>
      <w:jc w:val="both"/>
      <w:textAlignment w:val="baseline"/>
    </w:pPr>
  </w:style>
  <w:style w:type="paragraph" w:customStyle="1" w:styleId="19">
    <w:name w:val="BodyText"/>
    <w:basedOn w:val="1"/>
    <w:next w:val="18"/>
    <w:autoRedefine/>
    <w:qFormat/>
    <w:uiPriority w:val="0"/>
    <w:pPr>
      <w:jc w:val="both"/>
      <w:textAlignment w:val="baseline"/>
    </w:pPr>
    <w:rPr>
      <w:rFonts w:ascii="Times New Roman" w:hAnsi="Times New Roman" w:eastAsia="文星仿宋"/>
      <w:kern w:val="2"/>
      <w:sz w:val="32"/>
      <w:szCs w:val="22"/>
      <w:lang w:val="en-US" w:eastAsia="zh-CN" w:bidi="ar-SA"/>
    </w:rPr>
  </w:style>
  <w:style w:type="character" w:customStyle="1" w:styleId="20">
    <w:name w:val="NormalCharacter"/>
    <w:autoRedefine/>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4696</Words>
  <Characters>4940</Characters>
  <Lines>0</Lines>
  <Paragraphs>0</Paragraphs>
  <TotalTime>41</TotalTime>
  <ScaleCrop>false</ScaleCrop>
  <LinksUpToDate>false</LinksUpToDate>
  <CharactersWithSpaces>4984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2022-12-14T11:25:00Z</dcterms:created>
  <dc:creator>DENNY</dc:creator>
  <cp:lastModifiedBy>笔记天天向上</cp:lastModifiedBy>
  <cp:lastPrinted>2023-01-03T07:41:00Z</cp:lastPrinted>
  <dcterms:modified xsi:type="dcterms:W3CDTF">2024-02-27T02:15:32Z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970329414128499199A13C8ED798E862_13</vt:lpwstr>
  </property>
</Properties>
</file>