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spacing w:val="5"/>
          <w:sz w:val="44"/>
          <w:szCs w:val="4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000000"/>
          <w:spacing w:val="5"/>
          <w:sz w:val="44"/>
          <w:szCs w:val="44"/>
          <w:highlight w:val="none"/>
          <w:lang w:val="en-US" w:eastAsia="zh-CN"/>
        </w:rPr>
        <w:t>关于公开征集2024年度东丽区教育局重大行政决策事项的公告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5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5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5"/>
          <w:sz w:val="32"/>
          <w:szCs w:val="32"/>
          <w:highlight w:val="none"/>
          <w:lang w:eastAsia="zh-CN"/>
        </w:rPr>
        <w:t>为规范重大行政决策行为，促进依法决策、科学决策和民主决策，提高决策的质量和效率，根据《天津市重大行政决策程序规定》《天津市重大行政决策事项目录管理办法》《天津市人民政府办公厅关于征集202</w:t>
      </w:r>
      <w:r>
        <w:rPr>
          <w:rFonts w:hint="default" w:ascii="Times New Roman" w:hAnsi="Times New Roman" w:eastAsia="仿宋_GB2312" w:cs="Times New Roman"/>
          <w:color w:val="000000"/>
          <w:spacing w:val="5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pacing w:val="5"/>
          <w:sz w:val="32"/>
          <w:szCs w:val="32"/>
          <w:highlight w:val="none"/>
          <w:lang w:eastAsia="zh-CN"/>
        </w:rPr>
        <w:t>年度市政府重大行政决策事项建议的通知》有关要求，</w:t>
      </w:r>
      <w:r>
        <w:rPr>
          <w:rFonts w:hint="eastAsia" w:ascii="Times New Roman" w:hAnsi="Times New Roman" w:eastAsia="仿宋_GB2312" w:cs="Times New Roman"/>
          <w:color w:val="000000"/>
          <w:spacing w:val="5"/>
          <w:sz w:val="32"/>
          <w:szCs w:val="32"/>
          <w:highlight w:val="none"/>
          <w:lang w:eastAsia="zh-CN"/>
        </w:rPr>
        <w:t>教育局</w:t>
      </w:r>
      <w:r>
        <w:rPr>
          <w:rFonts w:hint="default" w:ascii="Times New Roman" w:hAnsi="Times New Roman" w:eastAsia="仿宋_GB2312" w:cs="Times New Roman"/>
          <w:color w:val="000000"/>
          <w:spacing w:val="5"/>
          <w:sz w:val="32"/>
          <w:szCs w:val="32"/>
          <w:highlight w:val="none"/>
          <w:lang w:eastAsia="zh-CN"/>
        </w:rPr>
        <w:t>重大行政决策事项实行目录管理制度。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5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5"/>
          <w:sz w:val="32"/>
          <w:szCs w:val="32"/>
          <w:highlight w:val="none"/>
          <w:lang w:eastAsia="zh-CN"/>
        </w:rPr>
        <w:t>为科学合理确定2024年度</w:t>
      </w:r>
      <w:r>
        <w:rPr>
          <w:rFonts w:hint="eastAsia" w:ascii="Times New Roman" w:hAnsi="Times New Roman" w:eastAsia="仿宋_GB2312" w:cs="Times New Roman"/>
          <w:color w:val="000000"/>
          <w:spacing w:val="5"/>
          <w:sz w:val="32"/>
          <w:szCs w:val="32"/>
          <w:highlight w:val="none"/>
          <w:lang w:eastAsia="zh-CN"/>
        </w:rPr>
        <w:t>东丽</w:t>
      </w:r>
      <w:r>
        <w:rPr>
          <w:rFonts w:hint="default" w:ascii="Times New Roman" w:hAnsi="Times New Roman" w:eastAsia="仿宋_GB2312" w:cs="Times New Roman"/>
          <w:color w:val="000000"/>
          <w:spacing w:val="5"/>
          <w:sz w:val="32"/>
          <w:szCs w:val="32"/>
          <w:highlight w:val="none"/>
          <w:lang w:eastAsia="zh-CN"/>
        </w:rPr>
        <w:t>区教育局重大行政决策目录事项，保障决策目录科学严谨，现向社会公众公开征集2024年度</w:t>
      </w:r>
      <w:r>
        <w:rPr>
          <w:rFonts w:hint="eastAsia" w:ascii="Times New Roman" w:hAnsi="Times New Roman" w:eastAsia="仿宋_GB2312" w:cs="Times New Roman"/>
          <w:color w:val="000000"/>
          <w:spacing w:val="5"/>
          <w:sz w:val="32"/>
          <w:szCs w:val="32"/>
          <w:highlight w:val="none"/>
          <w:lang w:eastAsia="zh-CN"/>
        </w:rPr>
        <w:t>东丽区</w:t>
      </w:r>
      <w:r>
        <w:rPr>
          <w:rFonts w:hint="default" w:ascii="Times New Roman" w:hAnsi="Times New Roman" w:eastAsia="仿宋_GB2312" w:cs="Times New Roman"/>
          <w:color w:val="000000"/>
          <w:spacing w:val="5"/>
          <w:sz w:val="32"/>
          <w:szCs w:val="32"/>
          <w:highlight w:val="none"/>
          <w:lang w:eastAsia="zh-CN"/>
        </w:rPr>
        <w:t>教育局重大行政决策事项。如有建议、意见的，请于2024年</w:t>
      </w:r>
      <w:r>
        <w:rPr>
          <w:rFonts w:hint="eastAsia" w:ascii="Times New Roman" w:hAnsi="Times New Roman" w:eastAsia="仿宋_GB2312" w:cs="Times New Roman"/>
          <w:color w:val="000000"/>
          <w:spacing w:val="5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pacing w:val="5"/>
          <w:sz w:val="32"/>
          <w:szCs w:val="32"/>
          <w:highlight w:val="none"/>
          <w:lang w:eastAsia="zh-CN"/>
        </w:rPr>
        <w:t>月</w:t>
      </w:r>
      <w:r>
        <w:rPr>
          <w:rFonts w:hint="eastAsia" w:ascii="Times New Roman" w:hAnsi="Times New Roman" w:eastAsia="仿宋_GB2312" w:cs="Times New Roman"/>
          <w:color w:val="000000"/>
          <w:spacing w:val="5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000000"/>
          <w:spacing w:val="5"/>
          <w:sz w:val="32"/>
          <w:szCs w:val="32"/>
          <w:highlight w:val="none"/>
          <w:lang w:eastAsia="zh-CN"/>
        </w:rPr>
        <w:t>日前反馈。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5"/>
          <w:sz w:val="32"/>
          <w:szCs w:val="32"/>
          <w:highlight w:val="none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/>
          <w:spacing w:val="5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pacing w:val="5"/>
          <w:kern w:val="2"/>
          <w:sz w:val="32"/>
          <w:szCs w:val="32"/>
          <w:highlight w:val="none"/>
          <w:lang w:val="en-US" w:eastAsia="zh-CN" w:bidi="ar-SA"/>
        </w:rPr>
        <w:t>联系电话：84375216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/>
          <w:spacing w:val="5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pacing w:val="5"/>
          <w:kern w:val="2"/>
          <w:sz w:val="32"/>
          <w:szCs w:val="32"/>
          <w:highlight w:val="none"/>
          <w:lang w:val="en-US" w:eastAsia="zh-CN" w:bidi="ar-SA"/>
        </w:rPr>
        <w:t>电子邮箱：</w:t>
      </w:r>
      <w:r>
        <w:rPr>
          <w:rFonts w:hint="eastAsia" w:ascii="Times New Roman" w:hAnsi="Times New Roman" w:eastAsia="仿宋_GB2312" w:cs="Times New Roman"/>
          <w:color w:val="000000"/>
          <w:spacing w:val="5"/>
          <w:kern w:val="2"/>
          <w:sz w:val="32"/>
          <w:szCs w:val="32"/>
          <w:highlight w:val="none"/>
          <w:u w:val="none"/>
          <w:lang w:val="en-US" w:eastAsia="zh-CN" w:bidi="ar-SA"/>
        </w:rPr>
        <w:fldChar w:fldCharType="begin"/>
      </w:r>
      <w:r>
        <w:rPr>
          <w:rFonts w:hint="eastAsia" w:ascii="Times New Roman" w:hAnsi="Times New Roman" w:eastAsia="仿宋_GB2312" w:cs="Times New Roman"/>
          <w:color w:val="000000"/>
          <w:spacing w:val="5"/>
          <w:kern w:val="2"/>
          <w:sz w:val="32"/>
          <w:szCs w:val="32"/>
          <w:highlight w:val="none"/>
          <w:u w:val="none"/>
          <w:lang w:val="en-US" w:eastAsia="zh-CN" w:bidi="ar-SA"/>
        </w:rPr>
        <w:instrText xml:space="preserve"> HYPERLINK "mailto:dlqjyj01@tj.gov.cn" </w:instrText>
      </w:r>
      <w:r>
        <w:rPr>
          <w:rFonts w:hint="eastAsia" w:ascii="Times New Roman" w:hAnsi="Times New Roman" w:eastAsia="仿宋_GB2312" w:cs="Times New Roman"/>
          <w:color w:val="000000"/>
          <w:spacing w:val="5"/>
          <w:kern w:val="2"/>
          <w:sz w:val="32"/>
          <w:szCs w:val="32"/>
          <w:highlight w:val="none"/>
          <w:u w:val="none"/>
          <w:lang w:val="en-US" w:eastAsia="zh-CN" w:bidi="ar-SA"/>
        </w:rPr>
        <w:fldChar w:fldCharType="separate"/>
      </w:r>
      <w:r>
        <w:rPr>
          <w:rStyle w:val="8"/>
          <w:rFonts w:hint="eastAsia" w:ascii="Times New Roman" w:hAnsi="Times New Roman" w:eastAsia="仿宋_GB2312" w:cs="Times New Roman"/>
          <w:color w:val="000000"/>
          <w:spacing w:val="5"/>
          <w:kern w:val="2"/>
          <w:sz w:val="32"/>
          <w:szCs w:val="32"/>
          <w:highlight w:val="none"/>
          <w:u w:val="none"/>
          <w:lang w:val="en-US" w:eastAsia="zh-CN" w:bidi="ar-SA"/>
        </w:rPr>
        <w:t>dlqjyj01@tj.gov.cn</w:t>
      </w:r>
      <w:r>
        <w:rPr>
          <w:rFonts w:hint="eastAsia" w:ascii="Times New Roman" w:hAnsi="Times New Roman" w:eastAsia="仿宋_GB2312" w:cs="Times New Roman"/>
          <w:color w:val="000000"/>
          <w:spacing w:val="5"/>
          <w:kern w:val="2"/>
          <w:sz w:val="32"/>
          <w:szCs w:val="32"/>
          <w:highlight w:val="none"/>
          <w:u w:val="none"/>
          <w:lang w:val="en-US" w:eastAsia="zh-CN" w:bidi="ar-SA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/>
          <w:spacing w:val="5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5"/>
          <w:sz w:val="32"/>
          <w:szCs w:val="32"/>
          <w:highlight w:val="none"/>
          <w:lang w:val="en-US" w:eastAsia="zh-CN"/>
        </w:rPr>
        <w:t>附件：</w:t>
      </w:r>
      <w:r>
        <w:rPr>
          <w:rFonts w:hint="eastAsia" w:ascii="Times New Roman" w:hAnsi="Times New Roman" w:eastAsia="仿宋_GB2312" w:cs="Times New Roman"/>
          <w:color w:val="000000"/>
          <w:spacing w:val="5"/>
          <w:sz w:val="32"/>
          <w:szCs w:val="32"/>
          <w:highlight w:val="none"/>
          <w:lang w:eastAsia="zh-CN"/>
        </w:rPr>
        <w:t>重大行政决策的事项范围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/>
          <w:spacing w:val="5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/>
          <w:spacing w:val="5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Times New Roman" w:hAnsi="Times New Roman" w:eastAsia="仿宋_GB2312" w:cs="Times New Roman"/>
          <w:color w:val="000000"/>
          <w:spacing w:val="5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pacing w:val="5"/>
          <w:kern w:val="2"/>
          <w:sz w:val="32"/>
          <w:szCs w:val="32"/>
          <w:highlight w:val="none"/>
          <w:lang w:val="en-US" w:eastAsia="zh-CN" w:bidi="ar-SA"/>
        </w:rPr>
        <w:t xml:space="preserve">                              东丽区教育局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Times New Roman" w:hAnsi="Times New Roman" w:eastAsia="仿宋_GB2312" w:cs="Times New Roman"/>
          <w:color w:val="000000"/>
          <w:spacing w:val="5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pacing w:val="5"/>
          <w:kern w:val="2"/>
          <w:sz w:val="32"/>
          <w:szCs w:val="32"/>
          <w:highlight w:val="none"/>
          <w:lang w:val="en-US" w:eastAsia="zh-CN" w:bidi="ar-SA"/>
        </w:rPr>
        <w:t xml:space="preserve">  2024年3月26日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Times New Roman" w:hAnsi="Times New Roman" w:eastAsia="仿宋_GB2312" w:cs="Times New Roman"/>
          <w:color w:val="000000"/>
          <w:spacing w:val="5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Times New Roman" w:hAnsi="Times New Roman" w:eastAsia="仿宋_GB2312" w:cs="Times New Roman"/>
          <w:color w:val="000000"/>
          <w:spacing w:val="5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Times New Roman" w:hAnsi="Times New Roman" w:eastAsia="仿宋_GB2312" w:cs="Times New Roman"/>
          <w:color w:val="000000"/>
          <w:spacing w:val="5"/>
          <w:kern w:val="2"/>
          <w:sz w:val="32"/>
          <w:szCs w:val="32"/>
          <w:highlight w:val="none"/>
          <w:lang w:val="en-US" w:eastAsia="zh-CN" w:bidi="ar-SA"/>
        </w:rPr>
      </w:pPr>
    </w:p>
    <w:p>
      <w:pPr>
        <w:widowControl/>
        <w:spacing w:line="560" w:lineRule="exact"/>
        <w:jc w:val="left"/>
      </w:pPr>
      <w:r>
        <w:rPr>
          <w:rFonts w:hint="eastAsia" w:ascii="黑体" w:hAnsi="黑体" w:eastAsia="黑体" w:cs="Times New Roman"/>
          <w:color w:val="333333"/>
          <w:kern w:val="0"/>
          <w:sz w:val="32"/>
        </w:rPr>
        <w:t>附件</w:t>
      </w:r>
      <w:r>
        <w:rPr>
          <w:rFonts w:hint="eastAsia" w:ascii="黑体" w:hAnsi="黑体" w:eastAsia="黑体" w:cs="宋体"/>
          <w:color w:val="333333"/>
          <w:kern w:val="0"/>
          <w:sz w:val="32"/>
        </w:rPr>
        <w:t>：</w:t>
      </w:r>
    </w:p>
    <w:p>
      <w:pPr>
        <w:widowControl/>
        <w:spacing w:line="560" w:lineRule="exact"/>
        <w:jc w:val="center"/>
        <w:rPr>
          <w:rFonts w:hint="eastAsia" w:ascii="方正小标宋简体" w:hAnsi="微软雅黑" w:eastAsia="方正小标宋简体" w:cs="宋体"/>
          <w:color w:val="333333"/>
          <w:kern w:val="0"/>
          <w:sz w:val="44"/>
        </w:rPr>
      </w:pPr>
      <w:r>
        <w:rPr>
          <w:rFonts w:hint="eastAsia" w:ascii="方正小标宋简体" w:hAnsi="微软雅黑" w:eastAsia="方正小标宋简体" w:cs="宋体"/>
          <w:color w:val="333333"/>
          <w:kern w:val="0"/>
          <w:sz w:val="44"/>
        </w:rPr>
        <w:t>重大行政决策的事项范围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Times New Roman" w:hAnsi="Times New Roman" w:eastAsia="仿宋_GB2312" w:cs="Times New Roman"/>
          <w:color w:val="000000"/>
          <w:spacing w:val="5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/>
        <w:jc w:val="both"/>
        <w:textAlignment w:val="auto"/>
        <w:rPr>
          <w:rFonts w:hint="default" w:ascii="Times New Roman" w:hAnsi="Times New Roman" w:eastAsia="黑体" w:cs="Times New Roman"/>
          <w:color w:val="000000"/>
          <w:spacing w:val="5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pacing w:val="5"/>
          <w:sz w:val="32"/>
          <w:szCs w:val="32"/>
          <w:highlight w:val="none"/>
          <w:lang w:eastAsia="zh-CN"/>
        </w:rPr>
        <w:t>建议事项范围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5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5"/>
          <w:sz w:val="32"/>
          <w:szCs w:val="32"/>
          <w:highlight w:val="none"/>
          <w:lang w:eastAsia="zh-CN"/>
        </w:rPr>
        <w:t>重大行政决策事项一般涉及面广，对国家、集体或者公共利益和公民的权利义务影响深刻，具有基础性、全局性、长期性、综合性的特点。下列事项可列入建议范围：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pacing w:val="5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color w:val="000000"/>
          <w:spacing w:val="5"/>
          <w:sz w:val="32"/>
          <w:szCs w:val="32"/>
          <w:highlight w:val="none"/>
          <w:lang w:eastAsia="zh-CN"/>
        </w:rPr>
        <w:t>（一）制定有关公共服务、市场监管、社会管理、生态环境保护等方面的重大公共政策和措施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5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5"/>
          <w:sz w:val="32"/>
          <w:szCs w:val="32"/>
          <w:highlight w:val="none"/>
          <w:lang w:eastAsia="zh-CN"/>
        </w:rPr>
        <w:t>1.制定有关教育、科学技术、文化、医疗卫生、食品药品安全、社会保险、社会救助、养老、劳动保护、就业促进、住房保障等改革与发展的重大公共政策和措施；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5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5"/>
          <w:sz w:val="32"/>
          <w:szCs w:val="32"/>
          <w:highlight w:val="none"/>
          <w:lang w:eastAsia="zh-CN"/>
        </w:rPr>
        <w:t>2.制定有关资源配置、生态环境保护、治安管理、交通管理、城市管理、安全生产、城乡建设、乡村振兴、民族宗教等管理服务的重大公共政策和措施；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5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5"/>
          <w:sz w:val="32"/>
          <w:szCs w:val="32"/>
          <w:highlight w:val="none"/>
          <w:lang w:eastAsia="zh-CN"/>
        </w:rPr>
        <w:t>3.制定或者调整政府定价、政府指导价等公用事业价格的重大公共政策和措施。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pacing w:val="5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color w:val="000000"/>
          <w:spacing w:val="5"/>
          <w:sz w:val="32"/>
          <w:szCs w:val="32"/>
          <w:highlight w:val="none"/>
          <w:lang w:eastAsia="zh-CN"/>
        </w:rPr>
        <w:t>（二）制定经济和社会发展等方面的重要规划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5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5"/>
          <w:sz w:val="32"/>
          <w:szCs w:val="32"/>
          <w:highlight w:val="none"/>
          <w:lang w:eastAsia="zh-CN"/>
        </w:rPr>
        <w:t>1.国民经济和社会发展五年规划、年度计划；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5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5"/>
          <w:sz w:val="32"/>
          <w:szCs w:val="32"/>
          <w:highlight w:val="none"/>
          <w:lang w:eastAsia="zh-CN"/>
        </w:rPr>
        <w:t>2.国土空间总体规划、详细规划和专项规划，以及土地利用年度计划的编制和修改方案；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5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5"/>
          <w:sz w:val="32"/>
          <w:szCs w:val="32"/>
          <w:highlight w:val="none"/>
          <w:lang w:eastAsia="zh-CN"/>
        </w:rPr>
        <w:t>3.其他各类重点专项规划和区域规划的编制和修改方案。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pacing w:val="5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color w:val="000000"/>
          <w:spacing w:val="5"/>
          <w:sz w:val="32"/>
          <w:szCs w:val="32"/>
          <w:highlight w:val="none"/>
          <w:lang w:eastAsia="zh-CN"/>
        </w:rPr>
        <w:t>（三）制定开发利用、保护重要自然资源和文化资源的重大公共政策和措施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5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5"/>
          <w:sz w:val="32"/>
          <w:szCs w:val="32"/>
          <w:highlight w:val="none"/>
          <w:lang w:eastAsia="zh-CN"/>
        </w:rPr>
        <w:t>1.重要自然资源包括土地、矿产、森林、草原、湿地、海洋和自然保护地、水等各类重要自然资源；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5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5"/>
          <w:sz w:val="32"/>
          <w:szCs w:val="32"/>
          <w:highlight w:val="none"/>
          <w:lang w:eastAsia="zh-CN"/>
        </w:rPr>
        <w:t>2.重要文化资源包括历史文化名城名镇名村、历史文化街区、传统村落和传统民居、特色景观、风景名胜区、自然保护地、旅游度假区等，以及各级各类博物馆、美术馆、图书馆、文化馆、群众艺术馆、纪念馆、非物质文化遗产保护中心等文化文物单位馆藏的各类重要文化资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pacing w:val="5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color w:val="000000"/>
          <w:spacing w:val="5"/>
          <w:sz w:val="32"/>
          <w:szCs w:val="32"/>
          <w:highlight w:val="none"/>
          <w:lang w:eastAsia="zh-CN"/>
        </w:rPr>
        <w:t>（四）决定在本行政区域实施的重大公共建设项目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5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5"/>
          <w:sz w:val="32"/>
          <w:szCs w:val="32"/>
          <w:highlight w:val="none"/>
          <w:lang w:eastAsia="zh-CN"/>
        </w:rPr>
        <w:t>1.政府投资的重大社会公共建设项目；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5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5"/>
          <w:sz w:val="32"/>
          <w:szCs w:val="32"/>
          <w:highlight w:val="none"/>
          <w:lang w:eastAsia="zh-CN"/>
        </w:rPr>
        <w:t>2.需经政府核准、对社会公众利益有重大影响的建设项目；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/>
        <w:jc w:val="both"/>
        <w:textAlignment w:val="auto"/>
        <w:rPr>
          <w:rFonts w:hint="default" w:ascii="Times New Roman" w:hAnsi="Times New Roman" w:cs="Times New Roman"/>
          <w:color w:val="00000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5"/>
          <w:sz w:val="32"/>
          <w:szCs w:val="32"/>
          <w:highlight w:val="none"/>
          <w:lang w:val="en-US" w:eastAsia="zh-CN"/>
        </w:rPr>
        <w:t>3.城市新建超高层建筑建设项目。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pacing w:val="5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color w:val="000000"/>
          <w:spacing w:val="5"/>
          <w:sz w:val="32"/>
          <w:szCs w:val="32"/>
          <w:highlight w:val="none"/>
          <w:lang w:eastAsia="zh-CN"/>
        </w:rPr>
        <w:t>（五）其他重大事项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5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5"/>
          <w:sz w:val="32"/>
          <w:szCs w:val="32"/>
          <w:highlight w:val="none"/>
          <w:lang w:eastAsia="zh-CN"/>
        </w:rPr>
        <w:t>对经济社会发展有重大影响、涉及重大公共利益或者社会公众切身利益的重大招商引资项目，重大国有资产处置事项，行政管理体制改革、区域协调发展的重大措施，以及对经济社会发展和民生改善有直接、广泛和重要影响的公共资源配置等其他重大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FBF2C6"/>
    <w:multiLevelType w:val="singleLevel"/>
    <w:tmpl w:val="D6FBF2C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iOWE2NjEwZGJjZjQ3ZjQwZGFiNTY4NjNhYmZhYTYifQ=="/>
  </w:docVars>
  <w:rsids>
    <w:rsidRoot w:val="1F450A87"/>
    <w:rsid w:val="0E925DBF"/>
    <w:rsid w:val="0FC150CF"/>
    <w:rsid w:val="1F450A87"/>
    <w:rsid w:val="2A26293F"/>
    <w:rsid w:val="42297646"/>
    <w:rsid w:val="461C7016"/>
    <w:rsid w:val="56FC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2024-03-26T01:07:00Z</dcterms:created>
  <dc:creator>笔记天天向上</dc:creator>
  <cp:lastModifiedBy>张鱼小婉子</cp:lastModifiedBy>
  <cp:lastPrinted>2024-03-26T01:38:00Z</cp:lastPrinted>
  <dcterms:modified xsi:type="dcterms:W3CDTF">2024-03-26T08:42:57Z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9E91889F92AF40719B7FF93EB776E1FF_13</vt:lpwstr>
  </property>
</Properties>
</file>