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34FA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关于《天津</w:t>
      </w:r>
      <w:bookmarkStart w:id="3" w:name="_GoBack"/>
      <w:bookmarkEnd w:id="3"/>
      <w:r>
        <w:rPr>
          <w:rFonts w:hint="eastAsia" w:ascii="黑体" w:hAnsi="黑体" w:eastAsia="黑体"/>
          <w:sz w:val="30"/>
          <w:szCs w:val="30"/>
        </w:rPr>
        <w:t>市东丽区金钟出让一区</w:t>
      </w:r>
      <w:r>
        <w:rPr>
          <w:rFonts w:ascii="黑体" w:hAnsi="黑体" w:eastAsia="黑体"/>
          <w:sz w:val="30"/>
          <w:szCs w:val="30"/>
        </w:rPr>
        <w:t>10P-01-01单元西部片区土地征收成片开发调整方案</w:t>
      </w:r>
      <w:r>
        <w:rPr>
          <w:rFonts w:hint="eastAsia" w:ascii="黑体" w:hAnsi="黑体" w:eastAsia="黑体"/>
          <w:sz w:val="30"/>
          <w:szCs w:val="30"/>
        </w:rPr>
        <w:t>》</w:t>
      </w:r>
      <w:r>
        <w:rPr>
          <w:rFonts w:ascii="黑体" w:hAnsi="黑体" w:eastAsia="黑体"/>
          <w:sz w:val="30"/>
          <w:szCs w:val="30"/>
        </w:rPr>
        <w:t>公示</w:t>
      </w:r>
      <w:r>
        <w:rPr>
          <w:rFonts w:hint="eastAsia" w:ascii="黑体" w:hAnsi="黑体" w:eastAsia="黑体"/>
          <w:sz w:val="30"/>
          <w:szCs w:val="30"/>
        </w:rPr>
        <w:t>的公告</w:t>
      </w:r>
    </w:p>
    <w:p w14:paraId="2BB1D230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35FD308A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按照《中华人民共和国土地管理法》、自然资源部土地征收成片开发标准及本市相关规定，依据东丽区国民经济和社会发展规划、国土空间规划，我区组织编制了《天津市东丽区金钟出让一区</w:t>
      </w:r>
      <w:r>
        <w:rPr>
          <w:rFonts w:ascii="Times New Roman" w:hAnsi="Times New Roman" w:eastAsia="仿宋_GB2312" w:cs="Times New Roman"/>
          <w:sz w:val="28"/>
          <w:szCs w:val="28"/>
        </w:rPr>
        <w:t>10P-01-01单元西部片区土地征收成片开发方案》，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于</w:t>
      </w:r>
      <w:r>
        <w:rPr>
          <w:rFonts w:ascii="Times New Roman" w:hAnsi="Times New Roman" w:eastAsia="仿宋_GB2312" w:cs="Times New Roman"/>
          <w:sz w:val="28"/>
          <w:szCs w:val="28"/>
        </w:rPr>
        <w:t>2021年11月经市政府批准（津规资源报〔2021〕373号）。根据方案实施情况，现需核减部分开发地块，按规定编制了《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天津市东丽区金钟出让一区</w:t>
      </w:r>
      <w:r>
        <w:rPr>
          <w:rFonts w:ascii="Times New Roman" w:hAnsi="Times New Roman" w:eastAsia="仿宋_GB2312" w:cs="Times New Roman"/>
          <w:sz w:val="28"/>
          <w:szCs w:val="28"/>
        </w:rPr>
        <w:t>10P-01-01单元西部片区土地征收成片开发调整方案》（以下简称《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调整</w:t>
      </w:r>
      <w:r>
        <w:rPr>
          <w:rFonts w:ascii="Times New Roman" w:hAnsi="Times New Roman" w:eastAsia="仿宋_GB2312" w:cs="Times New Roman"/>
          <w:sz w:val="28"/>
          <w:szCs w:val="28"/>
        </w:rPr>
        <w:t>方案》）。现将《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调整</w:t>
      </w:r>
      <w:r>
        <w:rPr>
          <w:rFonts w:ascii="Times New Roman" w:hAnsi="Times New Roman" w:eastAsia="仿宋_GB2312" w:cs="Times New Roman"/>
          <w:sz w:val="28"/>
          <w:szCs w:val="28"/>
        </w:rPr>
        <w:t>方案》核心内容予以公示，公示期5个工作日。如有意见建议，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请于2025年6月24日之前将署名意见建议反馈至邮箱zgb@ntci.com.cn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4D3BF02E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 w:line="293" w:lineRule="atLeas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default" w:ascii="黑体" w:hAnsi="黑体" w:eastAsia="黑体" w:cs="宋体"/>
          <w:color w:val="333333"/>
          <w:kern w:val="0"/>
          <w:sz w:val="30"/>
          <w:szCs w:val="30"/>
          <w:lang w:val="en-US" w:eastAsia="zh-CN" w:bidi="ar-SA"/>
        </w:rPr>
        <w:t>一、</w:t>
      </w:r>
      <w:r>
        <w:rPr>
          <w:rFonts w:hint="eastAsia" w:ascii="黑体" w:hAnsi="黑体" w:eastAsia="黑体"/>
          <w:color w:val="333333"/>
          <w:sz w:val="30"/>
          <w:szCs w:val="30"/>
        </w:rPr>
        <w:t>编制原则</w:t>
      </w:r>
    </w:p>
    <w:p w14:paraId="0F79EA95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bookmarkStart w:id="0" w:name="_Toc61864544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成片开发调整范围</w:t>
      </w:r>
      <w:r>
        <w:rPr>
          <w:rFonts w:ascii="Times New Roman" w:hAnsi="Times New Roman" w:eastAsia="仿宋_GB2312" w:cs="Times New Roman"/>
          <w:sz w:val="28"/>
          <w:szCs w:val="28"/>
        </w:rPr>
        <w:t>坚持新发展理念，以人民为中心，注重保护耕地，注重维护农民合法权益，注重节约集约用地，注重生态环境保护，促进当地经济社会可持续发展。</w:t>
      </w:r>
    </w:p>
    <w:p w14:paraId="34C650C2">
      <w:pPr>
        <w:pStyle w:val="9"/>
        <w:numPr>
          <w:ilvl w:val="0"/>
          <w:numId w:val="0"/>
        </w:numPr>
        <w:shd w:val="clear" w:color="auto" w:fill="FFFFFF"/>
        <w:spacing w:before="0" w:beforeAutospacing="0" w:after="0" w:afterAutospacing="0" w:line="293" w:lineRule="atLeas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default" w:ascii="黑体" w:hAnsi="黑体" w:eastAsia="黑体" w:cs="宋体"/>
          <w:color w:val="333333"/>
          <w:kern w:val="0"/>
          <w:sz w:val="30"/>
          <w:szCs w:val="30"/>
          <w:lang w:val="en-US" w:eastAsia="zh-CN" w:bidi="ar-SA"/>
        </w:rPr>
        <w:t>二、</w:t>
      </w:r>
      <w:r>
        <w:rPr>
          <w:rFonts w:hint="eastAsia" w:ascii="黑体" w:hAnsi="黑体" w:eastAsia="黑体"/>
          <w:color w:val="333333"/>
          <w:sz w:val="30"/>
          <w:szCs w:val="30"/>
        </w:rPr>
        <w:t>基本情况</w:t>
      </w:r>
    </w:p>
    <w:p w14:paraId="023DAEE8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原方案总面积</w:t>
      </w:r>
      <w:r>
        <w:rPr>
          <w:rFonts w:ascii="Times New Roman" w:hAnsi="Times New Roman" w:eastAsia="仿宋_GB2312" w:cs="Times New Roman"/>
          <w:sz w:val="28"/>
          <w:szCs w:val="28"/>
        </w:rPr>
        <w:t>61.76公顷，拟申请征收集体土地38.54公顷。截至目前，已实施征收20.80公顷。因经济形势放缓，导致原有意向入驻企业资金困难、业务收缩等原因，国有建设用地出让工作存在诸多不确定性，无法保障按原计划实施征地，拟核减尚未实施开发及成片开发方案编制前的国有土地共40.96公顷，其中集体土地17.74公顷，具体范围见附图。调整后情况如下：</w:t>
      </w:r>
    </w:p>
    <w:p w14:paraId="61DCD230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调整方案包含</w:t>
      </w:r>
      <w:r>
        <w:rPr>
          <w:rFonts w:ascii="Times New Roman" w:hAnsi="Times New Roman" w:eastAsia="仿宋_GB2312" w:cs="Times New Roman"/>
          <w:sz w:val="28"/>
          <w:szCs w:val="28"/>
        </w:rPr>
        <w:t>1个片区，总面积20.80公顷，全部为国有土地，土地产权明晰，界址清楚，用地性质全部为建设用地。</w:t>
      </w:r>
    </w:p>
    <w:p w14:paraId="2F635967">
      <w:pPr>
        <w:pStyle w:val="9"/>
        <w:shd w:val="clear" w:color="auto" w:fill="FFFFFF"/>
        <w:spacing w:before="0" w:beforeAutospacing="0" w:after="0" w:afterAutospacing="0" w:line="293" w:lineRule="atLeas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三、主要用途及功能</w:t>
      </w:r>
    </w:p>
    <w:p w14:paraId="11698F0D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成片开发调整范围</w:t>
      </w:r>
      <w:r>
        <w:rPr>
          <w:rFonts w:ascii="Times New Roman" w:hAnsi="Times New Roman" w:eastAsia="仿宋_GB2312" w:cs="Times New Roman"/>
          <w:sz w:val="28"/>
          <w:szCs w:val="28"/>
        </w:rPr>
        <w:t>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规划地类主要为</w:t>
      </w:r>
      <w:r>
        <w:rPr>
          <w:rFonts w:hint="eastAsia" w:eastAsia="仿宋" w:cs="Times New Roman"/>
          <w:sz w:val="28"/>
          <w:szCs w:val="28"/>
        </w:rPr>
        <w:t>居住用地、商业用地等，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其主导功能是居住、商业。</w:t>
      </w:r>
    </w:p>
    <w:p w14:paraId="19A195E7">
      <w:pPr>
        <w:pStyle w:val="9"/>
        <w:shd w:val="clear" w:color="auto" w:fill="FFFFFF"/>
        <w:spacing w:before="0" w:beforeAutospacing="0" w:after="0" w:afterAutospacing="0" w:line="293" w:lineRule="atLeast"/>
        <w:ind w:firstLine="600" w:firstLineChars="200"/>
        <w:rPr>
          <w:rFonts w:ascii="微软雅黑" w:hAnsi="微软雅黑" w:eastAsia="微软雅黑"/>
          <w:color w:val="333333"/>
          <w:sz w:val="20"/>
          <w:szCs w:val="20"/>
        </w:rPr>
      </w:pPr>
      <w:bookmarkStart w:id="1" w:name="_Toc61864554"/>
      <w:bookmarkEnd w:id="1"/>
      <w:r>
        <w:rPr>
          <w:rFonts w:hint="eastAsia" w:ascii="黑体" w:hAnsi="黑体" w:eastAsia="黑体"/>
          <w:color w:val="333333"/>
          <w:sz w:val="30"/>
          <w:szCs w:val="30"/>
        </w:rPr>
        <w:t>四、实施计划</w:t>
      </w:r>
    </w:p>
    <w:p w14:paraId="670090E3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本片区拟安排建设项目以住宅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、商业</w:t>
      </w:r>
      <w:r>
        <w:rPr>
          <w:rFonts w:ascii="Times New Roman" w:hAnsi="Times New Roman" w:eastAsia="仿宋_GB2312" w:cs="Times New Roman"/>
          <w:sz w:val="28"/>
          <w:szCs w:val="28"/>
        </w:rPr>
        <w:t>开发为主，配套建设基础设施类项目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。在</w:t>
      </w:r>
      <w:r>
        <w:rPr>
          <w:rFonts w:ascii="Times New Roman" w:hAnsi="Times New Roman" w:eastAsia="仿宋_GB2312" w:cs="Times New Roman"/>
          <w:sz w:val="28"/>
          <w:szCs w:val="28"/>
        </w:rPr>
        <w:t>2021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年已完成实施项目的土地征收工作。</w:t>
      </w:r>
    </w:p>
    <w:p w14:paraId="7A8C624C">
      <w:pPr>
        <w:pStyle w:val="9"/>
        <w:shd w:val="clear" w:color="auto" w:fill="FFFFFF"/>
        <w:spacing w:before="0" w:beforeAutospacing="0" w:after="0" w:afterAutospacing="0" w:line="293" w:lineRule="atLeast"/>
        <w:ind w:firstLine="600" w:firstLineChars="20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五、合规性分析</w:t>
      </w:r>
    </w:p>
    <w:p w14:paraId="6AAFEFB8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《调整方案》符合东丽区国土空间总体规划、控制性详细规划；符合东丽区国民经济和社会发展第十四个五年规划，成片开发相关内容已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纳入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年国民经济和社会发展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年度计划。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成片开发范围内公益性用地比例为51.60%；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不位于生态保护红线范围内，不位于各级自然保护区，不占永久基本农田，符合城镇开发边界管控规则，不涉及天津市绿色生态屏障，不涉及大运河天津段核心监控区。</w:t>
      </w:r>
    </w:p>
    <w:p w14:paraId="1BC349BB">
      <w:pPr>
        <w:pStyle w:val="9"/>
        <w:shd w:val="clear" w:color="auto" w:fill="FFFFFF"/>
        <w:spacing w:before="0" w:beforeAutospacing="0" w:after="0" w:afterAutospacing="0" w:line="293" w:lineRule="atLeast"/>
        <w:ind w:firstLine="600" w:firstLineChars="200"/>
        <w:rPr>
          <w:rFonts w:ascii="微软雅黑" w:hAnsi="微软雅黑" w:eastAsia="微软雅黑"/>
          <w:color w:val="333333"/>
          <w:sz w:val="20"/>
          <w:szCs w:val="20"/>
        </w:rPr>
      </w:pPr>
      <w:bookmarkStart w:id="2" w:name="_Toc61864556"/>
      <w:bookmarkEnd w:id="2"/>
      <w:r>
        <w:rPr>
          <w:rFonts w:hint="eastAsia" w:ascii="黑体" w:hAnsi="黑体" w:eastAsia="黑体"/>
          <w:color w:val="333333"/>
          <w:sz w:val="30"/>
          <w:szCs w:val="30"/>
        </w:rPr>
        <w:t>六、权益保障</w:t>
      </w:r>
    </w:p>
    <w:p w14:paraId="2DF048AD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在该片区的开发建设中，严格落实</w:t>
      </w:r>
      <w:r>
        <w:rPr>
          <w:rFonts w:ascii="Times New Roman" w:hAnsi="Times New Roman" w:eastAsia="仿宋_GB2312" w:cs="Times New Roman"/>
          <w:sz w:val="28"/>
          <w:szCs w:val="28"/>
        </w:rPr>
        <w:t>相关规定，保证土地征收程序依法合规。依法开展土地征收社会稳定风险评估工作，充分保障被征收土地农民的知情权、参与权、监督权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；明确</w:t>
      </w:r>
      <w:r>
        <w:rPr>
          <w:rFonts w:ascii="Times New Roman" w:hAnsi="Times New Roman" w:eastAsia="仿宋_GB2312" w:cs="Times New Roman"/>
          <w:sz w:val="28"/>
          <w:szCs w:val="28"/>
        </w:rPr>
        <w:t>征地补偿标准，更加公开、透明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，切实</w:t>
      </w:r>
      <w:r>
        <w:rPr>
          <w:rFonts w:ascii="Times New Roman" w:hAnsi="Times New Roman" w:eastAsia="仿宋_GB2312" w:cs="Times New Roman"/>
          <w:sz w:val="28"/>
          <w:szCs w:val="28"/>
        </w:rPr>
        <w:t>维护被征收土地农民的合法权益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；同时该片区的开发建设将提高村民的居住环境、增加村民就业机会，为当地村民改变生活水平提供了物质可能性，确保被征地农民原有生活水平不降低、长远生计有保障、生活质量有提高。</w:t>
      </w: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 w14:paraId="7620E219">
      <w:pPr>
        <w:pStyle w:val="9"/>
        <w:shd w:val="clear" w:color="auto" w:fill="FFFFFF"/>
        <w:spacing w:before="0" w:beforeAutospacing="0" w:after="0" w:afterAutospacing="0" w:line="293" w:lineRule="atLeast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附图</w:t>
      </w:r>
    </w:p>
    <w:p w14:paraId="668EBD56">
      <w:pPr>
        <w:pStyle w:val="9"/>
        <w:shd w:val="clear" w:color="auto" w:fill="FFFFFF"/>
        <w:spacing w:before="0" w:beforeAutospacing="0" w:after="0" w:afterAutospacing="0" w:line="293" w:lineRule="atLeast"/>
        <w:rPr>
          <w:rFonts w:ascii="黑体" w:hAnsi="黑体" w:eastAsia="黑体"/>
          <w:color w:val="333333"/>
          <w:sz w:val="30"/>
          <w:szCs w:val="30"/>
        </w:rPr>
      </w:pPr>
      <w:r>
        <w:drawing>
          <wp:inline distT="0" distB="0" distL="0" distR="0">
            <wp:extent cx="5271135" cy="37299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43" cy="373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5644"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金钟街道办事处</w:t>
      </w:r>
    </w:p>
    <w:p w14:paraId="49FA8BAF"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2025年6月18日</w:t>
      </w:r>
    </w:p>
    <w:p w14:paraId="2BCD94AE"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B"/>
    <w:rsid w:val="000009B5"/>
    <w:rsid w:val="00031669"/>
    <w:rsid w:val="00064E10"/>
    <w:rsid w:val="00094766"/>
    <w:rsid w:val="00157C11"/>
    <w:rsid w:val="0016633A"/>
    <w:rsid w:val="001C1B9D"/>
    <w:rsid w:val="001F3CE1"/>
    <w:rsid w:val="00202DCE"/>
    <w:rsid w:val="00204235"/>
    <w:rsid w:val="00272B40"/>
    <w:rsid w:val="002A243E"/>
    <w:rsid w:val="002B0EC9"/>
    <w:rsid w:val="002C5FF7"/>
    <w:rsid w:val="00345844"/>
    <w:rsid w:val="0039410C"/>
    <w:rsid w:val="003B2999"/>
    <w:rsid w:val="003E0D8F"/>
    <w:rsid w:val="004174D7"/>
    <w:rsid w:val="00440967"/>
    <w:rsid w:val="0048223A"/>
    <w:rsid w:val="00487EBD"/>
    <w:rsid w:val="004D14DB"/>
    <w:rsid w:val="004D48E8"/>
    <w:rsid w:val="004D7E10"/>
    <w:rsid w:val="005002D9"/>
    <w:rsid w:val="005217FB"/>
    <w:rsid w:val="00534FB8"/>
    <w:rsid w:val="005A058C"/>
    <w:rsid w:val="005B3FDF"/>
    <w:rsid w:val="00622322"/>
    <w:rsid w:val="00633EE4"/>
    <w:rsid w:val="00670709"/>
    <w:rsid w:val="0067447A"/>
    <w:rsid w:val="00694B3E"/>
    <w:rsid w:val="006A61FE"/>
    <w:rsid w:val="006C7140"/>
    <w:rsid w:val="00715D37"/>
    <w:rsid w:val="00747A75"/>
    <w:rsid w:val="007F370D"/>
    <w:rsid w:val="00885CB6"/>
    <w:rsid w:val="009A3CD7"/>
    <w:rsid w:val="009A5B88"/>
    <w:rsid w:val="009E4D47"/>
    <w:rsid w:val="009F25BC"/>
    <w:rsid w:val="00A104F4"/>
    <w:rsid w:val="00A71D81"/>
    <w:rsid w:val="00AB0DDB"/>
    <w:rsid w:val="00B14F31"/>
    <w:rsid w:val="00B24790"/>
    <w:rsid w:val="00BD347C"/>
    <w:rsid w:val="00C017E1"/>
    <w:rsid w:val="00C16F1C"/>
    <w:rsid w:val="00C26A81"/>
    <w:rsid w:val="00C4089E"/>
    <w:rsid w:val="00C60E97"/>
    <w:rsid w:val="00C85975"/>
    <w:rsid w:val="00D03D54"/>
    <w:rsid w:val="00D92095"/>
    <w:rsid w:val="00DD79EB"/>
    <w:rsid w:val="00DF26A2"/>
    <w:rsid w:val="00E2258C"/>
    <w:rsid w:val="00E53A44"/>
    <w:rsid w:val="00E82427"/>
    <w:rsid w:val="00E8268A"/>
    <w:rsid w:val="00EB6B51"/>
    <w:rsid w:val="00F10428"/>
    <w:rsid w:val="00F12362"/>
    <w:rsid w:val="00F16FF5"/>
    <w:rsid w:val="00F20C3F"/>
    <w:rsid w:val="00F57FFC"/>
    <w:rsid w:val="00FB2D7C"/>
    <w:rsid w:val="00FC4517"/>
    <w:rsid w:val="00FC6E58"/>
    <w:rsid w:val="00FD193F"/>
    <w:rsid w:val="00FD1B30"/>
    <w:rsid w:val="00FF4BC0"/>
    <w:rsid w:val="00FF5E58"/>
    <w:rsid w:val="47907CD3"/>
    <w:rsid w:val="58D27C7A"/>
    <w:rsid w:val="7A5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1167</Characters>
  <Lines>9</Lines>
  <Paragraphs>2</Paragraphs>
  <TotalTime>17</TotalTime>
  <ScaleCrop>false</ScaleCrop>
  <LinksUpToDate>false</LinksUpToDate>
  <CharactersWithSpaces>1182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2025-06-03T07:57:00Z</dcterms:created>
  <dc:creator>崔绍月</dc:creator>
  <cp:lastModifiedBy>卢斌</cp:lastModifiedBy>
  <dcterms:modified xsi:type="dcterms:W3CDTF">2025-06-26T03:02:56Z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eyJoZGlkIjoiY2Q0YmU4NWZhZjU2NzU1YjU4YTBjZDhhMzhjNGYxYzMiLCJ1c2VySWQiOiIzNTIwMjcxMzMifQ==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B4D1BE7112074DB2902CF580B3B74105_12</vt:lpwstr>
  </property>
</Properties>
</file>