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137CC61C">
      <w:pPr>
        <w:spacing w:line="600" w:lineRule="auto"/>
        <w:jc w:val="both"/>
        <w:rPr>
          <w:rFonts w:hint="eastAsia" w:asciiTheme="minorEastAsia" w:hAnsiTheme="minorEastAsia" w:eastAsiaTheme="minorEastAsia" w:cstheme="minorEastAsia"/>
          <w:b w:val="false"/>
          <w:bCs w:val="false"/>
          <w:color w:val="000000"/>
          <w:sz w:val="22"/>
          <w:szCs w:val="22"/>
        </w:rPr>
      </w:pPr>
    </w:p>
    <w:p w14:paraId="7898C273">
      <w:pPr>
        <w:spacing w:line="600" w:lineRule="auto"/>
        <w:jc w:val="both"/>
        <w:rPr>
          <w:rFonts w:hint="eastAsia" w:asciiTheme="minorEastAsia" w:hAnsiTheme="minorEastAsia" w:eastAsiaTheme="minorEastAsia" w:cstheme="minorEastAsia"/>
          <w:b w:val="false"/>
          <w:bCs w:val="false"/>
          <w:color w:val="000000"/>
          <w:sz w:val="22"/>
          <w:szCs w:val="22"/>
        </w:rPr>
      </w:pPr>
    </w:p>
    <w:p w14:paraId="681CA751">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天津市东丽临空经济区管理委员会</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E8343E3">
      <w:pPr>
        <w:spacing w:line="600" w:lineRule="auto"/>
        <w:jc w:val="both"/>
        <w:rPr>
          <w:rFonts w:hint="eastAsia" w:asciiTheme="minorEastAsia" w:hAnsiTheme="minorEastAsia" w:eastAsiaTheme="minorEastAsia" w:cstheme="minorEastAsia"/>
          <w:b w:val="false"/>
          <w:bCs w:val="false"/>
          <w:color w:val="000000"/>
          <w:sz w:val="22"/>
          <w:szCs w:val="22"/>
        </w:rPr>
      </w:pPr>
    </w:p>
    <w:p w14:paraId="780B717B">
      <w:pPr>
        <w:spacing w:line="600" w:lineRule="auto"/>
        <w:jc w:val="both"/>
        <w:rPr>
          <w:rFonts w:hint="eastAsia" w:asciiTheme="minorEastAsia" w:hAnsiTheme="minorEastAsia" w:eastAsiaTheme="minorEastAsia" w:cstheme="minorEastAsia"/>
          <w:b w:val="false"/>
          <w:bCs w:val="false"/>
          <w:color w:val="000000"/>
          <w:sz w:val="22"/>
          <w:szCs w:val="22"/>
        </w:rPr>
      </w:pPr>
    </w:p>
    <w:p w14:paraId="2AFBAD51">
      <w:pPr>
        <w:spacing w:line="600" w:lineRule="auto"/>
        <w:jc w:val="both"/>
        <w:rPr>
          <w:rFonts w:hint="eastAsia" w:asciiTheme="minorEastAsia" w:hAnsiTheme="minorEastAsia" w:eastAsiaTheme="minorEastAsia" w:cstheme="minorEastAsia"/>
          <w:b w:val="false"/>
          <w:bCs w:val="false"/>
          <w:color w:val="000000"/>
          <w:sz w:val="22"/>
          <w:szCs w:val="22"/>
        </w:rPr>
      </w:pPr>
    </w:p>
    <w:p w14:paraId="77694AE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DCF2C9">
      <w:pPr>
        <w:rPr>
          <w:rFonts w:hint="eastAsia" w:asciiTheme="minorEastAsia" w:hAnsiTheme="minorEastAsia" w:eastAsiaTheme="minorEastAsia" w:cstheme="minorEastAsia"/>
          <w:b w:val="false"/>
          <w:bCs w:val="false"/>
          <w:sz w:val="22"/>
          <w:szCs w:val="22"/>
          <w:highlight w:val="yellow"/>
        </w:rPr>
      </w:pPr>
    </w:p>
    <w:p w14:paraId="5C75F115">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5B6C4D1B">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14:paraId="63AA7961">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（一）负责研究拟订园区经济发展规划、年度计划及相关政策并组织实施。</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（二）负责对接自贸试验区天津机场片区管理局，推动自贸试验区制度、政策、功能、产业在东丽辖区内创新发展和落地实施。</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（三）负责统一规划、建设和管理园区内基础设施和公共设施。</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（四）负责园区产业招商、投资立项、安全生产、环境保护等工作。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（五）完成区委、区政府交办的其他工作任务。</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14:paraId="1CC64F29">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天津市东丽临空经济区管理委员会</w:t>
      </w:r>
      <w:r>
        <w:rPr>
          <w:rFonts w:ascii="Times New Roman" w:eastAsia="仿宋_GB2312"/>
          <w:b w:val="false"/>
          <w:sz w:val="30"/>
          <w:szCs w:val="30"/>
        </w:rPr>
        <w:t>内设</w:t>
      </w:r>
      <w:r>
        <w:rPr>
          <w:rFonts w:ascii="Times New Roman" w:eastAsia="仿宋_GB2312"/>
          <w:b w:val="false"/>
          <w:sz w:val="30"/>
          <w:szCs w:val="30"/>
        </w:rPr>
        <w:t>2</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天津市东丽临空经济区管理委员会</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天津市东丽临空经济区管理委员会</w:t>
      </w:r>
    </w:p>
    <w:p w14:paraId="3B0EA3E3">
      <w:pPr>
        <w:rPr>
          <w:rFonts w:hint="eastAsia" w:asciiTheme="minorEastAsia" w:hAnsiTheme="minorEastAsia" w:eastAsiaTheme="minorEastAsia" w:cstheme="minorEastAsia"/>
          <w:b w:val="false"/>
          <w:bCs w:val="false"/>
          <w:i w:val="false"/>
          <w:iCs w:val="false"/>
          <w:caps w:val="false"/>
          <w:color w:val="000000"/>
          <w:spacing w:val="0"/>
          <w:sz w:val="22"/>
          <w:szCs w:val="22"/>
          <w:highlight w:val="none"/>
          <w:shd w:val="clear" w:fill="FFFFFF"/>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61B831D0">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7691D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670B879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部门（单位）：天津市东丽临空经济区管理委员会 </w:t>
            </w:r>
          </w:p>
        </w:tc>
        <w:tc>
          <w:tcPr>
            <w:tcW w:w="1087" w:type="pct"/>
            <w:tcBorders>
              <w:top w:val="nil"/>
              <w:left w:val="nil"/>
              <w:bottom w:val="nil"/>
              <w:right w:val="nil"/>
            </w:tcBorders>
            <w:shd w:val="clear" w:color="auto" w:fill="auto"/>
            <w:noWrap/>
            <w:vAlign w:val="bottom"/>
          </w:tcPr>
          <w:p w14:paraId="42CBBD39">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5DE87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70B1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35141BB3">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7E71B71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51BDB986">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0DAF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E4C2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06B31A86">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7642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7B75BD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67C25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DE1E4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606F60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66,238,335.19</w:t>
            </w:r>
          </w:p>
        </w:tc>
        <w:tc>
          <w:tcPr>
            <w:tcW w:w="1285" w:type="pct"/>
            <w:tcBorders>
              <w:top w:val="nil"/>
              <w:left w:val="nil"/>
              <w:bottom w:val="single" w:color="000000" w:sz="4" w:space="0"/>
              <w:right w:val="single" w:color="000000" w:sz="4" w:space="0"/>
            </w:tcBorders>
            <w:shd w:val="clear" w:color="auto" w:fill="auto"/>
            <w:noWrap/>
            <w:vAlign w:val="center"/>
          </w:tcPr>
          <w:p w14:paraId="312546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47B0E7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65,370,905.35</w:t>
            </w:r>
          </w:p>
        </w:tc>
      </w:tr>
      <w:tr w14:paraId="3DDE1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4E3E3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3D27D0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D4E148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73A756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3C8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D718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4E73118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4B4390C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20A80C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8CF9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9E4BD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7460EE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1EA16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504D78D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BAE4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6859E4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5A9DC0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4BB93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41488E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6BC1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586804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0940CA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42B761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4C8560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250,476.80</w:t>
            </w:r>
          </w:p>
        </w:tc>
      </w:tr>
      <w:tr w14:paraId="44C36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401AE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1150F2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42E7892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5958D3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124,449.04</w:t>
            </w:r>
          </w:p>
        </w:tc>
      </w:tr>
      <w:tr w14:paraId="17526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3162E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D46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2CE2E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73ECC9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D85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6190B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224ABF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175CA1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71B776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224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15A86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91CEF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0707C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6A8856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DE4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0D1ED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64591F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71A012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50EFD99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9266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6B24E1D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084D6F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CD7868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00274E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1B86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90923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C5FA13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17A164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00D6F1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B282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F5789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53ACF5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C6A76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14967F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D4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A5C80E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1B2D2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D621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0D7187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DF15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600E3BD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400706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5EB7B0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31F129E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250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DE49E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BDAFB0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75E95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3C931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492,504.00</w:t>
            </w:r>
          </w:p>
        </w:tc>
      </w:tr>
      <w:tr w14:paraId="61B1B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7880E6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6A4EE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D373E2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8ED1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B4C7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338C43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F93769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CD52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1EC8C02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0370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32EE66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4985C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5220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279273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57AF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61425CF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57B01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8B53A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7C674A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22E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4F47F4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6DB884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50C83C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1A1C5F4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FDEA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A998E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3E8F85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9AC77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7E226E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BFDF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E5623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6AC720D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66,238,335.19</w:t>
            </w:r>
          </w:p>
        </w:tc>
        <w:tc>
          <w:tcPr>
            <w:tcW w:w="1285" w:type="pct"/>
            <w:tcBorders>
              <w:top w:val="nil"/>
              <w:left w:val="nil"/>
              <w:bottom w:val="single" w:color="000000" w:sz="4" w:space="0"/>
              <w:right w:val="single" w:color="000000" w:sz="4" w:space="0"/>
            </w:tcBorders>
            <w:shd w:val="clear" w:color="auto" w:fill="auto"/>
            <w:noWrap/>
            <w:vAlign w:val="center"/>
          </w:tcPr>
          <w:p w14:paraId="69019EC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3D7489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66,238,335.19</w:t>
            </w:r>
          </w:p>
        </w:tc>
      </w:tr>
      <w:tr w14:paraId="3803D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4FAEC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19114E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B02429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9EC60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4EB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2FB98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41241A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B62BDE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08F20F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F654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19037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11D2F7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88B330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EAF0154">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57100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C94EAB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65FB52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7430CA8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12695391">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8EBE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8C18E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375A1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66,238,335.19</w:t>
            </w:r>
          </w:p>
        </w:tc>
        <w:tc>
          <w:tcPr>
            <w:tcW w:w="1285" w:type="pct"/>
            <w:tcBorders>
              <w:top w:val="nil"/>
              <w:left w:val="nil"/>
              <w:bottom w:val="single" w:color="000000" w:sz="4" w:space="0"/>
              <w:right w:val="single" w:color="000000" w:sz="4" w:space="0"/>
            </w:tcBorders>
            <w:shd w:val="clear" w:color="auto" w:fill="auto"/>
            <w:noWrap/>
            <w:vAlign w:val="center"/>
          </w:tcPr>
          <w:p w14:paraId="00BB081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1D5F50A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66,238,335.19</w:t>
            </w:r>
          </w:p>
        </w:tc>
      </w:tr>
      <w:tr w14:paraId="25D31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3EFE23E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54B1397A">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393FCCC9">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04"/>
        <w:gridCol w:w="3031"/>
        <w:gridCol w:w="1263"/>
        <w:gridCol w:w="1137"/>
        <w:gridCol w:w="1231"/>
        <w:gridCol w:w="1108"/>
        <w:gridCol w:w="1183"/>
        <w:gridCol w:w="1154"/>
        <w:gridCol w:w="1246"/>
        <w:gridCol w:w="1234"/>
      </w:tblGrid>
      <w:tr w14:paraId="6770A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59" w:type="pct"/>
            <w:gridSpan w:val="9"/>
            <w:tcBorders>
              <w:top w:val="nil"/>
              <w:left w:val="nil"/>
              <w:bottom w:val="nil"/>
              <w:right w:val="nil"/>
            </w:tcBorders>
            <w:shd w:val="clear" w:color="auto" w:fill="auto"/>
            <w:noWrap/>
            <w:vAlign w:val="bottom"/>
          </w:tcPr>
          <w:p w14:paraId="0C447D3E">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部门（单位）：天津市东丽临空经济区管理委员会 </w:t>
            </w:r>
          </w:p>
        </w:tc>
        <w:tc>
          <w:tcPr>
            <w:tcW w:w="440" w:type="pct"/>
            <w:tcBorders>
              <w:top w:val="nil"/>
              <w:left w:val="nil"/>
              <w:bottom w:val="nil"/>
              <w:right w:val="nil"/>
            </w:tcBorders>
            <w:shd w:val="clear" w:color="auto" w:fill="auto"/>
            <w:noWrap/>
            <w:vAlign w:val="bottom"/>
          </w:tcPr>
          <w:p w14:paraId="05A18C42">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463AB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8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9372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50" w:type="pct"/>
            <w:vMerge w:val="restart"/>
            <w:tcBorders>
              <w:top w:val="single" w:color="000000" w:sz="4" w:space="0"/>
              <w:left w:val="nil"/>
              <w:bottom w:val="single" w:color="000000" w:sz="4" w:space="0"/>
              <w:right w:val="single" w:color="000000" w:sz="4" w:space="0"/>
            </w:tcBorders>
            <w:shd w:val="clear" w:color="auto" w:fill="auto"/>
            <w:noWrap/>
            <w:vAlign w:val="center"/>
          </w:tcPr>
          <w:p w14:paraId="66687146">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06"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DC4E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0A03E7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19" w:type="pct"/>
            <w:gridSpan w:val="2"/>
            <w:tcBorders>
              <w:top w:val="single" w:color="000000" w:sz="4" w:space="0"/>
              <w:left w:val="nil"/>
              <w:bottom w:val="single" w:color="000000" w:sz="4" w:space="0"/>
              <w:right w:val="single" w:color="000000" w:sz="4" w:space="0"/>
            </w:tcBorders>
            <w:shd w:val="clear" w:color="auto" w:fill="auto"/>
            <w:noWrap/>
            <w:vAlign w:val="center"/>
          </w:tcPr>
          <w:p w14:paraId="19C1D94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12" w:type="pct"/>
            <w:vMerge w:val="restart"/>
            <w:tcBorders>
              <w:top w:val="single" w:color="000000" w:sz="4" w:space="0"/>
              <w:left w:val="nil"/>
              <w:bottom w:val="single" w:color="000000" w:sz="4" w:space="0"/>
              <w:right w:val="single" w:color="000000" w:sz="4" w:space="0"/>
            </w:tcBorders>
            <w:shd w:val="clear" w:color="auto" w:fill="auto"/>
            <w:noWrap/>
            <w:vAlign w:val="center"/>
          </w:tcPr>
          <w:p w14:paraId="68B9F6B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29482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40" w:type="pct"/>
            <w:vMerge w:val="restart"/>
            <w:tcBorders>
              <w:top w:val="single" w:color="000000" w:sz="4" w:space="0"/>
              <w:left w:val="nil"/>
              <w:bottom w:val="single" w:color="000000" w:sz="4" w:space="0"/>
              <w:right w:val="single" w:color="000000" w:sz="4" w:space="0"/>
            </w:tcBorders>
            <w:shd w:val="clear" w:color="auto" w:fill="auto"/>
            <w:noWrap/>
            <w:vAlign w:val="center"/>
          </w:tcPr>
          <w:p w14:paraId="294ABF1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0187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1" w:type="pct"/>
            <w:tcBorders>
              <w:top w:val="nil"/>
              <w:left w:val="single" w:color="000000" w:sz="4" w:space="0"/>
              <w:bottom w:val="single" w:color="000000" w:sz="4" w:space="0"/>
              <w:right w:val="single" w:color="000000" w:sz="4" w:space="0"/>
            </w:tcBorders>
            <w:shd w:val="clear" w:color="auto" w:fill="auto"/>
            <w:noWrap/>
            <w:vAlign w:val="center"/>
          </w:tcPr>
          <w:p w14:paraId="3D67748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83" w:type="pct"/>
            <w:tcBorders>
              <w:top w:val="nil"/>
              <w:left w:val="nil"/>
              <w:bottom w:val="single" w:color="000000" w:sz="4" w:space="0"/>
              <w:right w:val="single" w:color="000000" w:sz="4" w:space="0"/>
            </w:tcBorders>
            <w:shd w:val="clear" w:color="auto" w:fill="auto"/>
            <w:noWrap/>
            <w:vAlign w:val="center"/>
          </w:tcPr>
          <w:p w14:paraId="4C6B2E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50"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870096C">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0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B042DA">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DF21969">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395" w:type="pct"/>
            <w:tcBorders>
              <w:top w:val="nil"/>
              <w:left w:val="nil"/>
              <w:bottom w:val="single" w:color="000000" w:sz="4" w:space="0"/>
              <w:right w:val="single" w:color="000000" w:sz="4" w:space="0"/>
            </w:tcBorders>
            <w:shd w:val="clear" w:color="auto" w:fill="auto"/>
            <w:noWrap/>
            <w:vAlign w:val="center"/>
          </w:tcPr>
          <w:p w14:paraId="7BE43C7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23" w:type="pct"/>
            <w:tcBorders>
              <w:top w:val="nil"/>
              <w:left w:val="nil"/>
              <w:bottom w:val="single" w:color="000000" w:sz="4" w:space="0"/>
              <w:right w:val="single" w:color="000000" w:sz="4" w:space="0"/>
            </w:tcBorders>
            <w:shd w:val="clear" w:color="auto" w:fill="auto"/>
            <w:noWrap/>
            <w:vAlign w:val="center"/>
          </w:tcPr>
          <w:p w14:paraId="7ED20C8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1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28FBB90">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AE4573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0"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2A687B2">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C729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584" w:type="pct"/>
            <w:gridSpan w:val="2"/>
            <w:tcBorders>
              <w:top w:val="nil"/>
              <w:left w:val="single" w:color="000000" w:sz="4" w:space="0"/>
              <w:bottom w:val="nil"/>
              <w:right w:val="single" w:color="000000" w:sz="4" w:space="0"/>
            </w:tcBorders>
            <w:shd w:val="clear" w:color="auto" w:fill="auto"/>
            <w:vAlign w:val="center"/>
          </w:tcPr>
          <w:p w14:paraId="384AF44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50" w:type="pct"/>
            <w:tcBorders>
              <w:top w:val="nil"/>
              <w:left w:val="nil"/>
              <w:bottom w:val="nil"/>
              <w:right w:val="single" w:color="000000" w:sz="4" w:space="0"/>
            </w:tcBorders>
            <w:shd w:val="clear" w:color="auto" w:fill="auto"/>
            <w:vAlign w:val="center"/>
          </w:tcPr>
          <w:p w14:paraId="0AE0202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66,238,335.19</w:t>
            </w:r>
          </w:p>
        </w:tc>
        <w:tc>
          <w:tcPr>
            <w:tcW w:w="406" w:type="pct"/>
            <w:tcBorders>
              <w:top w:val="nil"/>
              <w:left w:val="nil"/>
              <w:bottom w:val="nil"/>
              <w:right w:val="single" w:color="000000" w:sz="4" w:space="0"/>
            </w:tcBorders>
            <w:shd w:val="clear" w:color="auto" w:fill="auto"/>
            <w:vAlign w:val="center"/>
          </w:tcPr>
          <w:p w14:paraId="3E4A0D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66,238,335.19</w:t>
            </w:r>
          </w:p>
        </w:tc>
        <w:tc>
          <w:tcPr>
            <w:tcW w:w="439" w:type="pct"/>
            <w:tcBorders>
              <w:top w:val="nil"/>
              <w:left w:val="nil"/>
              <w:bottom w:val="nil"/>
              <w:right w:val="single" w:color="000000" w:sz="4" w:space="0"/>
            </w:tcBorders>
            <w:shd w:val="clear" w:color="auto" w:fill="auto"/>
            <w:vAlign w:val="center"/>
          </w:tcPr>
          <w:p w14:paraId="5FCA221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395" w:type="pct"/>
            <w:tcBorders>
              <w:top w:val="nil"/>
              <w:left w:val="nil"/>
              <w:bottom w:val="nil"/>
              <w:right w:val="single" w:color="000000" w:sz="4" w:space="0"/>
            </w:tcBorders>
            <w:shd w:val="clear" w:color="auto" w:fill="auto"/>
            <w:vAlign w:val="center"/>
          </w:tcPr>
          <w:p w14:paraId="3D300AA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23" w:type="pct"/>
            <w:tcBorders>
              <w:top w:val="nil"/>
              <w:left w:val="nil"/>
              <w:bottom w:val="nil"/>
              <w:right w:val="single" w:color="000000" w:sz="4" w:space="0"/>
            </w:tcBorders>
            <w:shd w:val="clear" w:color="auto" w:fill="auto"/>
            <w:vAlign w:val="center"/>
          </w:tcPr>
          <w:p w14:paraId="2C5CF68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2" w:type="pct"/>
            <w:tcBorders>
              <w:top w:val="nil"/>
              <w:left w:val="nil"/>
              <w:bottom w:val="nil"/>
              <w:right w:val="single" w:color="000000" w:sz="4" w:space="0"/>
            </w:tcBorders>
            <w:shd w:val="clear" w:color="auto" w:fill="auto"/>
            <w:vAlign w:val="center"/>
          </w:tcPr>
          <w:p w14:paraId="662D94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37C8FF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0" w:type="pct"/>
            <w:tcBorders>
              <w:top w:val="nil"/>
              <w:left w:val="nil"/>
              <w:bottom w:val="nil"/>
              <w:right w:val="single" w:color="000000" w:sz="4" w:space="0"/>
            </w:tcBorders>
            <w:shd w:val="clear" w:color="auto" w:fill="auto"/>
            <w:vAlign w:val="center"/>
          </w:tcPr>
          <w:p w14:paraId="0517E9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一般公共服务支出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65,370,905.35</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65,370,905.35</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20103</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政府办公厅（室）及相关机构事务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65,176,105.35</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65,176,105.35</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2010301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行政运行</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65,176,105.35</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65,176,105.35</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20104</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发展与改革事务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194,800.00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194,800.00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2010499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其他发展与改革事务支出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194,800.00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194,800.00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社会保障和就业支出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250,476.80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250,476.80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250,476.80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250,476.80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166,984.20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166,984.20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83,492.60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83,492.60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124,449.04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124,449.04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124,449.04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124,449.04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96,625.00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96,625.00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2101103</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公务员医疗补助</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24,545.40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24,545.40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其他行政事业单位医疗支出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3,278.64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3,278.64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住房保障支出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492,504.00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492,504.00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住房改革支出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492,504.00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492,504.00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住房公积金</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492,504.00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492,504.00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DA83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55C802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7D8021E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84CD77A">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6"/>
        <w:gridCol w:w="853"/>
        <w:gridCol w:w="573"/>
        <w:gridCol w:w="627"/>
        <w:gridCol w:w="627"/>
        <w:gridCol w:w="600"/>
        <w:gridCol w:w="640"/>
        <w:gridCol w:w="666"/>
        <w:gridCol w:w="654"/>
        <w:gridCol w:w="671"/>
        <w:gridCol w:w="723"/>
        <w:gridCol w:w="723"/>
        <w:gridCol w:w="661"/>
        <w:gridCol w:w="708"/>
        <w:gridCol w:w="662"/>
        <w:gridCol w:w="753"/>
        <w:gridCol w:w="739"/>
        <w:gridCol w:w="708"/>
        <w:gridCol w:w="630"/>
        <w:gridCol w:w="619"/>
        <w:gridCol w:w="639"/>
      </w:tblGrid>
      <w:tr w14:paraId="737DC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056" w:type="pct"/>
            <w:gridSpan w:val="9"/>
            <w:tcBorders>
              <w:top w:val="nil"/>
              <w:left w:val="nil"/>
              <w:bottom w:val="nil"/>
              <w:right w:val="nil"/>
            </w:tcBorders>
            <w:shd w:val="clear" w:color="auto" w:fill="auto"/>
            <w:noWrap/>
            <w:vAlign w:val="bottom"/>
          </w:tcPr>
          <w:p w14:paraId="2B59D19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部门（单位）：天津市东丽临空经济区管理委员会 </w:t>
            </w:r>
          </w:p>
        </w:tc>
        <w:tc>
          <w:tcPr>
            <w:tcW w:w="239" w:type="pct"/>
            <w:tcBorders>
              <w:top w:val="nil"/>
              <w:left w:val="nil"/>
              <w:bottom w:val="nil"/>
              <w:right w:val="nil"/>
            </w:tcBorders>
            <w:shd w:val="clear" w:color="auto" w:fill="auto"/>
            <w:noWrap/>
            <w:vAlign w:val="bottom"/>
          </w:tcPr>
          <w:p w14:paraId="3F3B932F">
            <w:pPr>
              <w:rPr>
                <w:rFonts w:hint="eastAsia" w:asciiTheme="minorEastAsia" w:hAnsiTheme="minorEastAsia" w:eastAsiaTheme="minorEastAsia" w:cstheme="minorEastAsia"/>
                <w:b w:val="false"/>
                <w:bCs w:val="false"/>
                <w:i w:val="false"/>
                <w:iCs w:val="false"/>
                <w:color w:val="000000"/>
                <w:sz w:val="18"/>
                <w:szCs w:val="18"/>
                <w:u w:val="none"/>
              </w:rPr>
            </w:pPr>
          </w:p>
        </w:tc>
        <w:tc>
          <w:tcPr>
            <w:tcW w:w="258" w:type="pct"/>
            <w:tcBorders>
              <w:top w:val="nil"/>
              <w:left w:val="nil"/>
              <w:bottom w:val="nil"/>
              <w:right w:val="nil"/>
            </w:tcBorders>
            <w:shd w:val="clear" w:color="auto" w:fill="auto"/>
            <w:noWrap/>
            <w:vAlign w:val="bottom"/>
          </w:tcPr>
          <w:p w14:paraId="21653340">
            <w:pPr>
              <w:rPr>
                <w:rFonts w:hint="eastAsia" w:asciiTheme="minorEastAsia" w:hAnsiTheme="minorEastAsia" w:eastAsiaTheme="minorEastAsia" w:cstheme="minorEastAsia"/>
                <w:b w:val="false"/>
                <w:bCs w:val="false"/>
                <w:i w:val="false"/>
                <w:iCs w:val="false"/>
                <w:color w:val="000000"/>
                <w:sz w:val="18"/>
                <w:szCs w:val="18"/>
                <w:u w:val="none"/>
              </w:rPr>
            </w:pPr>
          </w:p>
        </w:tc>
        <w:tc>
          <w:tcPr>
            <w:tcW w:w="258" w:type="pct"/>
            <w:tcBorders>
              <w:top w:val="nil"/>
              <w:left w:val="nil"/>
              <w:bottom w:val="nil"/>
              <w:right w:val="nil"/>
            </w:tcBorders>
            <w:shd w:val="clear" w:color="auto" w:fill="auto"/>
            <w:noWrap/>
            <w:vAlign w:val="bottom"/>
          </w:tcPr>
          <w:p w14:paraId="414732BF">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4DD5F2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53" w:type="pct"/>
            <w:tcBorders>
              <w:top w:val="nil"/>
              <w:left w:val="nil"/>
              <w:bottom w:val="nil"/>
              <w:right w:val="nil"/>
            </w:tcBorders>
            <w:shd w:val="clear" w:color="auto" w:fill="auto"/>
            <w:noWrap/>
            <w:vAlign w:val="bottom"/>
          </w:tcPr>
          <w:p w14:paraId="7026AFE1">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5A51352E">
            <w:pPr>
              <w:rPr>
                <w:rFonts w:hint="eastAsia" w:asciiTheme="minorEastAsia" w:hAnsiTheme="minorEastAsia" w:eastAsiaTheme="minorEastAsia" w:cstheme="minorEastAsia"/>
                <w:b w:val="false"/>
                <w:bCs w:val="false"/>
                <w:i w:val="false"/>
                <w:iCs w:val="false"/>
                <w:color w:val="000000"/>
                <w:sz w:val="18"/>
                <w:szCs w:val="18"/>
                <w:u w:val="none"/>
              </w:rPr>
            </w:pPr>
          </w:p>
        </w:tc>
        <w:tc>
          <w:tcPr>
            <w:tcW w:w="269" w:type="pct"/>
            <w:tcBorders>
              <w:top w:val="nil"/>
              <w:left w:val="nil"/>
              <w:bottom w:val="nil"/>
              <w:right w:val="nil"/>
            </w:tcBorders>
            <w:shd w:val="clear" w:color="auto" w:fill="auto"/>
            <w:noWrap/>
            <w:vAlign w:val="bottom"/>
          </w:tcPr>
          <w:p w14:paraId="14CC72ED">
            <w:pPr>
              <w:rPr>
                <w:rFonts w:hint="eastAsia" w:asciiTheme="minorEastAsia" w:hAnsiTheme="minorEastAsia" w:eastAsiaTheme="minorEastAsia" w:cstheme="minorEastAsia"/>
                <w:b w:val="false"/>
                <w:bCs w:val="false"/>
                <w:i w:val="false"/>
                <w:iCs w:val="false"/>
                <w:color w:val="000000"/>
                <w:sz w:val="18"/>
                <w:szCs w:val="18"/>
                <w:u w:val="none"/>
              </w:rPr>
            </w:pPr>
          </w:p>
        </w:tc>
        <w:tc>
          <w:tcPr>
            <w:tcW w:w="264" w:type="pct"/>
            <w:tcBorders>
              <w:top w:val="nil"/>
              <w:left w:val="nil"/>
              <w:bottom w:val="nil"/>
              <w:right w:val="nil"/>
            </w:tcBorders>
            <w:shd w:val="clear" w:color="auto" w:fill="auto"/>
            <w:noWrap/>
            <w:vAlign w:val="bottom"/>
          </w:tcPr>
          <w:p w14:paraId="56613E5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3" w:type="pct"/>
            <w:tcBorders>
              <w:top w:val="nil"/>
              <w:left w:val="nil"/>
              <w:bottom w:val="nil"/>
              <w:right w:val="nil"/>
            </w:tcBorders>
            <w:shd w:val="clear" w:color="auto" w:fill="auto"/>
            <w:noWrap/>
            <w:vAlign w:val="bottom"/>
          </w:tcPr>
          <w:p w14:paraId="0C27CB36">
            <w:pPr>
              <w:rPr>
                <w:rFonts w:hint="eastAsia" w:asciiTheme="minorEastAsia" w:hAnsiTheme="minorEastAsia" w:eastAsiaTheme="minorEastAsia" w:cstheme="minorEastAsia"/>
                <w:b w:val="false"/>
                <w:bCs w:val="false"/>
                <w:i w:val="false"/>
                <w:iCs w:val="false"/>
                <w:color w:val="000000"/>
                <w:sz w:val="18"/>
                <w:szCs w:val="18"/>
                <w:u w:val="none"/>
              </w:rPr>
            </w:pPr>
          </w:p>
        </w:tc>
        <w:tc>
          <w:tcPr>
            <w:tcW w:w="225" w:type="pct"/>
            <w:tcBorders>
              <w:top w:val="nil"/>
              <w:left w:val="nil"/>
              <w:bottom w:val="nil"/>
              <w:right w:val="nil"/>
            </w:tcBorders>
            <w:shd w:val="clear" w:color="auto" w:fill="auto"/>
            <w:noWrap/>
            <w:vAlign w:val="bottom"/>
          </w:tcPr>
          <w:p w14:paraId="7DDB07B8">
            <w:pPr>
              <w:rPr>
                <w:rFonts w:hint="eastAsia" w:asciiTheme="minorEastAsia" w:hAnsiTheme="minorEastAsia" w:eastAsiaTheme="minorEastAsia" w:cstheme="minorEastAsia"/>
                <w:b w:val="false"/>
                <w:bCs w:val="false"/>
                <w:i w:val="false"/>
                <w:iCs w:val="false"/>
                <w:color w:val="000000"/>
                <w:sz w:val="18"/>
                <w:szCs w:val="18"/>
                <w:u w:val="none"/>
              </w:rPr>
            </w:pPr>
          </w:p>
        </w:tc>
        <w:tc>
          <w:tcPr>
            <w:tcW w:w="449" w:type="pct"/>
            <w:gridSpan w:val="2"/>
            <w:tcBorders>
              <w:top w:val="nil"/>
              <w:left w:val="nil"/>
              <w:bottom w:val="nil"/>
              <w:right w:val="nil"/>
            </w:tcBorders>
            <w:shd w:val="clear" w:color="auto" w:fill="auto"/>
            <w:noWrap/>
            <w:vAlign w:val="bottom"/>
          </w:tcPr>
          <w:p w14:paraId="0587846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0EFAE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889D7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04" w:type="pct"/>
            <w:vMerge w:val="restart"/>
            <w:tcBorders>
              <w:top w:val="single" w:color="000000" w:sz="4" w:space="0"/>
              <w:left w:val="nil"/>
              <w:bottom w:val="single" w:color="000000" w:sz="4" w:space="0"/>
              <w:right w:val="single" w:color="000000" w:sz="4" w:space="0"/>
            </w:tcBorders>
            <w:shd w:val="clear" w:color="auto" w:fill="auto"/>
            <w:vAlign w:val="center"/>
          </w:tcPr>
          <w:p w14:paraId="7A517BA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204" w:type="pct"/>
            <w:vMerge w:val="restart"/>
            <w:tcBorders>
              <w:top w:val="single" w:color="000000" w:sz="4" w:space="0"/>
              <w:left w:val="nil"/>
              <w:bottom w:val="single" w:color="000000" w:sz="4" w:space="0"/>
              <w:right w:val="single" w:color="000000" w:sz="4" w:space="0"/>
            </w:tcBorders>
            <w:shd w:val="clear" w:color="auto" w:fill="auto"/>
            <w:vAlign w:val="center"/>
          </w:tcPr>
          <w:p w14:paraId="77FE56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55" w:type="pct"/>
            <w:gridSpan w:val="10"/>
            <w:tcBorders>
              <w:top w:val="single" w:color="000000" w:sz="4" w:space="0"/>
              <w:left w:val="nil"/>
              <w:bottom w:val="single" w:color="000000" w:sz="4" w:space="0"/>
              <w:right w:val="single" w:color="000000" w:sz="4" w:space="0"/>
            </w:tcBorders>
            <w:shd w:val="clear" w:color="auto" w:fill="auto"/>
            <w:vAlign w:val="center"/>
          </w:tcPr>
          <w:p w14:paraId="3BADED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50" w:type="pct"/>
            <w:gridSpan w:val="8"/>
            <w:tcBorders>
              <w:top w:val="single" w:color="000000" w:sz="4" w:space="0"/>
              <w:left w:val="nil"/>
              <w:bottom w:val="single" w:color="000000" w:sz="4" w:space="0"/>
              <w:right w:val="single" w:color="000000" w:sz="4" w:space="0"/>
            </w:tcBorders>
            <w:shd w:val="clear" w:color="auto" w:fill="auto"/>
            <w:vAlign w:val="center"/>
          </w:tcPr>
          <w:p w14:paraId="5C8E87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48A82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C2D3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04" w:type="pct"/>
            <w:vMerge w:val="continue"/>
            <w:tcBorders>
              <w:top w:val="single" w:color="000000" w:sz="4" w:space="0"/>
              <w:left w:val="nil"/>
              <w:bottom w:val="single" w:color="000000" w:sz="4" w:space="0"/>
              <w:right w:val="single" w:color="000000" w:sz="4" w:space="0"/>
            </w:tcBorders>
            <w:shd w:val="clear" w:color="auto" w:fill="auto"/>
            <w:vAlign w:val="center"/>
          </w:tcPr>
          <w:p w14:paraId="6133FB51">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04" w:type="pct"/>
            <w:vMerge w:val="continue"/>
            <w:tcBorders>
              <w:top w:val="single" w:color="000000" w:sz="4" w:space="0"/>
              <w:left w:val="nil"/>
              <w:bottom w:val="single" w:color="000000" w:sz="4" w:space="0"/>
              <w:right w:val="single" w:color="000000" w:sz="4" w:space="0"/>
            </w:tcBorders>
            <w:shd w:val="clear" w:color="auto" w:fill="auto"/>
            <w:vAlign w:val="center"/>
          </w:tcPr>
          <w:p w14:paraId="34F3A086">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4" w:type="pct"/>
            <w:vMerge w:val="restart"/>
            <w:tcBorders>
              <w:top w:val="nil"/>
              <w:left w:val="nil"/>
              <w:bottom w:val="single" w:color="000000" w:sz="4" w:space="0"/>
              <w:right w:val="single" w:color="000000" w:sz="4" w:space="0"/>
            </w:tcBorders>
            <w:shd w:val="clear" w:color="auto" w:fill="auto"/>
            <w:vAlign w:val="center"/>
          </w:tcPr>
          <w:p w14:paraId="7DA2D3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4" w:type="pct"/>
            <w:vMerge w:val="restart"/>
            <w:tcBorders>
              <w:top w:val="nil"/>
              <w:left w:val="nil"/>
              <w:bottom w:val="single" w:color="000000" w:sz="4" w:space="0"/>
              <w:right w:val="single" w:color="000000" w:sz="4" w:space="0"/>
            </w:tcBorders>
            <w:shd w:val="clear" w:color="auto" w:fill="auto"/>
            <w:vAlign w:val="center"/>
          </w:tcPr>
          <w:p w14:paraId="7015DE3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4" w:type="pct"/>
            <w:vMerge w:val="restart"/>
            <w:tcBorders>
              <w:top w:val="nil"/>
              <w:left w:val="nil"/>
              <w:bottom w:val="single" w:color="000000" w:sz="4" w:space="0"/>
              <w:right w:val="single" w:color="000000" w:sz="4" w:space="0"/>
            </w:tcBorders>
            <w:shd w:val="clear" w:color="auto" w:fill="auto"/>
            <w:vAlign w:val="center"/>
          </w:tcPr>
          <w:p w14:paraId="43DE0C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28" w:type="pct"/>
            <w:vMerge w:val="restart"/>
            <w:tcBorders>
              <w:top w:val="nil"/>
              <w:left w:val="nil"/>
              <w:bottom w:val="single" w:color="000000" w:sz="4" w:space="0"/>
              <w:right w:val="single" w:color="000000" w:sz="4" w:space="0"/>
            </w:tcBorders>
            <w:shd w:val="clear" w:color="auto" w:fill="auto"/>
            <w:vAlign w:val="center"/>
          </w:tcPr>
          <w:p w14:paraId="34DDAD7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国有资本经营预算算</w:t>
            </w:r>
          </w:p>
        </w:tc>
        <w:tc>
          <w:tcPr>
            <w:tcW w:w="237" w:type="pct"/>
            <w:vMerge w:val="restart"/>
            <w:tcBorders>
              <w:top w:val="nil"/>
              <w:left w:val="nil"/>
              <w:bottom w:val="single" w:color="000000" w:sz="4" w:space="0"/>
              <w:right w:val="single" w:color="000000" w:sz="4" w:space="0"/>
            </w:tcBorders>
            <w:shd w:val="clear" w:color="auto" w:fill="auto"/>
            <w:vAlign w:val="center"/>
          </w:tcPr>
          <w:p w14:paraId="4987B88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3" w:type="pct"/>
            <w:vMerge w:val="restart"/>
            <w:tcBorders>
              <w:top w:val="nil"/>
              <w:left w:val="nil"/>
              <w:bottom w:val="single" w:color="000000" w:sz="4" w:space="0"/>
              <w:right w:val="single" w:color="000000" w:sz="4" w:space="0"/>
            </w:tcBorders>
            <w:shd w:val="clear" w:color="auto" w:fill="auto"/>
            <w:vAlign w:val="center"/>
          </w:tcPr>
          <w:p w14:paraId="66A8BD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39" w:type="pct"/>
            <w:vMerge w:val="restart"/>
            <w:tcBorders>
              <w:top w:val="nil"/>
              <w:left w:val="nil"/>
              <w:bottom w:val="single" w:color="000000" w:sz="4" w:space="0"/>
              <w:right w:val="single" w:color="000000" w:sz="4" w:space="0"/>
            </w:tcBorders>
            <w:shd w:val="clear" w:color="auto" w:fill="auto"/>
            <w:vAlign w:val="center"/>
          </w:tcPr>
          <w:p w14:paraId="7FDA141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58" w:type="pct"/>
            <w:vMerge w:val="restart"/>
            <w:tcBorders>
              <w:top w:val="nil"/>
              <w:left w:val="nil"/>
              <w:bottom w:val="single" w:color="000000" w:sz="4" w:space="0"/>
              <w:right w:val="single" w:color="000000" w:sz="4" w:space="0"/>
            </w:tcBorders>
            <w:shd w:val="clear" w:color="auto" w:fill="auto"/>
            <w:vAlign w:val="center"/>
          </w:tcPr>
          <w:p w14:paraId="552A56B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58" w:type="pct"/>
            <w:vMerge w:val="restart"/>
            <w:tcBorders>
              <w:top w:val="nil"/>
              <w:left w:val="nil"/>
              <w:bottom w:val="single" w:color="000000" w:sz="4" w:space="0"/>
              <w:right w:val="single" w:color="000000" w:sz="4" w:space="0"/>
            </w:tcBorders>
            <w:shd w:val="clear" w:color="auto" w:fill="auto"/>
            <w:vAlign w:val="center"/>
          </w:tcPr>
          <w:p w14:paraId="7369806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2AD09CA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53" w:type="pct"/>
            <w:vMerge w:val="restart"/>
            <w:tcBorders>
              <w:top w:val="nil"/>
              <w:left w:val="nil"/>
              <w:bottom w:val="single" w:color="000000" w:sz="4" w:space="0"/>
              <w:right w:val="single" w:color="000000" w:sz="4" w:space="0"/>
            </w:tcBorders>
            <w:shd w:val="clear" w:color="auto" w:fill="auto"/>
            <w:vAlign w:val="center"/>
          </w:tcPr>
          <w:p w14:paraId="3D1B86E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22" w:type="pct"/>
            <w:gridSpan w:val="4"/>
            <w:tcBorders>
              <w:top w:val="nil"/>
              <w:left w:val="nil"/>
              <w:bottom w:val="single" w:color="000000" w:sz="4" w:space="0"/>
              <w:right w:val="single" w:color="000000" w:sz="4" w:space="0"/>
            </w:tcBorders>
            <w:shd w:val="clear" w:color="auto" w:fill="auto"/>
            <w:vAlign w:val="center"/>
          </w:tcPr>
          <w:p w14:paraId="38C2A71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74" w:type="pct"/>
            <w:gridSpan w:val="3"/>
            <w:tcBorders>
              <w:top w:val="nil"/>
              <w:left w:val="nil"/>
              <w:bottom w:val="single" w:color="000000" w:sz="4" w:space="0"/>
              <w:right w:val="single" w:color="000000" w:sz="4" w:space="0"/>
            </w:tcBorders>
            <w:shd w:val="clear" w:color="auto" w:fill="auto"/>
            <w:vAlign w:val="center"/>
          </w:tcPr>
          <w:p w14:paraId="788794C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162F8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2E804">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04" w:type="pct"/>
            <w:vMerge w:val="continue"/>
            <w:tcBorders>
              <w:top w:val="single" w:color="000000" w:sz="4" w:space="0"/>
              <w:left w:val="nil"/>
              <w:bottom w:val="single" w:color="000000" w:sz="4" w:space="0"/>
              <w:right w:val="single" w:color="000000" w:sz="4" w:space="0"/>
            </w:tcBorders>
            <w:shd w:val="clear" w:color="auto" w:fill="auto"/>
            <w:vAlign w:val="center"/>
          </w:tcPr>
          <w:p w14:paraId="78BF6F6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04" w:type="pct"/>
            <w:vMerge w:val="continue"/>
            <w:tcBorders>
              <w:top w:val="single" w:color="000000" w:sz="4" w:space="0"/>
              <w:left w:val="nil"/>
              <w:bottom w:val="single" w:color="000000" w:sz="4" w:space="0"/>
              <w:right w:val="single" w:color="000000" w:sz="4" w:space="0"/>
            </w:tcBorders>
            <w:shd w:val="clear" w:color="auto" w:fill="auto"/>
            <w:vAlign w:val="center"/>
          </w:tcPr>
          <w:p w14:paraId="371A8AD1">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4" w:type="pct"/>
            <w:vMerge w:val="continue"/>
            <w:tcBorders>
              <w:top w:val="nil"/>
              <w:left w:val="nil"/>
              <w:bottom w:val="single" w:color="000000" w:sz="4" w:space="0"/>
              <w:right w:val="single" w:color="000000" w:sz="4" w:space="0"/>
            </w:tcBorders>
            <w:shd w:val="clear" w:color="auto" w:fill="auto"/>
            <w:vAlign w:val="center"/>
          </w:tcPr>
          <w:p w14:paraId="00A70D2E">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4" w:type="pct"/>
            <w:vMerge w:val="continue"/>
            <w:tcBorders>
              <w:top w:val="nil"/>
              <w:left w:val="nil"/>
              <w:bottom w:val="single" w:color="000000" w:sz="4" w:space="0"/>
              <w:right w:val="single" w:color="000000" w:sz="4" w:space="0"/>
            </w:tcBorders>
            <w:shd w:val="clear" w:color="auto" w:fill="auto"/>
            <w:vAlign w:val="center"/>
          </w:tcPr>
          <w:p w14:paraId="28A210E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4" w:type="pct"/>
            <w:vMerge w:val="continue"/>
            <w:tcBorders>
              <w:top w:val="nil"/>
              <w:left w:val="nil"/>
              <w:bottom w:val="single" w:color="000000" w:sz="4" w:space="0"/>
              <w:right w:val="single" w:color="000000" w:sz="4" w:space="0"/>
            </w:tcBorders>
            <w:shd w:val="clear" w:color="auto" w:fill="auto"/>
            <w:vAlign w:val="center"/>
          </w:tcPr>
          <w:p w14:paraId="586B91F4">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8" w:type="pct"/>
            <w:vMerge w:val="continue"/>
            <w:tcBorders>
              <w:top w:val="nil"/>
              <w:left w:val="nil"/>
              <w:bottom w:val="single" w:color="000000" w:sz="4" w:space="0"/>
              <w:right w:val="single" w:color="000000" w:sz="4" w:space="0"/>
            </w:tcBorders>
            <w:shd w:val="clear" w:color="auto" w:fill="auto"/>
            <w:vAlign w:val="center"/>
          </w:tcPr>
          <w:p w14:paraId="559004E6">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7" w:type="pct"/>
            <w:vMerge w:val="continue"/>
            <w:tcBorders>
              <w:top w:val="nil"/>
              <w:left w:val="nil"/>
              <w:bottom w:val="single" w:color="000000" w:sz="4" w:space="0"/>
              <w:right w:val="single" w:color="000000" w:sz="4" w:space="0"/>
            </w:tcBorders>
            <w:shd w:val="clear" w:color="auto" w:fill="auto"/>
            <w:vAlign w:val="center"/>
          </w:tcPr>
          <w:p w14:paraId="029830E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3" w:type="pct"/>
            <w:vMerge w:val="continue"/>
            <w:tcBorders>
              <w:top w:val="nil"/>
              <w:left w:val="nil"/>
              <w:bottom w:val="single" w:color="000000" w:sz="4" w:space="0"/>
              <w:right w:val="single" w:color="000000" w:sz="4" w:space="0"/>
            </w:tcBorders>
            <w:shd w:val="clear" w:color="auto" w:fill="auto"/>
            <w:vAlign w:val="center"/>
          </w:tcPr>
          <w:p w14:paraId="6324CB8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9" w:type="pct"/>
            <w:vMerge w:val="continue"/>
            <w:tcBorders>
              <w:top w:val="nil"/>
              <w:left w:val="nil"/>
              <w:bottom w:val="single" w:color="000000" w:sz="4" w:space="0"/>
              <w:right w:val="single" w:color="000000" w:sz="4" w:space="0"/>
            </w:tcBorders>
            <w:shd w:val="clear" w:color="auto" w:fill="auto"/>
            <w:vAlign w:val="center"/>
          </w:tcPr>
          <w:p w14:paraId="7D039D7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8" w:type="pct"/>
            <w:vMerge w:val="continue"/>
            <w:tcBorders>
              <w:top w:val="nil"/>
              <w:left w:val="nil"/>
              <w:bottom w:val="single" w:color="000000" w:sz="4" w:space="0"/>
              <w:right w:val="single" w:color="000000" w:sz="4" w:space="0"/>
            </w:tcBorders>
            <w:shd w:val="clear" w:color="auto" w:fill="auto"/>
            <w:vAlign w:val="center"/>
          </w:tcPr>
          <w:p w14:paraId="1BD87325">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8" w:type="pct"/>
            <w:vMerge w:val="continue"/>
            <w:tcBorders>
              <w:top w:val="nil"/>
              <w:left w:val="nil"/>
              <w:bottom w:val="single" w:color="000000" w:sz="4" w:space="0"/>
              <w:right w:val="single" w:color="000000" w:sz="4" w:space="0"/>
            </w:tcBorders>
            <w:shd w:val="clear" w:color="auto" w:fill="auto"/>
            <w:vAlign w:val="center"/>
          </w:tcPr>
          <w:p w14:paraId="16F988B2">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3F6ABA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3" w:type="pct"/>
            <w:vMerge w:val="continue"/>
            <w:tcBorders>
              <w:top w:val="nil"/>
              <w:left w:val="nil"/>
              <w:bottom w:val="single" w:color="000000" w:sz="4" w:space="0"/>
              <w:right w:val="single" w:color="000000" w:sz="4" w:space="0"/>
            </w:tcBorders>
            <w:shd w:val="clear" w:color="auto" w:fill="auto"/>
            <w:vAlign w:val="center"/>
          </w:tcPr>
          <w:p w14:paraId="6BEA19B4">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tcBorders>
              <w:top w:val="nil"/>
              <w:left w:val="nil"/>
              <w:bottom w:val="single" w:color="000000" w:sz="4" w:space="0"/>
              <w:right w:val="single" w:color="000000" w:sz="4" w:space="0"/>
            </w:tcBorders>
            <w:shd w:val="clear" w:color="auto" w:fill="auto"/>
            <w:vAlign w:val="center"/>
          </w:tcPr>
          <w:p w14:paraId="286A22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69" w:type="pct"/>
            <w:tcBorders>
              <w:top w:val="nil"/>
              <w:left w:val="nil"/>
              <w:bottom w:val="single" w:color="000000" w:sz="4" w:space="0"/>
              <w:right w:val="single" w:color="000000" w:sz="4" w:space="0"/>
            </w:tcBorders>
            <w:shd w:val="clear" w:color="auto" w:fill="auto"/>
            <w:vAlign w:val="center"/>
          </w:tcPr>
          <w:p w14:paraId="1AFE76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64" w:type="pct"/>
            <w:tcBorders>
              <w:top w:val="nil"/>
              <w:left w:val="nil"/>
              <w:bottom w:val="single" w:color="000000" w:sz="4" w:space="0"/>
              <w:right w:val="single" w:color="000000" w:sz="4" w:space="0"/>
            </w:tcBorders>
            <w:shd w:val="clear" w:color="auto" w:fill="auto"/>
            <w:vAlign w:val="center"/>
          </w:tcPr>
          <w:p w14:paraId="49EDCAA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3" w:type="pct"/>
            <w:tcBorders>
              <w:top w:val="nil"/>
              <w:left w:val="nil"/>
              <w:bottom w:val="single" w:color="000000" w:sz="4" w:space="0"/>
              <w:right w:val="single" w:color="000000" w:sz="4" w:space="0"/>
            </w:tcBorders>
            <w:shd w:val="clear" w:color="auto" w:fill="auto"/>
            <w:vAlign w:val="center"/>
          </w:tcPr>
          <w:p w14:paraId="523D6AE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5" w:type="pct"/>
            <w:tcBorders>
              <w:top w:val="nil"/>
              <w:left w:val="nil"/>
              <w:bottom w:val="single" w:color="000000" w:sz="4" w:space="0"/>
              <w:right w:val="single" w:color="000000" w:sz="4" w:space="0"/>
            </w:tcBorders>
            <w:shd w:val="clear" w:color="auto" w:fill="auto"/>
            <w:vAlign w:val="center"/>
          </w:tcPr>
          <w:p w14:paraId="51543B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1" w:type="pct"/>
            <w:tcBorders>
              <w:top w:val="nil"/>
              <w:left w:val="nil"/>
              <w:bottom w:val="single" w:color="000000" w:sz="4" w:space="0"/>
              <w:right w:val="single" w:color="000000" w:sz="4" w:space="0"/>
            </w:tcBorders>
            <w:shd w:val="clear" w:color="auto" w:fill="auto"/>
            <w:vAlign w:val="center"/>
          </w:tcPr>
          <w:p w14:paraId="65561F0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34F9D6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2BD47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89" w:type="pct"/>
            <w:gridSpan w:val="2"/>
            <w:tcBorders>
              <w:top w:val="nil"/>
              <w:left w:val="single" w:color="000000" w:sz="4" w:space="0"/>
              <w:bottom w:val="single" w:color="000000" w:sz="4" w:space="0"/>
              <w:right w:val="single" w:color="000000" w:sz="4" w:space="0"/>
            </w:tcBorders>
            <w:shd w:val="clear" w:color="auto" w:fill="auto"/>
            <w:noWrap/>
            <w:vAlign w:val="center"/>
          </w:tcPr>
          <w:p w14:paraId="4D2209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573" w:type="dxa"/>
            <w:tcBorders>
              <w:top w:val="nil"/>
              <w:left w:val="nil"/>
              <w:bottom w:val="single" w:color="000000" w:sz="4" w:space="0"/>
              <w:right w:val="single" w:color="000000" w:sz="4" w:space="0"/>
            </w:tcBorders>
            <w:shd w:val="clear" w:color="auto" w:fill="auto"/>
            <w:noWrap/>
            <w:vAlign w:val="center"/>
          </w:tcPr>
          <w:p w14:paraId="475EA2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66,238,335.19</w:t>
            </w:r>
          </w:p>
        </w:tc>
        <w:tc>
          <w:tcPr>
            <w:tcW w:w="627" w:type="dxa"/>
            <w:tcBorders>
              <w:top w:val="nil"/>
              <w:left w:val="nil"/>
              <w:bottom w:val="single" w:color="000000" w:sz="4" w:space="0"/>
              <w:right w:val="single" w:color="000000" w:sz="4" w:space="0"/>
            </w:tcBorders>
            <w:shd w:val="clear" w:color="auto" w:fill="auto"/>
            <w:noWrap/>
            <w:vAlign w:val="center"/>
          </w:tcPr>
          <w:p w14:paraId="3D0AD7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66,238,335.19</w:t>
            </w:r>
          </w:p>
        </w:tc>
        <w:tc>
          <w:tcPr>
            <w:tcW w:w="627" w:type="dxa"/>
            <w:tcBorders>
              <w:top w:val="nil"/>
              <w:left w:val="nil"/>
              <w:bottom w:val="single" w:color="000000" w:sz="4" w:space="0"/>
              <w:right w:val="single" w:color="000000" w:sz="4" w:space="0"/>
            </w:tcBorders>
            <w:shd w:val="clear" w:color="auto" w:fill="auto"/>
            <w:noWrap/>
            <w:vAlign w:val="center"/>
          </w:tcPr>
          <w:p w14:paraId="02BA0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66,238,335.19</w:t>
            </w:r>
          </w:p>
        </w:tc>
        <w:tc>
          <w:tcPr>
            <w:tcW w:w="600" w:type="dxa"/>
            <w:tcBorders>
              <w:top w:val="nil"/>
              <w:left w:val="nil"/>
              <w:bottom w:val="single" w:color="000000" w:sz="4" w:space="0"/>
              <w:right w:val="single" w:color="000000" w:sz="4" w:space="0"/>
            </w:tcBorders>
            <w:shd w:val="clear" w:color="auto" w:fill="auto"/>
            <w:noWrap/>
            <w:vAlign w:val="center"/>
          </w:tcPr>
          <w:p w14:paraId="39B254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640" w:type="dxa"/>
            <w:tcBorders>
              <w:top w:val="nil"/>
              <w:left w:val="nil"/>
              <w:bottom w:val="single" w:color="000000" w:sz="4" w:space="0"/>
              <w:right w:val="single" w:color="000000" w:sz="4" w:space="0"/>
            </w:tcBorders>
            <w:shd w:val="clear" w:color="auto" w:fill="auto"/>
            <w:noWrap/>
            <w:vAlign w:val="center"/>
          </w:tcPr>
          <w:p w14:paraId="771931C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666" w:type="dxa"/>
            <w:tcBorders>
              <w:top w:val="nil"/>
              <w:left w:val="nil"/>
              <w:bottom w:val="single" w:color="000000" w:sz="4" w:space="0"/>
              <w:right w:val="single" w:color="000000" w:sz="4" w:space="0"/>
            </w:tcBorders>
            <w:shd w:val="clear" w:color="auto" w:fill="auto"/>
            <w:noWrap/>
            <w:vAlign w:val="center"/>
          </w:tcPr>
          <w:p w14:paraId="16B1DA8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654" w:type="dxa"/>
            <w:tcBorders>
              <w:top w:val="nil"/>
              <w:left w:val="nil"/>
              <w:bottom w:val="single" w:color="000000" w:sz="4" w:space="0"/>
              <w:right w:val="single" w:color="000000" w:sz="4" w:space="0"/>
            </w:tcBorders>
            <w:shd w:val="clear" w:color="auto" w:fill="auto"/>
            <w:noWrap/>
            <w:vAlign w:val="center"/>
          </w:tcPr>
          <w:p w14:paraId="37376F8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671" w:type="dxa"/>
            <w:tcBorders>
              <w:top w:val="nil"/>
              <w:left w:val="nil"/>
              <w:bottom w:val="single" w:color="000000" w:sz="4" w:space="0"/>
              <w:right w:val="single" w:color="000000" w:sz="4" w:space="0"/>
            </w:tcBorders>
            <w:shd w:val="clear" w:color="auto" w:fill="auto"/>
            <w:noWrap/>
            <w:vAlign w:val="center"/>
          </w:tcPr>
          <w:p w14:paraId="55AE8D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723" w:type="dxa"/>
            <w:tcBorders>
              <w:top w:val="nil"/>
              <w:left w:val="nil"/>
              <w:bottom w:val="single" w:color="000000" w:sz="4" w:space="0"/>
              <w:right w:val="single" w:color="000000" w:sz="4" w:space="0"/>
            </w:tcBorders>
            <w:shd w:val="clear" w:color="auto" w:fill="auto"/>
            <w:noWrap/>
            <w:vAlign w:val="center"/>
          </w:tcPr>
          <w:p w14:paraId="1EA0EF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723" w:type="dxa"/>
            <w:tcBorders>
              <w:top w:val="nil"/>
              <w:left w:val="nil"/>
              <w:bottom w:val="single" w:color="000000" w:sz="4" w:space="0"/>
              <w:right w:val="single" w:color="000000" w:sz="4" w:space="0"/>
            </w:tcBorders>
            <w:shd w:val="clear" w:color="auto" w:fill="auto"/>
            <w:noWrap/>
            <w:vAlign w:val="center"/>
          </w:tcPr>
          <w:p w14:paraId="258218B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661" w:type="dxa"/>
            <w:tcBorders>
              <w:top w:val="nil"/>
              <w:left w:val="nil"/>
              <w:bottom w:val="single" w:color="000000" w:sz="4" w:space="0"/>
              <w:right w:val="single" w:color="000000" w:sz="4" w:space="0"/>
            </w:tcBorders>
            <w:shd w:val="clear" w:color="auto" w:fill="auto"/>
            <w:noWrap/>
            <w:vAlign w:val="center"/>
          </w:tcPr>
          <w:p w14:paraId="1DDADEF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708" w:type="dxa"/>
            <w:tcBorders>
              <w:top w:val="nil"/>
              <w:left w:val="nil"/>
              <w:bottom w:val="single" w:color="000000" w:sz="4" w:space="0"/>
              <w:right w:val="single" w:color="000000" w:sz="4" w:space="0"/>
            </w:tcBorders>
            <w:shd w:val="clear" w:color="auto" w:fill="auto"/>
            <w:noWrap/>
            <w:vAlign w:val="center"/>
          </w:tcPr>
          <w:p w14:paraId="65D64F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1680ED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753" w:type="dxa"/>
            <w:tcBorders>
              <w:top w:val="nil"/>
              <w:left w:val="nil"/>
              <w:bottom w:val="single" w:color="000000" w:sz="4" w:space="0"/>
              <w:right w:val="single" w:color="000000" w:sz="4" w:space="0"/>
            </w:tcBorders>
            <w:shd w:val="clear" w:color="auto" w:fill="auto"/>
            <w:noWrap/>
            <w:vAlign w:val="center"/>
          </w:tcPr>
          <w:p w14:paraId="0B97D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739" w:type="dxa"/>
            <w:tcBorders>
              <w:top w:val="nil"/>
              <w:left w:val="nil"/>
              <w:bottom w:val="single" w:color="000000" w:sz="4" w:space="0"/>
              <w:right w:val="single" w:color="000000" w:sz="4" w:space="0"/>
            </w:tcBorders>
            <w:shd w:val="clear" w:color="auto" w:fill="auto"/>
            <w:noWrap/>
            <w:vAlign w:val="center"/>
          </w:tcPr>
          <w:p w14:paraId="4D2E64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708" w:type="dxa"/>
            <w:tcBorders>
              <w:top w:val="nil"/>
              <w:left w:val="nil"/>
              <w:bottom w:val="single" w:color="000000" w:sz="4" w:space="0"/>
              <w:right w:val="single" w:color="000000" w:sz="4" w:space="0"/>
            </w:tcBorders>
            <w:shd w:val="clear" w:color="auto" w:fill="auto"/>
            <w:noWrap/>
            <w:vAlign w:val="center"/>
          </w:tcPr>
          <w:p w14:paraId="5ECEC55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630" w:type="dxa"/>
            <w:tcBorders>
              <w:top w:val="nil"/>
              <w:left w:val="nil"/>
              <w:bottom w:val="single" w:color="000000" w:sz="4" w:space="0"/>
              <w:right w:val="single" w:color="000000" w:sz="4" w:space="0"/>
            </w:tcBorders>
            <w:shd w:val="clear" w:color="auto" w:fill="auto"/>
            <w:noWrap/>
            <w:vAlign w:val="center"/>
          </w:tcPr>
          <w:p w14:paraId="30CA56B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221" w:type="pct"/>
            <w:tcBorders>
              <w:top w:val="nil"/>
              <w:left w:val="nil"/>
              <w:bottom w:val="single" w:color="000000" w:sz="4" w:space="0"/>
              <w:right w:val="single" w:color="000000" w:sz="4" w:space="0"/>
            </w:tcBorders>
            <w:shd w:val="clear" w:color="auto" w:fill="auto"/>
            <w:noWrap/>
            <w:vAlign w:val="center"/>
          </w:tcPr>
          <w:p w14:paraId="1835F4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6CAD52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r>
      <w:tr w14:paraId="2D3C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6792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813101</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A87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天津市东丽临空经济区管理委员会</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990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66,238,335.19</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FA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66,238,335.19</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A1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66,238,335.19</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4A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022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8E0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A48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1A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6E1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4E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F4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B61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90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0DC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A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980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791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8E66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AE4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r>
      <w:tr w14:paraId="1E929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21"/>
            <w:tcBorders>
              <w:top w:val="nil"/>
              <w:left w:val="nil"/>
              <w:bottom w:val="nil"/>
              <w:right w:val="nil"/>
            </w:tcBorders>
            <w:shd w:val="clear" w:color="auto" w:fill="auto"/>
            <w:noWrap/>
            <w:vAlign w:val="center"/>
          </w:tcPr>
          <w:p w14:paraId="2D74CE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7608F206">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2377495">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93"/>
        <w:gridCol w:w="2220"/>
        <w:gridCol w:w="1845"/>
        <w:gridCol w:w="1800"/>
        <w:gridCol w:w="1800"/>
        <w:gridCol w:w="1815"/>
        <w:gridCol w:w="1628"/>
        <w:gridCol w:w="1589"/>
      </w:tblGrid>
      <w:tr w14:paraId="36171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07EE934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部门（单位）：天津市东丽临空经济区管理委员会 </w:t>
            </w:r>
          </w:p>
        </w:tc>
        <w:tc>
          <w:tcPr>
            <w:tcW w:w="567" w:type="pct"/>
            <w:tcBorders>
              <w:top w:val="nil"/>
              <w:left w:val="nil"/>
              <w:bottom w:val="nil"/>
              <w:right w:val="nil"/>
            </w:tcBorders>
            <w:shd w:val="clear" w:color="auto" w:fill="auto"/>
            <w:noWrap/>
            <w:vAlign w:val="bottom"/>
          </w:tcPr>
          <w:p w14:paraId="328B227F">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4877C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AD12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11B803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68BA9CA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5A6DD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DFD6B6">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E0E35E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544B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E638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nil"/>
              <w:left w:val="single" w:color="000000" w:sz="4" w:space="0"/>
              <w:bottom w:val="nil"/>
              <w:right w:val="single" w:color="000000" w:sz="4" w:space="0"/>
            </w:tcBorders>
            <w:shd w:val="clear" w:color="auto" w:fill="auto"/>
            <w:noWrap/>
            <w:vAlign w:val="center"/>
          </w:tcPr>
          <w:p w14:paraId="3067F1A6">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93" w:type="pct"/>
            <w:tcBorders>
              <w:top w:val="nil"/>
              <w:left w:val="nil"/>
              <w:bottom w:val="nil"/>
              <w:right w:val="single" w:color="000000" w:sz="4" w:space="0"/>
            </w:tcBorders>
            <w:shd w:val="clear" w:color="auto" w:fill="auto"/>
            <w:noWrap/>
            <w:vAlign w:val="center"/>
          </w:tcPr>
          <w:p w14:paraId="05E73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41AD0B8">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233E40D">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714E9C9">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DA82E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1885C7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CB909C0">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32B60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2FBA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ADD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66,238,335.19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2A1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2,543,535.19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1B3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63,694,800.00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62D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853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40F3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一般公共服务支出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65,370,905.35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1,676,105.35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63,694,800.00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20103</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政府办公厅（室）及相关机构事务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65,176,105.35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1,676,105.35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63,500,000.00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2010301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65,176,105.35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1,676,105.35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63,500,000.00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20104</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发展与改革事务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194,800.00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194,800.00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2010499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其他发展与改革事务支出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194,800.00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194,800.00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250,476.80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250,476.80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250,476.80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250,476.80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166,984.20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166,984.20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83,492.60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83,492.60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124,449.04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124,449.04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124,449.04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124,449.04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96,625.00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96,625.00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2101103</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公务员医疗补助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24,545.40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24,545.40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其他行政事业单位医疗支出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3,278.64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3,278.64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492,504.00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492,504.00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492,504.00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492,504.00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492,504.00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492,504.00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1F6F4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33C02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34C1837F">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D294F7">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5173A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6833A578">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部门（单位）：天津市东丽临空经济区管理委员会 </w:t>
            </w:r>
          </w:p>
        </w:tc>
        <w:tc>
          <w:tcPr>
            <w:tcW w:w="705" w:type="pct"/>
            <w:tcBorders>
              <w:top w:val="nil"/>
              <w:left w:val="nil"/>
              <w:bottom w:val="nil"/>
              <w:right w:val="nil"/>
            </w:tcBorders>
            <w:shd w:val="clear" w:color="auto" w:fill="auto"/>
            <w:noWrap/>
            <w:vAlign w:val="bottom"/>
          </w:tcPr>
          <w:p w14:paraId="0AF47DEE">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1DC55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87AE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7F12D7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31EE6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192CDE6">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446B4A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04CD0E1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C0FA2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303B74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5581C71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57FE8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0009C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72B80B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BBA2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66,238,335.19</w:t>
            </w:r>
          </w:p>
        </w:tc>
        <w:tc>
          <w:tcPr>
            <w:tcW w:w="839" w:type="pct"/>
            <w:tcBorders>
              <w:top w:val="nil"/>
              <w:left w:val="nil"/>
              <w:bottom w:val="single" w:color="000000" w:sz="4" w:space="0"/>
              <w:right w:val="single" w:color="000000" w:sz="4" w:space="0"/>
            </w:tcBorders>
            <w:shd w:val="clear" w:color="auto" w:fill="auto"/>
            <w:noWrap/>
            <w:vAlign w:val="center"/>
          </w:tcPr>
          <w:p w14:paraId="25127A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66277F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65,370,905.35</w:t>
            </w:r>
          </w:p>
        </w:tc>
        <w:tc>
          <w:tcPr>
            <w:tcW w:w="640" w:type="pct"/>
            <w:tcBorders>
              <w:top w:val="nil"/>
              <w:left w:val="nil"/>
              <w:bottom w:val="single" w:color="000000" w:sz="4" w:space="0"/>
              <w:right w:val="single" w:color="000000" w:sz="4" w:space="0"/>
            </w:tcBorders>
            <w:shd w:val="clear" w:color="auto" w:fill="auto"/>
            <w:noWrap/>
            <w:vAlign w:val="center"/>
          </w:tcPr>
          <w:p w14:paraId="44FB22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65,370,905.35</w:t>
            </w:r>
          </w:p>
        </w:tc>
        <w:tc>
          <w:tcPr>
            <w:tcW w:w="652" w:type="pct"/>
            <w:tcBorders>
              <w:top w:val="nil"/>
              <w:left w:val="nil"/>
              <w:bottom w:val="single" w:color="000000" w:sz="4" w:space="0"/>
              <w:right w:val="single" w:color="000000" w:sz="4" w:space="0"/>
            </w:tcBorders>
            <w:shd w:val="clear" w:color="auto" w:fill="auto"/>
            <w:noWrap/>
            <w:vAlign w:val="center"/>
          </w:tcPr>
          <w:p w14:paraId="6F92ACE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A7EF62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1F26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96C72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6FA55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3AE577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7A677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223754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61F69D9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D8DB6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6B85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743BD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26D7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ECD53E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E40DC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E02B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B2798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9DC1D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2DD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1AB195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D6DCEB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F4820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119865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CF0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56C20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5CB2AEA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1CF0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3E1B8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366E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8CB9C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400E6E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D5EC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68852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8F9D0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8A79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D8128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3D0F9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47022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61270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250,476.80</w:t>
            </w:r>
          </w:p>
        </w:tc>
        <w:tc>
          <w:tcPr>
            <w:tcW w:w="640" w:type="pct"/>
            <w:tcBorders>
              <w:top w:val="nil"/>
              <w:left w:val="nil"/>
              <w:bottom w:val="single" w:color="000000" w:sz="4" w:space="0"/>
              <w:right w:val="single" w:color="000000" w:sz="4" w:space="0"/>
            </w:tcBorders>
            <w:shd w:val="clear" w:color="auto" w:fill="auto"/>
            <w:noWrap/>
            <w:vAlign w:val="center"/>
          </w:tcPr>
          <w:p w14:paraId="7D1C35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250,476.80</w:t>
            </w:r>
          </w:p>
        </w:tc>
        <w:tc>
          <w:tcPr>
            <w:tcW w:w="652" w:type="pct"/>
            <w:tcBorders>
              <w:top w:val="nil"/>
              <w:left w:val="nil"/>
              <w:bottom w:val="single" w:color="000000" w:sz="4" w:space="0"/>
              <w:right w:val="single" w:color="000000" w:sz="4" w:space="0"/>
            </w:tcBorders>
            <w:shd w:val="clear" w:color="auto" w:fill="auto"/>
            <w:noWrap/>
            <w:vAlign w:val="center"/>
          </w:tcPr>
          <w:p w14:paraId="2955BC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C3BD2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6A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BC1B1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79D27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3A85D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040E93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124,449.04</w:t>
            </w:r>
          </w:p>
        </w:tc>
        <w:tc>
          <w:tcPr>
            <w:tcW w:w="640" w:type="pct"/>
            <w:tcBorders>
              <w:top w:val="nil"/>
              <w:left w:val="nil"/>
              <w:bottom w:val="single" w:color="000000" w:sz="4" w:space="0"/>
              <w:right w:val="single" w:color="000000" w:sz="4" w:space="0"/>
            </w:tcBorders>
            <w:shd w:val="clear" w:color="auto" w:fill="auto"/>
            <w:noWrap/>
            <w:vAlign w:val="center"/>
          </w:tcPr>
          <w:p w14:paraId="37FB64D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124,449.04</w:t>
            </w:r>
          </w:p>
        </w:tc>
        <w:tc>
          <w:tcPr>
            <w:tcW w:w="652" w:type="pct"/>
            <w:tcBorders>
              <w:top w:val="nil"/>
              <w:left w:val="nil"/>
              <w:bottom w:val="single" w:color="000000" w:sz="4" w:space="0"/>
              <w:right w:val="single" w:color="000000" w:sz="4" w:space="0"/>
            </w:tcBorders>
            <w:shd w:val="clear" w:color="auto" w:fill="auto"/>
            <w:noWrap/>
            <w:vAlign w:val="center"/>
          </w:tcPr>
          <w:p w14:paraId="3CE2488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BFC3F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85DD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1A9B29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139F69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8DA4F9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66F64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F8D7B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64D09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9903B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D27A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F93B2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A9D444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BFFC5F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02F13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EE730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68C8F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5C7169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CBF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C6F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9C03D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96A3B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552797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5BA05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03F85C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ED1783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D3F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B7816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F34A5E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A61F76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1E5B71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7FA01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9934C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D06F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CBB6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780CA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3DC6B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FF79F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687304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957CC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0CCA349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8D801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A8AB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63286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A319B2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84F1D0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417871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E3B55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39A4A1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1F41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D9D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6186B3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F553BC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B804D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0FE102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A4541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85C836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D4AE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F12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042B95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5D38D5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A3D15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7AEB95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CEAFD3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B78A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EBC2CA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DA6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C1F4B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855FA5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E1391A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0CB2D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20A1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6A0EF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80F05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B4D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93FDF8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123411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53CF3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7054A1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492,504.00</w:t>
            </w:r>
          </w:p>
        </w:tc>
        <w:tc>
          <w:tcPr>
            <w:tcW w:w="640" w:type="pct"/>
            <w:tcBorders>
              <w:top w:val="nil"/>
              <w:left w:val="nil"/>
              <w:bottom w:val="single" w:color="000000" w:sz="4" w:space="0"/>
              <w:right w:val="single" w:color="000000" w:sz="4" w:space="0"/>
            </w:tcBorders>
            <w:shd w:val="clear" w:color="auto" w:fill="auto"/>
            <w:noWrap/>
            <w:vAlign w:val="center"/>
          </w:tcPr>
          <w:p w14:paraId="338B31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492,504.00</w:t>
            </w:r>
          </w:p>
        </w:tc>
        <w:tc>
          <w:tcPr>
            <w:tcW w:w="652" w:type="pct"/>
            <w:tcBorders>
              <w:top w:val="nil"/>
              <w:left w:val="nil"/>
              <w:bottom w:val="single" w:color="000000" w:sz="4" w:space="0"/>
              <w:right w:val="single" w:color="000000" w:sz="4" w:space="0"/>
            </w:tcBorders>
            <w:shd w:val="clear" w:color="auto" w:fill="auto"/>
            <w:noWrap/>
            <w:vAlign w:val="center"/>
          </w:tcPr>
          <w:p w14:paraId="645FF3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35F9F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050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87CB3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7DC5D6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B51A4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15DB608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86414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601B6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259A9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62A0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7F2DFD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398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57D75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36DD39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00663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CA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E6047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BE4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37751C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EB293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DC81F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30F4887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8922E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E345C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64C14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34E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6CB1A6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B2B15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8D13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6AEB4B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13ED6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0F236C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22E24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D732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8C84C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D7FA7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52B2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4937D55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1460F1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58A32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5F98EF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D75B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6EC732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70310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60E58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6044C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6F134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0919E7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A3466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49A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D6862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3E1149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66,238,335.19</w:t>
            </w:r>
          </w:p>
        </w:tc>
        <w:tc>
          <w:tcPr>
            <w:tcW w:w="839" w:type="pct"/>
            <w:tcBorders>
              <w:top w:val="nil"/>
              <w:left w:val="nil"/>
              <w:bottom w:val="single" w:color="000000" w:sz="4" w:space="0"/>
              <w:right w:val="single" w:color="000000" w:sz="4" w:space="0"/>
            </w:tcBorders>
            <w:shd w:val="clear" w:color="auto" w:fill="auto"/>
            <w:noWrap/>
            <w:vAlign w:val="center"/>
          </w:tcPr>
          <w:p w14:paraId="3B51838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40903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66,238,335.19</w:t>
            </w:r>
          </w:p>
        </w:tc>
        <w:tc>
          <w:tcPr>
            <w:tcW w:w="640" w:type="pct"/>
            <w:tcBorders>
              <w:top w:val="nil"/>
              <w:left w:val="nil"/>
              <w:bottom w:val="single" w:color="000000" w:sz="4" w:space="0"/>
              <w:right w:val="single" w:color="000000" w:sz="4" w:space="0"/>
            </w:tcBorders>
            <w:shd w:val="clear" w:color="auto" w:fill="auto"/>
            <w:noWrap/>
            <w:vAlign w:val="center"/>
          </w:tcPr>
          <w:p w14:paraId="0B7651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66,238,335.19</w:t>
            </w:r>
          </w:p>
        </w:tc>
        <w:tc>
          <w:tcPr>
            <w:tcW w:w="652" w:type="pct"/>
            <w:tcBorders>
              <w:top w:val="nil"/>
              <w:left w:val="nil"/>
              <w:bottom w:val="single" w:color="000000" w:sz="4" w:space="0"/>
              <w:right w:val="single" w:color="000000" w:sz="4" w:space="0"/>
            </w:tcBorders>
            <w:shd w:val="clear" w:color="auto" w:fill="auto"/>
            <w:noWrap/>
            <w:vAlign w:val="center"/>
          </w:tcPr>
          <w:p w14:paraId="4FEDB1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10123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9A61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AECC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3624B1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2B61203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25E4E1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02745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839035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56766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37EE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0667F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36E0A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5C8B94B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3B2AB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E08BFA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87D79D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5DE6109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2487C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23F1C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FDB05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DD70BB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89CAFA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E00F64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7E448F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6629285">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28B51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6EADB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CA2582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02C3E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43551AC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9B3DE0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93E1CB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AEE0DC5">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5C1D6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75E4E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6B1C659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66,238,335.19</w:t>
            </w:r>
          </w:p>
        </w:tc>
        <w:tc>
          <w:tcPr>
            <w:tcW w:w="839" w:type="pct"/>
            <w:tcBorders>
              <w:top w:val="nil"/>
              <w:left w:val="nil"/>
              <w:bottom w:val="single" w:color="000000" w:sz="4" w:space="0"/>
              <w:right w:val="single" w:color="000000" w:sz="4" w:space="0"/>
            </w:tcBorders>
            <w:shd w:val="clear" w:color="auto" w:fill="auto"/>
            <w:noWrap/>
            <w:vAlign w:val="center"/>
          </w:tcPr>
          <w:p w14:paraId="4F0555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2B7A13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66,238,335.19</w:t>
            </w:r>
          </w:p>
        </w:tc>
        <w:tc>
          <w:tcPr>
            <w:tcW w:w="640" w:type="pct"/>
            <w:tcBorders>
              <w:top w:val="nil"/>
              <w:left w:val="nil"/>
              <w:bottom w:val="single" w:color="000000" w:sz="4" w:space="0"/>
              <w:right w:val="single" w:color="000000" w:sz="4" w:space="0"/>
            </w:tcBorders>
            <w:shd w:val="clear" w:color="auto" w:fill="auto"/>
            <w:noWrap/>
            <w:vAlign w:val="center"/>
          </w:tcPr>
          <w:p w14:paraId="5F199E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66,238,335.19</w:t>
            </w:r>
          </w:p>
        </w:tc>
        <w:tc>
          <w:tcPr>
            <w:tcW w:w="652" w:type="pct"/>
            <w:tcBorders>
              <w:top w:val="nil"/>
              <w:left w:val="nil"/>
              <w:bottom w:val="single" w:color="000000" w:sz="4" w:space="0"/>
              <w:right w:val="single" w:color="000000" w:sz="4" w:space="0"/>
            </w:tcBorders>
            <w:shd w:val="clear" w:color="auto" w:fill="auto"/>
            <w:noWrap/>
            <w:vAlign w:val="center"/>
          </w:tcPr>
          <w:p w14:paraId="2D21C9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C95C5D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AB8A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610874E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41E21D3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4A2E06B5">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六、一般公共预算财政拨款支出决算表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73"/>
        <w:gridCol w:w="4523"/>
        <w:gridCol w:w="1754"/>
        <w:gridCol w:w="1600"/>
        <w:gridCol w:w="1630"/>
        <w:gridCol w:w="1600"/>
        <w:gridCol w:w="1612"/>
      </w:tblGrid>
      <w:tr w14:paraId="12D0C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23" w:type="pct"/>
            <w:gridSpan w:val="6"/>
            <w:tcBorders>
              <w:top w:val="nil"/>
              <w:left w:val="nil"/>
              <w:bottom w:val="nil"/>
              <w:right w:val="nil"/>
            </w:tcBorders>
            <w:shd w:val="clear" w:color="auto" w:fill="auto"/>
            <w:noWrap/>
            <w:vAlign w:val="bottom"/>
          </w:tcPr>
          <w:p w14:paraId="2C972CFC">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天津市东丽临空经济区管理委员会 </w:t>
            </w:r>
          </w:p>
        </w:tc>
        <w:tc>
          <w:tcPr>
            <w:tcW w:w="576" w:type="pct"/>
            <w:tcBorders>
              <w:top w:val="nil"/>
              <w:left w:val="nil"/>
              <w:bottom w:val="nil"/>
              <w:right w:val="nil"/>
            </w:tcBorders>
            <w:shd w:val="clear" w:color="auto" w:fill="auto"/>
            <w:noWrap/>
            <w:vAlign w:val="bottom"/>
          </w:tcPr>
          <w:p w14:paraId="4965D9EE">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F317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C540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26" w:type="pct"/>
            <w:vMerge w:val="restart"/>
            <w:tcBorders>
              <w:top w:val="single" w:color="000000" w:sz="4" w:space="0"/>
              <w:left w:val="nil"/>
              <w:bottom w:val="single" w:color="000000" w:sz="4" w:space="0"/>
              <w:right w:val="single" w:color="000000" w:sz="4" w:space="0"/>
            </w:tcBorders>
            <w:shd w:val="clear" w:color="auto" w:fill="auto"/>
            <w:noWrap/>
            <w:vAlign w:val="center"/>
          </w:tcPr>
          <w:p w14:paraId="060EDCA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725" w:type="pct"/>
            <w:gridSpan w:val="3"/>
            <w:tcBorders>
              <w:top w:val="single" w:color="000000" w:sz="4" w:space="0"/>
              <w:left w:val="nil"/>
              <w:bottom w:val="single" w:color="000000" w:sz="4" w:space="0"/>
              <w:right w:val="single" w:color="000000" w:sz="4" w:space="0"/>
            </w:tcBorders>
            <w:shd w:val="clear" w:color="auto" w:fill="auto"/>
            <w:noWrap/>
            <w:vAlign w:val="center"/>
          </w:tcPr>
          <w:p w14:paraId="5223C72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76" w:type="pct"/>
            <w:vMerge w:val="restart"/>
            <w:tcBorders>
              <w:top w:val="single" w:color="000000" w:sz="4" w:space="0"/>
              <w:left w:val="nil"/>
              <w:bottom w:val="single" w:color="000000" w:sz="4" w:space="0"/>
              <w:right w:val="single" w:color="000000" w:sz="4" w:space="0"/>
            </w:tcBorders>
            <w:shd w:val="clear" w:color="auto" w:fill="auto"/>
            <w:noWrap/>
            <w:vAlign w:val="center"/>
          </w:tcPr>
          <w:p w14:paraId="52733E7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41938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4" w:type="pct"/>
            <w:tcBorders>
              <w:top w:val="nil"/>
              <w:left w:val="single" w:color="000000" w:sz="4" w:space="0"/>
              <w:bottom w:val="nil"/>
              <w:right w:val="single" w:color="000000" w:sz="4" w:space="0"/>
            </w:tcBorders>
            <w:shd w:val="clear" w:color="auto" w:fill="auto"/>
            <w:noWrap/>
            <w:vAlign w:val="center"/>
          </w:tcPr>
          <w:p w14:paraId="3B6F316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616" w:type="pct"/>
            <w:tcBorders>
              <w:top w:val="nil"/>
              <w:left w:val="nil"/>
              <w:bottom w:val="nil"/>
              <w:right w:val="single" w:color="000000" w:sz="4" w:space="0"/>
            </w:tcBorders>
            <w:shd w:val="clear" w:color="auto" w:fill="auto"/>
            <w:noWrap/>
            <w:vAlign w:val="center"/>
          </w:tcPr>
          <w:p w14:paraId="06DE98C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2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3BEAC85">
            <w:pPr>
              <w:jc w:val="center"/>
              <w:rPr>
                <w:rFonts w:hint="eastAsia" w:asciiTheme="minorEastAsia" w:hAnsiTheme="minorEastAsia" w:eastAsiaTheme="minorEastAsia" w:cstheme="minorEastAsia"/>
                <w:i w:val="false"/>
                <w:iCs w:val="false"/>
                <w:color w:val="000000"/>
                <w:sz w:val="22"/>
                <w:szCs w:val="22"/>
                <w:u w:val="none"/>
              </w:rPr>
            </w:pPr>
          </w:p>
        </w:tc>
        <w:tc>
          <w:tcPr>
            <w:tcW w:w="571" w:type="pct"/>
            <w:tcBorders>
              <w:top w:val="nil"/>
              <w:left w:val="nil"/>
              <w:bottom w:val="nil"/>
              <w:right w:val="single" w:color="000000" w:sz="4" w:space="0"/>
            </w:tcBorders>
            <w:shd w:val="clear" w:color="auto" w:fill="auto"/>
            <w:noWrap/>
            <w:vAlign w:val="center"/>
          </w:tcPr>
          <w:p w14:paraId="4A1777B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82" w:type="pct"/>
            <w:tcBorders>
              <w:top w:val="nil"/>
              <w:left w:val="nil"/>
              <w:bottom w:val="nil"/>
              <w:right w:val="single" w:color="000000" w:sz="4" w:space="0"/>
            </w:tcBorders>
            <w:shd w:val="clear" w:color="auto" w:fill="auto"/>
            <w:noWrap/>
            <w:vAlign w:val="center"/>
          </w:tcPr>
          <w:p w14:paraId="51CB8B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571" w:type="pct"/>
            <w:tcBorders>
              <w:top w:val="nil"/>
              <w:left w:val="nil"/>
              <w:bottom w:val="nil"/>
              <w:right w:val="single" w:color="000000" w:sz="4" w:space="0"/>
            </w:tcBorders>
            <w:shd w:val="clear" w:color="auto" w:fill="auto"/>
            <w:noWrap/>
            <w:vAlign w:val="center"/>
          </w:tcPr>
          <w:p w14:paraId="2E9FA1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7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727C515">
            <w:pPr>
              <w:jc w:val="center"/>
              <w:rPr>
                <w:rFonts w:hint="eastAsia" w:asciiTheme="minorEastAsia" w:hAnsiTheme="minorEastAsia" w:eastAsiaTheme="minorEastAsia" w:cstheme="minorEastAsia"/>
                <w:i w:val="false"/>
                <w:iCs w:val="false"/>
                <w:color w:val="000000"/>
                <w:sz w:val="22"/>
                <w:szCs w:val="22"/>
                <w:u w:val="none"/>
              </w:rPr>
            </w:pPr>
          </w:p>
        </w:tc>
      </w:tr>
      <w:tr w14:paraId="71645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FB30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29821">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66,238,335.19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A9E1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2,543,535.19</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AA3A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2,255,441.70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EC00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288,093.49</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BDAB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63,694,800.00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一般公共服务支出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65,370,905.35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1,676,105.35</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1,388,011.86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288,093.49</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63,694,800.00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20103</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政府办公厅（室）及相关机构事务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65,176,105.35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1,676,105.35</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1,388,011.86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288,093.49</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63,500,000.00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2010301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行政运行</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65,176,105.35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1,676,105.35</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1,388,011.86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288,093.49</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63,500,000.00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20104</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发展与改革事务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194,800.00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194,800.00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2010499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其他发展与改革事务支出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194,800.00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194,800.00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社会保障和就业支出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250,476.80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250,476.80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250,476.80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250,476.80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250,476.80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250,476.80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166,984.20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166,984.20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166,984.20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83,492.60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83,492.60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83,492.60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124,449.04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124,449.04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124,449.04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124,449.04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124,449.04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124,449.04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96,625.00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96,625.00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96,625.00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2101103</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公务员医疗补助</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24,545.40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24,545.40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24,545.40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其他行政事业单位医疗支出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3,278.64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3,278.64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3,278.64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住房保障支出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492,504.00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492,504.00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492,504.00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住房改革支出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492,504.00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492,504.00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492,504.00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住房公积金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492,504.00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492,504.00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492,504.00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EC46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7AC75B6E">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6591A38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DF0CE2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7252C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570111C4">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部门（单位）：天津市东丽临空经济区管理委员会 </w:t>
            </w:r>
          </w:p>
        </w:tc>
        <w:tc>
          <w:tcPr>
            <w:tcW w:w="617" w:type="pct"/>
            <w:tcBorders>
              <w:top w:val="nil"/>
              <w:left w:val="nil"/>
              <w:bottom w:val="nil"/>
              <w:right w:val="nil"/>
            </w:tcBorders>
            <w:shd w:val="clear" w:color="auto" w:fill="auto"/>
            <w:noWrap/>
            <w:vAlign w:val="bottom"/>
          </w:tcPr>
          <w:p w14:paraId="6CFB894B">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0640D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3F7B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7C7EF22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08175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EC08FE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108E0D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04A07F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43EDB0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2292DC7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3C431CB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991BA0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55894D0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5133D79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77ECC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926A5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7360D3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442BC6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2,255,321.70</w:t>
            </w:r>
          </w:p>
        </w:tc>
        <w:tc>
          <w:tcPr>
            <w:tcW w:w="313" w:type="pct"/>
            <w:tcBorders>
              <w:top w:val="nil"/>
              <w:left w:val="nil"/>
              <w:bottom w:val="single" w:color="000000" w:sz="4" w:space="0"/>
              <w:right w:val="single" w:color="000000" w:sz="4" w:space="0"/>
            </w:tcBorders>
            <w:shd w:val="clear" w:color="auto" w:fill="auto"/>
            <w:noWrap/>
            <w:vAlign w:val="center"/>
          </w:tcPr>
          <w:p w14:paraId="2E5C398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1DFF1F5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5949D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288,093.49</w:t>
            </w:r>
          </w:p>
        </w:tc>
        <w:tc>
          <w:tcPr>
            <w:tcW w:w="390" w:type="pct"/>
            <w:tcBorders>
              <w:top w:val="nil"/>
              <w:left w:val="nil"/>
              <w:bottom w:val="single" w:color="000000" w:sz="4" w:space="0"/>
              <w:right w:val="single" w:color="000000" w:sz="4" w:space="0"/>
            </w:tcBorders>
            <w:shd w:val="clear" w:color="auto" w:fill="auto"/>
            <w:noWrap/>
            <w:vAlign w:val="center"/>
          </w:tcPr>
          <w:p w14:paraId="6C3FE0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3AAA62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2F514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F19F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B91441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798A78D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2E2445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392,588.50</w:t>
            </w:r>
          </w:p>
        </w:tc>
        <w:tc>
          <w:tcPr>
            <w:tcW w:w="313" w:type="pct"/>
            <w:tcBorders>
              <w:top w:val="nil"/>
              <w:left w:val="nil"/>
              <w:bottom w:val="single" w:color="000000" w:sz="4" w:space="0"/>
              <w:right w:val="single" w:color="000000" w:sz="4" w:space="0"/>
            </w:tcBorders>
            <w:shd w:val="clear" w:color="auto" w:fill="auto"/>
            <w:noWrap/>
            <w:vAlign w:val="center"/>
          </w:tcPr>
          <w:p w14:paraId="28FEC69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4A7C7F3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339FC2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72,597.30</w:t>
            </w:r>
          </w:p>
        </w:tc>
        <w:tc>
          <w:tcPr>
            <w:tcW w:w="390" w:type="pct"/>
            <w:tcBorders>
              <w:top w:val="nil"/>
              <w:left w:val="nil"/>
              <w:bottom w:val="single" w:color="000000" w:sz="4" w:space="0"/>
              <w:right w:val="single" w:color="000000" w:sz="4" w:space="0"/>
            </w:tcBorders>
            <w:shd w:val="clear" w:color="auto" w:fill="auto"/>
            <w:noWrap/>
            <w:vAlign w:val="center"/>
          </w:tcPr>
          <w:p w14:paraId="65FD0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320887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633ABFF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C10D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FB4FB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4017D29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201D3E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715,773.36</w:t>
            </w:r>
          </w:p>
        </w:tc>
        <w:tc>
          <w:tcPr>
            <w:tcW w:w="313" w:type="pct"/>
            <w:tcBorders>
              <w:top w:val="nil"/>
              <w:left w:val="nil"/>
              <w:bottom w:val="single" w:color="000000" w:sz="4" w:space="0"/>
              <w:right w:val="single" w:color="000000" w:sz="4" w:space="0"/>
            </w:tcBorders>
            <w:shd w:val="clear" w:color="auto" w:fill="auto"/>
            <w:noWrap/>
            <w:vAlign w:val="center"/>
          </w:tcPr>
          <w:p w14:paraId="165E0FD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4A082D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69D63C6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6412EC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BA279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092CB8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AB56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D6A1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2C01A8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1AC644A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279,530.00</w:t>
            </w:r>
          </w:p>
        </w:tc>
        <w:tc>
          <w:tcPr>
            <w:tcW w:w="313" w:type="pct"/>
            <w:tcBorders>
              <w:top w:val="nil"/>
              <w:left w:val="nil"/>
              <w:bottom w:val="single" w:color="000000" w:sz="4" w:space="0"/>
              <w:right w:val="single" w:color="000000" w:sz="4" w:space="0"/>
            </w:tcBorders>
            <w:shd w:val="clear" w:color="auto" w:fill="auto"/>
            <w:noWrap/>
            <w:vAlign w:val="center"/>
          </w:tcPr>
          <w:p w14:paraId="4FAA18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37679BA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28639F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99E083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575B733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3D733AC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FB9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9A9968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2C5E642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5DEBA4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5C23D4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664A5CB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04BAB4F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9AB43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737430F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BFA95B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14B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4C4C0F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478D5F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31F351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6713B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86EE60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54B41A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01D35F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578BA3F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52E157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C8DE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4F76C1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55A401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363564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166,984.20</w:t>
            </w:r>
          </w:p>
        </w:tc>
        <w:tc>
          <w:tcPr>
            <w:tcW w:w="313" w:type="pct"/>
            <w:tcBorders>
              <w:top w:val="nil"/>
              <w:left w:val="nil"/>
              <w:bottom w:val="single" w:color="000000" w:sz="4" w:space="0"/>
              <w:right w:val="single" w:color="000000" w:sz="4" w:space="0"/>
            </w:tcBorders>
            <w:shd w:val="clear" w:color="auto" w:fill="auto"/>
            <w:noWrap/>
            <w:vAlign w:val="center"/>
          </w:tcPr>
          <w:p w14:paraId="7F5A2EE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65DDE5E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1D3B3C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6012E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7A5CDC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179ACE1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6436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2E1872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0C69C0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683891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83,492.60</w:t>
            </w:r>
          </w:p>
        </w:tc>
        <w:tc>
          <w:tcPr>
            <w:tcW w:w="313" w:type="pct"/>
            <w:tcBorders>
              <w:top w:val="nil"/>
              <w:left w:val="nil"/>
              <w:bottom w:val="single" w:color="000000" w:sz="4" w:space="0"/>
              <w:right w:val="single" w:color="000000" w:sz="4" w:space="0"/>
            </w:tcBorders>
            <w:shd w:val="clear" w:color="auto" w:fill="auto"/>
            <w:noWrap/>
            <w:vAlign w:val="center"/>
          </w:tcPr>
          <w:p w14:paraId="470B07E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2201DA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6854782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4,000.00</w:t>
            </w:r>
          </w:p>
        </w:tc>
        <w:tc>
          <w:tcPr>
            <w:tcW w:w="390" w:type="pct"/>
            <w:tcBorders>
              <w:top w:val="nil"/>
              <w:left w:val="nil"/>
              <w:bottom w:val="single" w:color="000000" w:sz="4" w:space="0"/>
              <w:right w:val="single" w:color="000000" w:sz="4" w:space="0"/>
            </w:tcBorders>
            <w:shd w:val="clear" w:color="auto" w:fill="auto"/>
            <w:noWrap/>
            <w:vAlign w:val="center"/>
          </w:tcPr>
          <w:p w14:paraId="1E89709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0A998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19DF25E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0F1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103D2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47DBDA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31E06F8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96,625.00</w:t>
            </w:r>
          </w:p>
        </w:tc>
        <w:tc>
          <w:tcPr>
            <w:tcW w:w="313" w:type="pct"/>
            <w:tcBorders>
              <w:top w:val="nil"/>
              <w:left w:val="nil"/>
              <w:bottom w:val="single" w:color="000000" w:sz="4" w:space="0"/>
              <w:right w:val="single" w:color="000000" w:sz="4" w:space="0"/>
            </w:tcBorders>
            <w:shd w:val="clear" w:color="auto" w:fill="auto"/>
            <w:noWrap/>
            <w:vAlign w:val="center"/>
          </w:tcPr>
          <w:p w14:paraId="16B076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4D72752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57F1291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7C3A3F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4FD14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34EC8F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BEE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1001C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1A1260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098A5E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24,545.40</w:t>
            </w:r>
          </w:p>
        </w:tc>
        <w:tc>
          <w:tcPr>
            <w:tcW w:w="313" w:type="pct"/>
            <w:tcBorders>
              <w:top w:val="nil"/>
              <w:left w:val="nil"/>
              <w:bottom w:val="single" w:color="000000" w:sz="4" w:space="0"/>
              <w:right w:val="single" w:color="000000" w:sz="4" w:space="0"/>
            </w:tcBorders>
            <w:shd w:val="clear" w:color="auto" w:fill="auto"/>
            <w:noWrap/>
            <w:vAlign w:val="center"/>
          </w:tcPr>
          <w:p w14:paraId="3A65ED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769720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5580A2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A5EA05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5D8C43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1BA48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D6E2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23CFC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47489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66DC57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3,278.64</w:t>
            </w:r>
          </w:p>
        </w:tc>
        <w:tc>
          <w:tcPr>
            <w:tcW w:w="313" w:type="pct"/>
            <w:tcBorders>
              <w:top w:val="nil"/>
              <w:left w:val="nil"/>
              <w:bottom w:val="single" w:color="000000" w:sz="4" w:space="0"/>
              <w:right w:val="single" w:color="000000" w:sz="4" w:space="0"/>
            </w:tcBorders>
            <w:shd w:val="clear" w:color="auto" w:fill="auto"/>
            <w:noWrap/>
            <w:vAlign w:val="center"/>
          </w:tcPr>
          <w:p w14:paraId="50F7024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38871F9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062653C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4,004.95</w:t>
            </w:r>
          </w:p>
        </w:tc>
        <w:tc>
          <w:tcPr>
            <w:tcW w:w="390" w:type="pct"/>
            <w:tcBorders>
              <w:top w:val="nil"/>
              <w:left w:val="nil"/>
              <w:bottom w:val="single" w:color="000000" w:sz="4" w:space="0"/>
              <w:right w:val="single" w:color="000000" w:sz="4" w:space="0"/>
            </w:tcBorders>
            <w:shd w:val="clear" w:color="auto" w:fill="auto"/>
            <w:noWrap/>
            <w:vAlign w:val="center"/>
          </w:tcPr>
          <w:p w14:paraId="2C1A30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483B9E4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39B4EB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8E8E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AE813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5575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18B866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492,504.00</w:t>
            </w:r>
          </w:p>
        </w:tc>
        <w:tc>
          <w:tcPr>
            <w:tcW w:w="313" w:type="pct"/>
            <w:tcBorders>
              <w:top w:val="nil"/>
              <w:left w:val="nil"/>
              <w:bottom w:val="single" w:color="000000" w:sz="4" w:space="0"/>
              <w:right w:val="single" w:color="000000" w:sz="4" w:space="0"/>
            </w:tcBorders>
            <w:shd w:val="clear" w:color="auto" w:fill="auto"/>
            <w:noWrap/>
            <w:vAlign w:val="center"/>
          </w:tcPr>
          <w:p w14:paraId="2F3A2E4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2715D5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12B6ADE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BC86D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586F40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43CBDAA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C69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AEB8F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6EB9FE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72C276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1A52C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4F3B178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4D3303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1,200.00</w:t>
            </w:r>
          </w:p>
        </w:tc>
        <w:tc>
          <w:tcPr>
            <w:tcW w:w="390" w:type="pct"/>
            <w:tcBorders>
              <w:top w:val="nil"/>
              <w:left w:val="nil"/>
              <w:bottom w:val="single" w:color="000000" w:sz="4" w:space="0"/>
              <w:right w:val="single" w:color="000000" w:sz="4" w:space="0"/>
            </w:tcBorders>
            <w:shd w:val="clear" w:color="auto" w:fill="auto"/>
            <w:noWrap/>
            <w:vAlign w:val="center"/>
          </w:tcPr>
          <w:p w14:paraId="6F618B2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0AAFB94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C086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5133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D56AAB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1DA0F74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753B03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8CC2F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0E5E19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133986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363DE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362006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63C036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BCB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57E561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13FFB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C5D3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120.00</w:t>
            </w:r>
          </w:p>
        </w:tc>
        <w:tc>
          <w:tcPr>
            <w:tcW w:w="313" w:type="pct"/>
            <w:tcBorders>
              <w:top w:val="nil"/>
              <w:left w:val="nil"/>
              <w:bottom w:val="single" w:color="000000" w:sz="4" w:space="0"/>
              <w:right w:val="single" w:color="000000" w:sz="4" w:space="0"/>
            </w:tcBorders>
            <w:shd w:val="clear" w:color="auto" w:fill="auto"/>
            <w:noWrap/>
            <w:vAlign w:val="center"/>
          </w:tcPr>
          <w:p w14:paraId="04AF00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703D53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780649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0BCB7A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704A85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C71A3D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B9E7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0E83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013774E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62A45D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7976C7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78FB5B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5029A9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3B81F4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1E6E8D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3B44E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C23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49E34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5676E98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03835F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149DE3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7894A1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3732C1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C127D1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6A7C90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637B6F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10BB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04EB9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A6799B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998A7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90DA6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6BFD72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147AC2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88C52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5DF0FC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48C78E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5FD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70CEA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10860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526B144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DBBDE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202E28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60F44B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ACF1AA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5AEB107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04C825E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5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697873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403AA6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7FA0BFD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84D34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FFB72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147ED1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4A78F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7638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49BC4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6EFF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54B1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E9A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330A61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9B2C1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4E9D5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6A75774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AF83E0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708A65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570438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144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749A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7041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5A86C2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1313E1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7AF529F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6F9CB6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040D44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568E35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205B83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0C1B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F6E43E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7D8B1B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E4097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36935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37BC645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73B41A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15,694.08</w:t>
            </w:r>
          </w:p>
        </w:tc>
        <w:tc>
          <w:tcPr>
            <w:tcW w:w="390" w:type="pct"/>
            <w:tcBorders>
              <w:top w:val="nil"/>
              <w:left w:val="nil"/>
              <w:bottom w:val="single" w:color="000000" w:sz="4" w:space="0"/>
              <w:right w:val="single" w:color="000000" w:sz="4" w:space="0"/>
            </w:tcBorders>
            <w:shd w:val="clear" w:color="auto" w:fill="auto"/>
            <w:noWrap/>
            <w:vAlign w:val="center"/>
          </w:tcPr>
          <w:p w14:paraId="51B815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0D294C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6F9DCA7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B0C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8591AF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220907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7605AF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120.00</w:t>
            </w:r>
          </w:p>
        </w:tc>
        <w:tc>
          <w:tcPr>
            <w:tcW w:w="313" w:type="pct"/>
            <w:tcBorders>
              <w:top w:val="nil"/>
              <w:left w:val="nil"/>
              <w:bottom w:val="single" w:color="000000" w:sz="4" w:space="0"/>
              <w:right w:val="single" w:color="000000" w:sz="4" w:space="0"/>
            </w:tcBorders>
            <w:shd w:val="clear" w:color="auto" w:fill="auto"/>
            <w:noWrap/>
            <w:vAlign w:val="center"/>
          </w:tcPr>
          <w:p w14:paraId="363C9FE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11EA07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0F0B6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6,860.00</w:t>
            </w:r>
          </w:p>
        </w:tc>
        <w:tc>
          <w:tcPr>
            <w:tcW w:w="390" w:type="pct"/>
            <w:tcBorders>
              <w:top w:val="nil"/>
              <w:left w:val="nil"/>
              <w:bottom w:val="single" w:color="000000" w:sz="4" w:space="0"/>
              <w:right w:val="single" w:color="000000" w:sz="4" w:space="0"/>
            </w:tcBorders>
            <w:shd w:val="clear" w:color="auto" w:fill="auto"/>
            <w:noWrap/>
            <w:vAlign w:val="center"/>
          </w:tcPr>
          <w:p w14:paraId="0CE4855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249B90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7CC726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BD5D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26CCB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268EA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2C28EA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ACB7F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645CE6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2A7458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129DB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25CC0A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230E04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835B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F21CAC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4D21BF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51ED93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7D7E0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0331482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61CEAD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82,115.00</w:t>
            </w:r>
          </w:p>
        </w:tc>
        <w:tc>
          <w:tcPr>
            <w:tcW w:w="390" w:type="pct"/>
            <w:tcBorders>
              <w:top w:val="nil"/>
              <w:left w:val="nil"/>
              <w:bottom w:val="single" w:color="000000" w:sz="4" w:space="0"/>
              <w:right w:val="single" w:color="000000" w:sz="4" w:space="0"/>
            </w:tcBorders>
            <w:shd w:val="clear" w:color="auto" w:fill="auto"/>
            <w:noWrap/>
            <w:vAlign w:val="center"/>
          </w:tcPr>
          <w:p w14:paraId="131D86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2DE186C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5DE8F9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E6CC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D98A6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7EEC71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47F735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65C65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5B8806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3F69634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13,065.16</w:t>
            </w:r>
          </w:p>
        </w:tc>
        <w:tc>
          <w:tcPr>
            <w:tcW w:w="390" w:type="pct"/>
            <w:tcBorders>
              <w:top w:val="nil"/>
              <w:left w:val="nil"/>
              <w:bottom w:val="single" w:color="000000" w:sz="4" w:space="0"/>
              <w:right w:val="single" w:color="000000" w:sz="4" w:space="0"/>
            </w:tcBorders>
            <w:shd w:val="clear" w:color="auto" w:fill="auto"/>
            <w:noWrap/>
            <w:vAlign w:val="center"/>
          </w:tcPr>
          <w:p w14:paraId="30DE473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65925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CCF9E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411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B23FD1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73C771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D36494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0455DF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0CE1384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54DF02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88,557.00</w:t>
            </w:r>
          </w:p>
        </w:tc>
        <w:tc>
          <w:tcPr>
            <w:tcW w:w="390" w:type="pct"/>
            <w:tcBorders>
              <w:top w:val="nil"/>
              <w:left w:val="nil"/>
              <w:bottom w:val="single" w:color="000000" w:sz="4" w:space="0"/>
              <w:right w:val="single" w:color="000000" w:sz="4" w:space="0"/>
            </w:tcBorders>
            <w:shd w:val="clear" w:color="auto" w:fill="auto"/>
            <w:noWrap/>
            <w:vAlign w:val="center"/>
          </w:tcPr>
          <w:p w14:paraId="2BA178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0C3D03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4B309C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B290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B7CD1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4C42D11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E3E9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5AEA4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775249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70AF64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1BFDB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5500887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6AEC4A9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A885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B2555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6E193E0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5DD1EC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09C6B3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45E15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BDDF4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46C38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10C462F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4788E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CBF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028F62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5B36C84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E5AE5F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C6A97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42707E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08B563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14E77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30A54A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43E4B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BE1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A0579B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2E2D5A4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2530ECE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151452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1B1632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1C657C8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2386D32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26CB8C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111B4EA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05E6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58AAF16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242475B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2,255,441.70</w:t>
            </w:r>
          </w:p>
        </w:tc>
        <w:tc>
          <w:tcPr>
            <w:tcW w:w="2710" w:type="pct"/>
            <w:gridSpan w:val="5"/>
            <w:tcBorders>
              <w:top w:val="nil"/>
              <w:left w:val="nil"/>
              <w:bottom w:val="single" w:color="000000" w:sz="4" w:space="0"/>
              <w:right w:val="single" w:color="000000" w:sz="4" w:space="0"/>
            </w:tcBorders>
            <w:shd w:val="clear" w:color="auto" w:fill="auto"/>
            <w:noWrap/>
            <w:vAlign w:val="center"/>
          </w:tcPr>
          <w:p w14:paraId="61E746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65B128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288,093.49</w:t>
            </w:r>
          </w:p>
        </w:tc>
      </w:tr>
      <w:tr w14:paraId="56C6D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FE43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2150692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7E6F386">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11"/>
        <w:gridCol w:w="3139"/>
        <w:gridCol w:w="1630"/>
        <w:gridCol w:w="1600"/>
        <w:gridCol w:w="1585"/>
        <w:gridCol w:w="1569"/>
        <w:gridCol w:w="1539"/>
        <w:gridCol w:w="1519"/>
      </w:tblGrid>
      <w:tr w14:paraId="13DEA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57" w:type="pct"/>
            <w:gridSpan w:val="7"/>
            <w:tcBorders>
              <w:top w:val="nil"/>
              <w:left w:val="nil"/>
              <w:bottom w:val="nil"/>
              <w:right w:val="nil"/>
            </w:tcBorders>
            <w:shd w:val="clear" w:color="auto" w:fill="auto"/>
            <w:noWrap/>
            <w:vAlign w:val="bottom"/>
          </w:tcPr>
          <w:p w14:paraId="1721CFB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天津市东丽临空经济区管理委员会 </w:t>
            </w:r>
          </w:p>
        </w:tc>
        <w:tc>
          <w:tcPr>
            <w:tcW w:w="542" w:type="pct"/>
            <w:tcBorders>
              <w:top w:val="nil"/>
              <w:left w:val="nil"/>
              <w:bottom w:val="nil"/>
              <w:right w:val="nil"/>
            </w:tcBorders>
            <w:shd w:val="clear" w:color="auto" w:fill="auto"/>
            <w:noWrap/>
            <w:vAlign w:val="bottom"/>
          </w:tcPr>
          <w:p w14:paraId="3EF7D13A">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150E0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DB84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82" w:type="pct"/>
            <w:vMerge w:val="restart"/>
            <w:tcBorders>
              <w:top w:val="single" w:color="000000" w:sz="4" w:space="0"/>
              <w:left w:val="nil"/>
              <w:bottom w:val="single" w:color="000000" w:sz="4" w:space="0"/>
              <w:right w:val="single" w:color="000000" w:sz="4" w:space="0"/>
            </w:tcBorders>
            <w:shd w:val="clear" w:color="auto" w:fill="auto"/>
            <w:noWrap/>
            <w:vAlign w:val="center"/>
          </w:tcPr>
          <w:p w14:paraId="353A052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71" w:type="pct"/>
            <w:vMerge w:val="restart"/>
            <w:tcBorders>
              <w:top w:val="single" w:color="000000" w:sz="4" w:space="0"/>
              <w:left w:val="nil"/>
              <w:bottom w:val="single" w:color="000000" w:sz="4" w:space="0"/>
              <w:right w:val="single" w:color="000000" w:sz="4" w:space="0"/>
            </w:tcBorders>
            <w:shd w:val="clear" w:color="auto" w:fill="auto"/>
            <w:noWrap/>
            <w:vAlign w:val="center"/>
          </w:tcPr>
          <w:p w14:paraId="310652F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77" w:type="pct"/>
            <w:gridSpan w:val="3"/>
            <w:tcBorders>
              <w:top w:val="single" w:color="000000" w:sz="4" w:space="0"/>
              <w:left w:val="nil"/>
              <w:bottom w:val="single" w:color="000000" w:sz="4" w:space="0"/>
              <w:right w:val="single" w:color="000000" w:sz="4" w:space="0"/>
            </w:tcBorders>
            <w:shd w:val="clear" w:color="auto" w:fill="auto"/>
            <w:noWrap/>
            <w:vAlign w:val="center"/>
          </w:tcPr>
          <w:p w14:paraId="4FEB818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42"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CF444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058E6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4" w:type="pct"/>
            <w:tcBorders>
              <w:top w:val="nil"/>
              <w:left w:val="single" w:color="000000" w:sz="4" w:space="0"/>
              <w:bottom w:val="nil"/>
              <w:right w:val="single" w:color="000000" w:sz="4" w:space="0"/>
            </w:tcBorders>
            <w:shd w:val="clear" w:color="auto" w:fill="auto"/>
            <w:noWrap/>
            <w:vAlign w:val="center"/>
          </w:tcPr>
          <w:p w14:paraId="1F069EE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121" w:type="pct"/>
            <w:tcBorders>
              <w:top w:val="nil"/>
              <w:left w:val="nil"/>
              <w:bottom w:val="nil"/>
              <w:right w:val="single" w:color="000000" w:sz="4" w:space="0"/>
            </w:tcBorders>
            <w:shd w:val="clear" w:color="auto" w:fill="auto"/>
            <w:noWrap/>
            <w:vAlign w:val="center"/>
          </w:tcPr>
          <w:p w14:paraId="0D2418C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8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A29B63A">
            <w:pPr>
              <w:jc w:val="center"/>
              <w:rPr>
                <w:rFonts w:hint="eastAsia" w:asciiTheme="minorEastAsia" w:hAnsiTheme="minorEastAsia" w:eastAsiaTheme="minorEastAsia" w:cstheme="minorEastAsia"/>
                <w:i w:val="false"/>
                <w:iCs w:val="false"/>
                <w:color w:val="000000"/>
                <w:sz w:val="22"/>
                <w:szCs w:val="22"/>
                <w:u w:val="none"/>
              </w:rPr>
            </w:pPr>
          </w:p>
        </w:tc>
        <w:tc>
          <w:tcPr>
            <w:tcW w:w="57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301D339">
            <w:pPr>
              <w:jc w:val="center"/>
              <w:rPr>
                <w:rFonts w:hint="eastAsia" w:asciiTheme="minorEastAsia" w:hAnsiTheme="minorEastAsia" w:eastAsiaTheme="minorEastAsia" w:cstheme="minorEastAsia"/>
                <w:i w:val="false"/>
                <w:iCs w:val="false"/>
                <w:color w:val="000000"/>
                <w:sz w:val="22"/>
                <w:szCs w:val="22"/>
                <w:u w:val="none"/>
              </w:rPr>
            </w:pPr>
          </w:p>
        </w:tc>
        <w:tc>
          <w:tcPr>
            <w:tcW w:w="566" w:type="pct"/>
            <w:tcBorders>
              <w:top w:val="nil"/>
              <w:left w:val="nil"/>
              <w:bottom w:val="nil"/>
              <w:right w:val="single" w:color="000000" w:sz="4" w:space="0"/>
            </w:tcBorders>
            <w:shd w:val="clear" w:color="auto" w:fill="auto"/>
            <w:noWrap/>
            <w:vAlign w:val="center"/>
          </w:tcPr>
          <w:p w14:paraId="11C6F5B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60" w:type="pct"/>
            <w:tcBorders>
              <w:top w:val="nil"/>
              <w:left w:val="nil"/>
              <w:bottom w:val="nil"/>
              <w:right w:val="single" w:color="000000" w:sz="4" w:space="0"/>
            </w:tcBorders>
            <w:shd w:val="clear" w:color="auto" w:fill="auto"/>
            <w:noWrap/>
            <w:vAlign w:val="center"/>
          </w:tcPr>
          <w:p w14:paraId="39DCA84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49" w:type="pct"/>
            <w:tcBorders>
              <w:top w:val="nil"/>
              <w:left w:val="nil"/>
              <w:bottom w:val="nil"/>
              <w:right w:val="single" w:color="000000" w:sz="4" w:space="0"/>
            </w:tcBorders>
            <w:shd w:val="clear" w:color="auto" w:fill="auto"/>
            <w:noWrap/>
            <w:vAlign w:val="center"/>
          </w:tcPr>
          <w:p w14:paraId="7461DEC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4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51BC561">
            <w:pPr>
              <w:jc w:val="center"/>
              <w:rPr>
                <w:rFonts w:hint="eastAsia" w:asciiTheme="minorEastAsia" w:hAnsiTheme="minorEastAsia" w:eastAsiaTheme="minorEastAsia" w:cstheme="minorEastAsia"/>
                <w:i w:val="false"/>
                <w:iCs w:val="false"/>
                <w:color w:val="000000"/>
                <w:sz w:val="22"/>
                <w:szCs w:val="22"/>
                <w:u w:val="none"/>
              </w:rPr>
            </w:pPr>
          </w:p>
        </w:tc>
      </w:tr>
      <w:tr w14:paraId="6E286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6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F078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81A2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3EB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5C25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5A47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5E4B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7B48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38E98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91DCC23">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天津市东丽临空经济区管理委员会</w:t>
      </w:r>
      <w:r>
        <w:rPr>
          <w:rFonts w:ascii="宋体" w:eastAsia="仿宋_GB2312"/>
          <w:b w:val="false"/>
          <w:sz w:val="30"/>
          <w:szCs w:val="30"/>
        </w:rPr>
        <w:t>2024年政府性基金预算财政拨款收入支出决算表为空表。</w:t>
      </w:r>
    </w:p>
    <w:p w14:paraId="17858C47">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5134C3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4"/>
        <w:gridCol w:w="3261"/>
        <w:gridCol w:w="1692"/>
        <w:gridCol w:w="1677"/>
        <w:gridCol w:w="1493"/>
        <w:gridCol w:w="1538"/>
        <w:gridCol w:w="1662"/>
        <w:gridCol w:w="1565"/>
      </w:tblGrid>
      <w:tr w14:paraId="047AF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40" w:type="pct"/>
            <w:gridSpan w:val="7"/>
            <w:tcBorders>
              <w:top w:val="nil"/>
              <w:left w:val="nil"/>
              <w:bottom w:val="nil"/>
              <w:right w:val="nil"/>
            </w:tcBorders>
            <w:shd w:val="clear" w:color="auto" w:fill="auto"/>
            <w:noWrap/>
            <w:vAlign w:val="bottom"/>
          </w:tcPr>
          <w:p w14:paraId="3D595151">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天津市东丽临空经济区管理委员会 </w:t>
            </w:r>
          </w:p>
        </w:tc>
        <w:tc>
          <w:tcPr>
            <w:tcW w:w="559" w:type="pct"/>
            <w:tcBorders>
              <w:top w:val="nil"/>
              <w:left w:val="nil"/>
              <w:bottom w:val="nil"/>
              <w:right w:val="nil"/>
            </w:tcBorders>
            <w:shd w:val="clear" w:color="auto" w:fill="auto"/>
            <w:noWrap/>
            <w:vAlign w:val="bottom"/>
          </w:tcPr>
          <w:p w14:paraId="110EB63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6375E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2A2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0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D7F5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0E1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7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3C52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B3DD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4A496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09B8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714B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36633">
            <w:pPr>
              <w:jc w:val="center"/>
              <w:rPr>
                <w:rFonts w:hint="eastAsia" w:asciiTheme="minorEastAsia" w:hAnsiTheme="minorEastAsia" w:eastAsiaTheme="minorEastAsia" w:cstheme="minorEastAsia"/>
                <w:i w:val="false"/>
                <w:iCs w:val="false"/>
                <w:color w:val="000000"/>
                <w:sz w:val="22"/>
                <w:szCs w:val="22"/>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1DC47">
            <w:pPr>
              <w:jc w:val="center"/>
              <w:rPr>
                <w:rFonts w:hint="eastAsia" w:asciiTheme="minorEastAsia" w:hAnsiTheme="minorEastAsia" w:eastAsiaTheme="minorEastAsia" w:cstheme="minorEastAsia"/>
                <w:i w:val="false"/>
                <w:iCs w:val="false"/>
                <w:color w:val="000000"/>
                <w:sz w:val="22"/>
                <w:szCs w:val="22"/>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33A7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0E4A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885E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9B22D">
            <w:pPr>
              <w:jc w:val="center"/>
              <w:rPr>
                <w:rFonts w:hint="eastAsia" w:asciiTheme="minorEastAsia" w:hAnsiTheme="minorEastAsia" w:eastAsiaTheme="minorEastAsia" w:cstheme="minorEastAsia"/>
                <w:i w:val="false"/>
                <w:iCs w:val="false"/>
                <w:color w:val="000000"/>
                <w:sz w:val="22"/>
                <w:szCs w:val="22"/>
                <w:u w:val="none"/>
              </w:rPr>
            </w:pPr>
          </w:p>
        </w:tc>
      </w:tr>
      <w:tr w14:paraId="6E39F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15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6499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99A0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21D4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8302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E1D0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C65F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3A34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5151F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142CF9FE">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天津市东丽临空经济区管理委员会</w:t>
      </w:r>
      <w:r>
        <w:rPr>
          <w:rFonts w:ascii="宋体" w:eastAsia="仿宋_GB2312"/>
          <w:b w:val="false"/>
          <w:sz w:val="30"/>
          <w:szCs w:val="30"/>
        </w:rPr>
        <w:t>2024年国有资本经营预算财政拨款收入支出决算表为空表。</w:t>
      </w:r>
    </w:p>
    <w:p w14:paraId="30AAA41C">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800ECAD">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6608B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7C0B811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部门（单位）：天津市东丽临空经济区管理委员会 </w:t>
            </w:r>
          </w:p>
        </w:tc>
        <w:tc>
          <w:tcPr>
            <w:tcW w:w="2146" w:type="dxa"/>
            <w:tcBorders>
              <w:top w:val="nil"/>
              <w:left w:val="nil"/>
              <w:bottom w:val="nil"/>
              <w:right w:val="nil"/>
            </w:tcBorders>
            <w:shd w:val="clear" w:color="auto" w:fill="auto"/>
            <w:noWrap/>
            <w:vAlign w:val="bottom"/>
          </w:tcPr>
          <w:p w14:paraId="4F2CB78B">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4C19C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9780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0F31115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1F4378E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445523D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428BE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CC79D">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800499D">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28334AF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39595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04F6F91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35EF4C4">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3D750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E9DA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93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CFA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A4A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8BE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490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B53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472328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天津市东丽临空经济区管理委员会</w:t>
      </w:r>
      <w:r>
        <w:rPr>
          <w:rFonts w:ascii="宋体" w:eastAsia="仿宋_GB2312"/>
          <w:b w:val="false"/>
          <w:sz w:val="30"/>
          <w:szCs w:val="30"/>
        </w:rPr>
        <w:t>2024年财政拨款“三公”经费支出决算表为空表。</w:t>
      </w:r>
    </w:p>
    <w:p w14:paraId="00CCA1DB">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DC58E62">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16"/>
        <w:gridCol w:w="1769"/>
        <w:gridCol w:w="1631"/>
        <w:gridCol w:w="1692"/>
        <w:gridCol w:w="1646"/>
        <w:gridCol w:w="1693"/>
        <w:gridCol w:w="1635"/>
      </w:tblGrid>
      <w:tr w14:paraId="078F5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16" w:type="pct"/>
            <w:gridSpan w:val="7"/>
            <w:tcBorders>
              <w:top w:val="nil"/>
              <w:left w:val="nil"/>
              <w:bottom w:val="nil"/>
              <w:right w:val="nil"/>
            </w:tcBorders>
            <w:shd w:val="clear" w:color="auto" w:fill="auto"/>
            <w:noWrap/>
            <w:vAlign w:val="bottom"/>
          </w:tcPr>
          <w:p w14:paraId="7C78D3B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部门（单位）：天津市东丽临空经济区管理委员会 </w:t>
            </w:r>
          </w:p>
        </w:tc>
        <w:tc>
          <w:tcPr>
            <w:tcW w:w="583" w:type="pct"/>
            <w:tcBorders>
              <w:top w:val="nil"/>
              <w:left w:val="nil"/>
              <w:bottom w:val="nil"/>
              <w:right w:val="nil"/>
            </w:tcBorders>
            <w:shd w:val="clear" w:color="auto" w:fill="auto"/>
            <w:noWrap/>
            <w:vAlign w:val="bottom"/>
          </w:tcPr>
          <w:p w14:paraId="7EE3BA05">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887E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2B7B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06" w:type="pct"/>
            <w:vMerge w:val="restart"/>
            <w:tcBorders>
              <w:top w:val="single" w:color="000000" w:sz="4" w:space="0"/>
              <w:left w:val="nil"/>
              <w:bottom w:val="single" w:color="000000" w:sz="4" w:space="0"/>
              <w:right w:val="single" w:color="000000" w:sz="4" w:space="0"/>
            </w:tcBorders>
            <w:shd w:val="clear" w:color="auto" w:fill="auto"/>
            <w:noWrap/>
            <w:vAlign w:val="center"/>
          </w:tcPr>
          <w:p w14:paraId="4A693A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3596" w:type="pct"/>
            <w:gridSpan w:val="6"/>
            <w:tcBorders>
              <w:top w:val="single" w:color="000000" w:sz="4" w:space="0"/>
              <w:left w:val="nil"/>
              <w:bottom w:val="single" w:color="000000" w:sz="4" w:space="0"/>
              <w:right w:val="single" w:color="000000" w:sz="4" w:space="0"/>
            </w:tcBorders>
            <w:shd w:val="clear" w:color="auto" w:fill="auto"/>
            <w:noWrap/>
            <w:vAlign w:val="center"/>
          </w:tcPr>
          <w:p w14:paraId="7C3EC47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8A98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B3C0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00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689D60">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32" w:type="pct"/>
            <w:tcBorders>
              <w:top w:val="nil"/>
              <w:left w:val="nil"/>
              <w:bottom w:val="nil"/>
              <w:right w:val="single" w:color="000000" w:sz="4" w:space="0"/>
            </w:tcBorders>
            <w:shd w:val="clear" w:color="auto" w:fill="auto"/>
            <w:noWrap/>
            <w:vAlign w:val="center"/>
          </w:tcPr>
          <w:p w14:paraId="6376C0F6">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  计</w:t>
            </w:r>
          </w:p>
        </w:tc>
        <w:tc>
          <w:tcPr>
            <w:tcW w:w="582" w:type="pct"/>
            <w:tcBorders>
              <w:top w:val="nil"/>
              <w:left w:val="nil"/>
              <w:bottom w:val="nil"/>
              <w:right w:val="single" w:color="000000" w:sz="4" w:space="0"/>
            </w:tcBorders>
            <w:shd w:val="clear" w:color="auto" w:fill="auto"/>
            <w:noWrap/>
            <w:vAlign w:val="center"/>
          </w:tcPr>
          <w:p w14:paraId="3C4874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4" w:type="pct"/>
            <w:tcBorders>
              <w:top w:val="nil"/>
              <w:left w:val="nil"/>
              <w:bottom w:val="nil"/>
              <w:right w:val="single" w:color="000000" w:sz="4" w:space="0"/>
            </w:tcBorders>
            <w:shd w:val="clear" w:color="auto" w:fill="auto"/>
            <w:noWrap/>
            <w:vAlign w:val="center"/>
          </w:tcPr>
          <w:p w14:paraId="0C610DE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588" w:type="pct"/>
            <w:tcBorders>
              <w:top w:val="nil"/>
              <w:left w:val="nil"/>
              <w:bottom w:val="nil"/>
              <w:right w:val="single" w:color="000000" w:sz="4" w:space="0"/>
            </w:tcBorders>
            <w:shd w:val="clear" w:color="auto" w:fill="auto"/>
            <w:noWrap/>
            <w:vAlign w:val="center"/>
          </w:tcPr>
          <w:p w14:paraId="0CD8353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604" w:type="pct"/>
            <w:tcBorders>
              <w:top w:val="nil"/>
              <w:left w:val="nil"/>
              <w:bottom w:val="nil"/>
              <w:right w:val="single" w:color="000000" w:sz="4" w:space="0"/>
            </w:tcBorders>
            <w:shd w:val="clear" w:color="auto" w:fill="auto"/>
            <w:noWrap/>
            <w:vAlign w:val="center"/>
          </w:tcPr>
          <w:p w14:paraId="51A70CD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83" w:type="pct"/>
            <w:tcBorders>
              <w:top w:val="nil"/>
              <w:left w:val="nil"/>
              <w:bottom w:val="nil"/>
              <w:right w:val="single" w:color="000000" w:sz="4" w:space="0"/>
            </w:tcBorders>
            <w:shd w:val="clear" w:color="auto" w:fill="auto"/>
            <w:noWrap/>
            <w:vAlign w:val="center"/>
          </w:tcPr>
          <w:p w14:paraId="0E84EC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0048B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4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D49E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E46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63,694,800.00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D44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63,694,800.00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9D7B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C2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12A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275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一般公共服务支出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63,694,800.00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63,694,800.00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20103</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政府办公厅（室）及相关机构事务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63,500,000.00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63,500,000.00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2010301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行政运行</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63,500,000.00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63,500,000.00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20104</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发展与改革事务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194,800.00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194,800.00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2010499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其他发展与改革事务支出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194,800.00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194,800.00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57FE4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176E43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14:paraId="372ABFDD">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3E3FC924">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天津市东丽临空经济区管理委员会</w:t>
      </w:r>
      <w:r>
        <w:rPr>
          <w:rFonts w:ascii="Times New Roman" w:eastAsia="仿宋_GB2312"/>
          <w:b w:val="false"/>
          <w:sz w:val="30"/>
          <w:szCs w:val="30"/>
        </w:rPr>
        <w:t>2024年度收入、支出决算总计</w:t>
      </w:r>
      <w:r>
        <w:rPr>
          <w:rFonts w:ascii="Times New Roman" w:eastAsia="仿宋_GB2312"/>
          <w:b w:val="false"/>
          <w:sz w:val="30"/>
          <w:szCs w:val="30"/>
        </w:rPr>
        <w:t>66,238,335.19</w:t>
      </w:r>
      <w:r>
        <w:rPr>
          <w:rFonts w:ascii="Times New Roman" w:eastAsia="仿宋_GB2312"/>
          <w:b w:val="false"/>
          <w:sz w:val="30"/>
          <w:szCs w:val="30"/>
        </w:rPr>
        <w:t>元。与2023年度相比，收、支总计各</w:t>
      </w:r>
      <w:r>
        <w:rPr>
          <w:rFonts w:ascii="Times New Roman" w:eastAsia="仿宋_GB2312"/>
          <w:b w:val="false"/>
          <w:sz w:val="30"/>
          <w:szCs w:val="30"/>
        </w:rPr>
        <w:t>减少</w:t>
      </w:r>
      <w:r>
        <w:rPr>
          <w:rFonts w:ascii="Times New Roman" w:eastAsia="仿宋_GB2312"/>
          <w:b w:val="false"/>
          <w:sz w:val="30"/>
          <w:szCs w:val="30"/>
        </w:rPr>
        <w:t>2,952,790.51</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4.268</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响应政府过紧日子的号召，压减临空经济区企业扶持资金等项目经费支出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一般公共预算财政拨款收入66,238,335.19元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一般公共服务支出65,370,905.35元、社会保障和就业支出250,476.80元、卫生健康支出124,449.04元、住房保障支出492,504.00元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天津市东丽临空经济区管理委员会</w:t>
      </w:r>
      <w:r>
        <w:rPr>
          <w:rFonts w:ascii="Times New Roman" w:eastAsia="仿宋_GB2312"/>
          <w:b w:val="false"/>
          <w:sz w:val="30"/>
          <w:szCs w:val="30"/>
        </w:rPr>
        <w:t>2024年度本年收入合计</w:t>
      </w:r>
      <w:r>
        <w:rPr>
          <w:rFonts w:ascii="Times New Roman" w:eastAsia="仿宋_GB2312"/>
          <w:b w:val="false"/>
          <w:sz w:val="30"/>
          <w:szCs w:val="30"/>
        </w:rPr>
        <w:t>66,238,335.19</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2,952,790.51</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响应政府过紧日子的号召，压减临空经济区企业扶持资金等项目经费支出</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一般公共预算财政拨款收入66,238,335.19元，占100.000%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天津市东丽临空经济区管理委员会</w:t>
      </w:r>
      <w:r>
        <w:rPr>
          <w:rFonts w:ascii="Times New Roman" w:eastAsia="仿宋_GB2312"/>
          <w:b w:val="false"/>
          <w:sz w:val="30"/>
          <w:szCs w:val="30"/>
        </w:rPr>
        <w:t>2024年度本年支出合计</w:t>
      </w:r>
      <w:r>
        <w:rPr>
          <w:rFonts w:ascii="Times New Roman" w:eastAsia="仿宋_GB2312"/>
          <w:b w:val="false"/>
          <w:sz w:val="30"/>
          <w:szCs w:val="30"/>
        </w:rPr>
        <w:t>66,238,335.19</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2,952,790.51</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响应政府过紧日子的号召，压减临空经济区企业扶持资金等项目经费支出</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基本支出2,543,535.19元，占3.840%；项目支出63,694,800.00元，占96.160%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天津市东丽临空经济区管理委员会</w:t>
      </w:r>
      <w:r>
        <w:rPr>
          <w:rFonts w:ascii="Times New Roman" w:eastAsia="仿宋_GB2312"/>
          <w:b w:val="false"/>
          <w:sz w:val="30"/>
          <w:szCs w:val="30"/>
        </w:rPr>
        <w:t>2024年度财政拨款收入、支出决算总计</w:t>
      </w:r>
      <w:r>
        <w:rPr>
          <w:rFonts w:ascii="Times New Roman" w:eastAsia="仿宋_GB2312"/>
          <w:b w:val="false"/>
          <w:sz w:val="30"/>
          <w:szCs w:val="30"/>
        </w:rPr>
        <w:t>66,238,335.19</w:t>
      </w:r>
      <w:r>
        <w:rPr>
          <w:rFonts w:ascii="Times New Roman" w:eastAsia="仿宋_GB2312"/>
          <w:b w:val="false"/>
          <w:sz w:val="30"/>
          <w:szCs w:val="30"/>
        </w:rPr>
        <w:t>元。与2023年度相比，财政拨款收、支总计各</w:t>
      </w:r>
      <w:r>
        <w:rPr>
          <w:rFonts w:ascii="Times New Roman" w:eastAsia="仿宋_GB2312"/>
          <w:b w:val="false"/>
          <w:sz w:val="30"/>
          <w:szCs w:val="30"/>
        </w:rPr>
        <w:t>减少</w:t>
      </w:r>
      <w:r>
        <w:rPr>
          <w:rFonts w:ascii="Times New Roman" w:eastAsia="仿宋_GB2312"/>
          <w:b w:val="false"/>
          <w:sz w:val="30"/>
          <w:szCs w:val="30"/>
        </w:rPr>
        <w:t>2,952,790.51</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4.268</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响应政府过紧日子的号召，压减临空经济区企业扶持资金等项目经费支出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一般公共预算财政拨款66,238,335.19元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一般公共服务支出65,370,905.35元、社会保障和就业支出250,476.80元、卫生健康支出124,449.04元、住房保障支出492,504.00元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天津市东丽临空经济区管理委员会</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66,238,335.19</w:t>
      </w:r>
      <w:r>
        <w:rPr>
          <w:rFonts w:ascii="Times New Roman" w:eastAsia="仿宋_GB2312"/>
          <w:b w:val="false"/>
          <w:sz w:val="30"/>
          <w:szCs w:val="30"/>
        </w:rPr>
        <w:t>元，占本年支出合计的</w:t>
      </w:r>
      <w:r>
        <w:rPr>
          <w:rFonts w:ascii="Times New Roman" w:eastAsia="仿宋_GB2312"/>
          <w:b w:val="false"/>
          <w:sz w:val="30"/>
          <w:szCs w:val="30"/>
        </w:rPr>
        <w:t>100.000</w:t>
      </w:r>
      <w:r>
        <w:rPr>
          <w:rFonts w:ascii="Times New Roman" w:eastAsia="仿宋_GB2312"/>
          <w:b w:val="false"/>
          <w:sz w:val="30"/>
          <w:szCs w:val="30"/>
        </w:rPr>
        <w:t>%。与2023年度相比，一般公共预算财政拨款支出</w:t>
      </w:r>
      <w:r>
        <w:rPr>
          <w:rFonts w:ascii="Times New Roman" w:eastAsia="仿宋_GB2312"/>
          <w:b w:val="false"/>
          <w:sz w:val="30"/>
          <w:szCs w:val="30"/>
        </w:rPr>
        <w:t>减少</w:t>
      </w:r>
      <w:r>
        <w:rPr>
          <w:rFonts w:ascii="Times New Roman" w:eastAsia="仿宋_GB2312"/>
          <w:b w:val="false"/>
          <w:sz w:val="30"/>
          <w:szCs w:val="30"/>
        </w:rPr>
        <w:t>2,952,790.51</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4.268</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响应政府过紧日子的号召，压减临空经济区企业扶持资金等项目经费支出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66,238,335.19</w:t>
      </w:r>
      <w:r>
        <w:rPr>
          <w:rFonts w:ascii="Times New Roman" w:eastAsia="仿宋_GB2312"/>
          <w:b w:val="false"/>
          <w:sz w:val="30"/>
          <w:szCs w:val="30"/>
        </w:rPr>
        <w:t>元，主要用于以下方面：</w:t>
      </w:r>
      <w:r>
        <w:rPr>
          <w:rFonts w:ascii="Times New Roman" w:eastAsia="仿宋_GB2312"/>
          <w:b w:val="false"/>
          <w:sz w:val="30"/>
          <w:szCs w:val="30"/>
        </w:rPr>
        <w:t>一般公共服务支出（类）65,370,905.35元，占98.690%；社会保障和就业支出（类）250,476.80元，占0.378%；卫生健康支出（类）124,449.04元，占0.188%；住房保障支出（类）492,504.00元，占0.744%</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65,647,729.47</w:t>
      </w:r>
      <w:r>
        <w:rPr>
          <w:rFonts w:ascii="Times New Roman" w:eastAsia="仿宋_GB2312"/>
          <w:b w:val="false"/>
          <w:sz w:val="30"/>
          <w:szCs w:val="30"/>
        </w:rPr>
        <w:t>元，支出决算为</w:t>
      </w:r>
      <w:r>
        <w:rPr>
          <w:rFonts w:ascii="Times New Roman" w:eastAsia="仿宋_GB2312"/>
          <w:b w:val="false"/>
          <w:sz w:val="30"/>
          <w:szCs w:val="30"/>
        </w:rPr>
        <w:t>66,238,335.19</w:t>
      </w:r>
      <w:r>
        <w:rPr>
          <w:rFonts w:ascii="Times New Roman" w:eastAsia="仿宋_GB2312"/>
          <w:b w:val="false"/>
          <w:sz w:val="30"/>
          <w:szCs w:val="30"/>
        </w:rPr>
        <w:t>元，完成年初预算的</w:t>
      </w:r>
      <w:r>
        <w:rPr>
          <w:rFonts w:ascii="Times New Roman" w:eastAsia="仿宋_GB2312"/>
          <w:b w:val="false"/>
          <w:sz w:val="30"/>
          <w:szCs w:val="30"/>
        </w:rPr>
        <w:t>100.900</w:t>
      </w:r>
      <w:r>
        <w:rPr>
          <w:rFonts w:ascii="Times New Roman" w:eastAsia="仿宋_GB2312"/>
          <w:b w:val="false"/>
          <w:sz w:val="30"/>
          <w:szCs w:val="30"/>
        </w:rPr>
        <w:t>%。其中： </w:t>
      </w:r>
    </w:p>
    <w:p w14:paraId="54F92415">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一般公共服务支出</w:t>
      </w:r>
      <w:r>
        <w:rPr>
          <w:rFonts w:ascii="Times New Roman" w:eastAsia="仿宋_GB2312"/>
          <w:b w:val="false"/>
          <w:sz w:val="30"/>
          <w:szCs w:val="30"/>
        </w:rPr>
        <w:t>(类)</w:t>
      </w:r>
      <w:r>
        <w:rPr>
          <w:rFonts w:ascii="Times New Roman" w:eastAsia="仿宋_GB2312"/>
          <w:b w:val="false"/>
          <w:sz w:val="30"/>
          <w:szCs w:val="30"/>
        </w:rPr>
        <w:t>政府办公厅（室）及相关机构事务</w:t>
      </w:r>
      <w:r>
        <w:rPr>
          <w:rFonts w:ascii="Times New Roman" w:eastAsia="仿宋_GB2312"/>
          <w:b w:val="false"/>
          <w:sz w:val="30"/>
          <w:szCs w:val="30"/>
        </w:rPr>
        <w:t>(款)</w:t>
      </w:r>
      <w:r>
        <w:rPr>
          <w:rFonts w:ascii="Times New Roman" w:eastAsia="仿宋_GB2312"/>
          <w:b w:val="false"/>
          <w:sz w:val="30"/>
          <w:szCs w:val="30"/>
        </w:rPr>
        <w:t>行政运行</w:t>
      </w:r>
      <w:r>
        <w:rPr>
          <w:rFonts w:ascii="Times New Roman" w:eastAsia="仿宋_GB2312"/>
          <w:b w:val="false"/>
          <w:sz w:val="30"/>
          <w:szCs w:val="30"/>
        </w:rPr>
        <w:t>(项)年初预算为</w:t>
      </w:r>
      <w:r>
        <w:rPr>
          <w:rFonts w:ascii="Times New Roman" w:eastAsia="仿宋_GB2312"/>
          <w:b w:val="false"/>
          <w:sz w:val="30"/>
          <w:szCs w:val="30"/>
        </w:rPr>
        <w:t>64,786,863.63</w:t>
      </w:r>
      <w:r>
        <w:rPr>
          <w:rFonts w:ascii="Times New Roman" w:eastAsia="仿宋_GB2312"/>
          <w:b w:val="false"/>
          <w:sz w:val="30"/>
          <w:szCs w:val="30"/>
        </w:rPr>
        <w:t>元，支出决算为</w:t>
      </w:r>
      <w:r>
        <w:rPr>
          <w:rFonts w:ascii="Times New Roman" w:eastAsia="仿宋_GB2312"/>
          <w:b w:val="false"/>
          <w:sz w:val="30"/>
          <w:szCs w:val="30"/>
        </w:rPr>
        <w:t>65,176,105.35</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100.601</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人员调整增加及调整职级</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一般公共服务支出</w:t>
      </w:r>
      <w:r>
        <w:rPr>
          <w:rFonts w:ascii="Times New Roman" w:eastAsia="仿宋_GB2312"/>
          <w:b w:val="false"/>
          <w:sz w:val="30"/>
          <w:szCs w:val="30"/>
        </w:rPr>
        <w:t>(类)</w:t>
      </w:r>
      <w:r>
        <w:rPr>
          <w:rFonts w:ascii="Times New Roman" w:eastAsia="仿宋_GB2312"/>
          <w:b w:val="false"/>
          <w:sz w:val="30"/>
          <w:szCs w:val="30"/>
        </w:rPr>
        <w:t>发展与改革事务</w:t>
      </w:r>
      <w:r>
        <w:rPr>
          <w:rFonts w:ascii="Times New Roman" w:eastAsia="仿宋_GB2312"/>
          <w:b w:val="false"/>
          <w:sz w:val="30"/>
          <w:szCs w:val="30"/>
        </w:rPr>
        <w:t>(款)</w:t>
      </w:r>
      <w:r>
        <w:rPr>
          <w:rFonts w:ascii="Times New Roman" w:eastAsia="仿宋_GB2312"/>
          <w:b w:val="false"/>
          <w:sz w:val="30"/>
          <w:szCs w:val="30"/>
        </w:rPr>
        <w:t>其他发展与改革事务支出</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194,800.00</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2024年年中追加中国民航大学南校区周边片区城市更新项目</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161,491.20</w:t>
      </w:r>
      <w:r>
        <w:rPr>
          <w:rFonts w:ascii="Times New Roman" w:eastAsia="仿宋_GB2312"/>
          <w:b w:val="false"/>
          <w:sz w:val="30"/>
          <w:szCs w:val="30"/>
        </w:rPr>
        <w:t>元，支出决算为</w:t>
      </w:r>
      <w:r>
        <w:rPr>
          <w:rFonts w:ascii="Times New Roman" w:eastAsia="仿宋_GB2312"/>
          <w:b w:val="false"/>
          <w:sz w:val="30"/>
          <w:szCs w:val="30"/>
        </w:rPr>
        <w:t>166,984.20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103.401</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人员调整增加及调整职级</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80,745.60</w:t>
      </w:r>
      <w:r>
        <w:rPr>
          <w:rFonts w:ascii="Times New Roman" w:eastAsia="仿宋_GB2312"/>
          <w:b w:val="false"/>
          <w:sz w:val="30"/>
          <w:szCs w:val="30"/>
        </w:rPr>
        <w:t>元，支出决算为</w:t>
      </w:r>
      <w:r>
        <w:rPr>
          <w:rFonts w:ascii="Times New Roman" w:eastAsia="仿宋_GB2312"/>
          <w:b w:val="false"/>
          <w:sz w:val="30"/>
          <w:szCs w:val="30"/>
        </w:rPr>
        <w:t>83,492.60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103.402</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人员调整增加及调整职级</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行政单位医疗</w:t>
      </w:r>
      <w:r>
        <w:rPr>
          <w:rFonts w:ascii="Times New Roman" w:eastAsia="仿宋_GB2312"/>
          <w:b w:val="false"/>
          <w:sz w:val="30"/>
          <w:szCs w:val="30"/>
        </w:rPr>
        <w:t>(项)年初预算为</w:t>
      </w:r>
      <w:r>
        <w:rPr>
          <w:rFonts w:ascii="Times New Roman" w:eastAsia="仿宋_GB2312"/>
          <w:b w:val="false"/>
          <w:sz w:val="30"/>
          <w:szCs w:val="30"/>
        </w:rPr>
        <w:t>100,932.00</w:t>
      </w:r>
      <w:r>
        <w:rPr>
          <w:rFonts w:ascii="Times New Roman" w:eastAsia="仿宋_GB2312"/>
          <w:b w:val="false"/>
          <w:sz w:val="30"/>
          <w:szCs w:val="30"/>
        </w:rPr>
        <w:t>元，支出决算为</w:t>
      </w:r>
      <w:r>
        <w:rPr>
          <w:rFonts w:ascii="Times New Roman" w:eastAsia="仿宋_GB2312"/>
          <w:b w:val="false"/>
          <w:sz w:val="30"/>
          <w:szCs w:val="30"/>
        </w:rPr>
        <w:t>96,625.00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95.733</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人员调整增加及调整职级</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6.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公务员医疗补助</w:t>
      </w:r>
      <w:r>
        <w:rPr>
          <w:rFonts w:ascii="Times New Roman" w:eastAsia="仿宋_GB2312"/>
          <w:b w:val="false"/>
          <w:sz w:val="30"/>
          <w:szCs w:val="30"/>
        </w:rPr>
        <w:t>(项)年初预算为</w:t>
      </w:r>
      <w:r>
        <w:rPr>
          <w:rFonts w:ascii="Times New Roman" w:eastAsia="仿宋_GB2312"/>
          <w:b w:val="false"/>
          <w:sz w:val="30"/>
          <w:szCs w:val="30"/>
        </w:rPr>
        <w:t>20,186.40</w:t>
      </w:r>
      <w:r>
        <w:rPr>
          <w:rFonts w:ascii="Times New Roman" w:eastAsia="仿宋_GB2312"/>
          <w:b w:val="false"/>
          <w:sz w:val="30"/>
          <w:szCs w:val="30"/>
        </w:rPr>
        <w:t>元，支出决算为</w:t>
      </w:r>
      <w:r>
        <w:rPr>
          <w:rFonts w:ascii="Times New Roman" w:eastAsia="仿宋_GB2312"/>
          <w:b w:val="false"/>
          <w:sz w:val="30"/>
          <w:szCs w:val="30"/>
        </w:rPr>
        <w:t>24,545.40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121.594</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人员调整增加及调整职级</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7.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其他行政事业单位医疗支出</w:t>
      </w:r>
      <w:r>
        <w:rPr>
          <w:rFonts w:ascii="Times New Roman" w:eastAsia="仿宋_GB2312"/>
          <w:b w:val="false"/>
          <w:sz w:val="30"/>
          <w:szCs w:val="30"/>
        </w:rPr>
        <w:t>(项)年初预算为</w:t>
      </w:r>
      <w:r>
        <w:rPr>
          <w:rFonts w:ascii="Times New Roman" w:eastAsia="仿宋_GB2312"/>
          <w:b w:val="false"/>
          <w:sz w:val="30"/>
          <w:szCs w:val="30"/>
        </w:rPr>
        <w:t>2,018.64</w:t>
      </w:r>
      <w:r>
        <w:rPr>
          <w:rFonts w:ascii="Times New Roman" w:eastAsia="仿宋_GB2312"/>
          <w:b w:val="false"/>
          <w:sz w:val="30"/>
          <w:szCs w:val="30"/>
        </w:rPr>
        <w:t>元，支出决算为</w:t>
      </w:r>
      <w:r>
        <w:rPr>
          <w:rFonts w:ascii="Times New Roman" w:eastAsia="仿宋_GB2312"/>
          <w:b w:val="false"/>
          <w:sz w:val="30"/>
          <w:szCs w:val="30"/>
        </w:rPr>
        <w:t>3,278.64</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162.418</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人员调整增加及调整职级</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8. </w:t>
      </w:r>
      <w:r>
        <w:rPr>
          <w:rFonts w:ascii="Times New Roman" w:eastAsia="仿宋_GB2312"/>
          <w:b w:val="false"/>
          <w:sz w:val="30"/>
          <w:szCs w:val="30"/>
        </w:rPr>
        <w:t>​</w:t>
      </w:r>
      <w:r>
        <w:rPr>
          <w:rFonts w:ascii="Times New Roman" w:eastAsia="仿宋_GB2312"/>
          <w:b w:val="false"/>
          <w:sz w:val="30"/>
          <w:szCs w:val="30"/>
        </w:rPr>
        <w:t>住房保障支出</w:t>
      </w:r>
      <w:r>
        <w:rPr>
          <w:rFonts w:ascii="Times New Roman" w:eastAsia="仿宋_GB2312"/>
          <w:b w:val="false"/>
          <w:sz w:val="30"/>
          <w:szCs w:val="30"/>
        </w:rPr>
        <w:t>(类)</w:t>
      </w:r>
      <w:r>
        <w:rPr>
          <w:rFonts w:ascii="Times New Roman" w:eastAsia="仿宋_GB2312"/>
          <w:b w:val="false"/>
          <w:sz w:val="30"/>
          <w:szCs w:val="30"/>
        </w:rPr>
        <w:t>住房改革支出</w:t>
      </w:r>
      <w:r>
        <w:rPr>
          <w:rFonts w:ascii="Times New Roman" w:eastAsia="仿宋_GB2312"/>
          <w:b w:val="false"/>
          <w:sz w:val="30"/>
          <w:szCs w:val="30"/>
        </w:rPr>
        <w:t>(款)</w:t>
      </w:r>
      <w:r>
        <w:rPr>
          <w:rFonts w:ascii="Times New Roman" w:eastAsia="仿宋_GB2312"/>
          <w:b w:val="false"/>
          <w:sz w:val="30"/>
          <w:szCs w:val="30"/>
        </w:rPr>
        <w:t>住房公积金</w:t>
      </w:r>
      <w:r>
        <w:rPr>
          <w:rFonts w:ascii="Times New Roman" w:eastAsia="仿宋_GB2312"/>
          <w:b w:val="false"/>
          <w:sz w:val="30"/>
          <w:szCs w:val="30"/>
        </w:rPr>
        <w:t>(项)年初预算为</w:t>
      </w:r>
      <w:r>
        <w:rPr>
          <w:rFonts w:ascii="Times New Roman" w:eastAsia="仿宋_GB2312"/>
          <w:b w:val="false"/>
          <w:sz w:val="30"/>
          <w:szCs w:val="30"/>
        </w:rPr>
        <w:t>495,492.00</w:t>
      </w:r>
      <w:r>
        <w:rPr>
          <w:rFonts w:ascii="Times New Roman" w:eastAsia="仿宋_GB2312"/>
          <w:b w:val="false"/>
          <w:sz w:val="30"/>
          <w:szCs w:val="30"/>
        </w:rPr>
        <w:t>元，支出决算为</w:t>
      </w:r>
      <w:r>
        <w:rPr>
          <w:rFonts w:ascii="Times New Roman" w:eastAsia="仿宋_GB2312"/>
          <w:b w:val="false"/>
          <w:sz w:val="30"/>
          <w:szCs w:val="30"/>
        </w:rPr>
        <w:t>492,504.00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99.397</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公积金基数减少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天津市东丽临空经济区管理委员会</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2,543,535.19</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422,409.49</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人员调整增加及调整职级</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2,255,441.70</w:t>
      </w:r>
      <w:r>
        <w:rPr>
          <w:rFonts w:ascii="Times New Roman" w:eastAsia="仿宋_GB2312"/>
          <w:b w:val="false"/>
          <w:sz w:val="30"/>
          <w:szCs w:val="30"/>
        </w:rPr>
        <w:t>元，主要包括</w:t>
      </w:r>
      <w:r>
        <w:rPr>
          <w:rFonts w:ascii="Times New Roman" w:eastAsia="仿宋_GB2312"/>
          <w:b w:val="false"/>
          <w:sz w:val="30"/>
          <w:szCs w:val="30"/>
        </w:rPr>
        <w:t>基本工资、津贴补贴、奖金、机关事业单位基本养老保险缴费、职业年金缴费、职工基本医疗保险缴费、公务员医疗补助缴费、其他社会保障缴费、住房公积金和奖励金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288,093.49</w:t>
      </w:r>
      <w:r>
        <w:rPr>
          <w:rFonts w:ascii="Times New Roman" w:eastAsia="仿宋_GB2312"/>
          <w:b w:val="false"/>
          <w:sz w:val="30"/>
          <w:szCs w:val="30"/>
        </w:rPr>
        <w:t>元，主要包括</w:t>
      </w:r>
      <w:r>
        <w:rPr>
          <w:rFonts w:ascii="Times New Roman" w:eastAsia="仿宋_GB2312"/>
          <w:b w:val="false"/>
          <w:sz w:val="30"/>
          <w:szCs w:val="30"/>
        </w:rPr>
        <w:t>办公费、邮电费、差旅费、维修(护)费、工会经费、福利费、其他交通费用、税金及附加费用和其他商品和服务支出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天津市东丽临空经济区管理委员会</w:t>
      </w:r>
      <w:r>
        <w:rPr>
          <w:rFonts w:ascii="Times New Roman" w:eastAsia="仿宋_GB2312"/>
          <w:b w:val="false"/>
          <w:sz w:val="30"/>
          <w:szCs w:val="30"/>
        </w:rPr>
        <w:t>2024年度无政府性基金预算财政拨款收入、支出和结转结余。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天津市东丽临空经济区管理委员会</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元，与2024年预算相比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机关运行经费是指行政单位和参照公务员法管理的事业单位使用财政拨款安排的基本支出中的日常公用经费支出，</w:t>
      </w:r>
      <w:r>
        <w:rPr>
          <w:rFonts w:ascii="Times New Roman" w:eastAsia="仿宋_GB2312"/>
          <w:b w:val="false"/>
          <w:sz w:val="30"/>
          <w:szCs w:val="30"/>
        </w:rPr>
        <w:t>天津市东丽临空经济区管理委员会</w:t>
      </w:r>
      <w:r>
        <w:rPr>
          <w:rFonts w:ascii="Times New Roman" w:eastAsia="仿宋_GB2312"/>
          <w:b w:val="false"/>
          <w:sz w:val="30"/>
          <w:szCs w:val="30"/>
        </w:rPr>
        <w:t>2024年度机关运行经费年初预算</w:t>
      </w:r>
      <w:r>
        <w:rPr>
          <w:rFonts w:ascii="Times New Roman" w:eastAsia="仿宋_GB2312"/>
          <w:b w:val="false"/>
          <w:sz w:val="30"/>
          <w:szCs w:val="30"/>
        </w:rPr>
        <w:t>211,288.43</w:t>
      </w:r>
      <w:r>
        <w:rPr>
          <w:rFonts w:ascii="Times New Roman" w:eastAsia="仿宋_GB2312"/>
          <w:b w:val="false"/>
          <w:sz w:val="30"/>
          <w:szCs w:val="30"/>
        </w:rPr>
        <w:t>元，决算数</w:t>
      </w:r>
      <w:r>
        <w:rPr>
          <w:rFonts w:ascii="Times New Roman" w:eastAsia="仿宋_GB2312"/>
          <w:b w:val="false"/>
          <w:sz w:val="30"/>
          <w:szCs w:val="30"/>
        </w:rPr>
        <w:t>288,093.49</w:t>
      </w:r>
      <w:r>
        <w:rPr>
          <w:rFonts w:ascii="Times New Roman" w:eastAsia="仿宋_GB2312"/>
          <w:b w:val="false"/>
          <w:sz w:val="30"/>
          <w:szCs w:val="30"/>
        </w:rPr>
        <w:t>元，与年初预算相比</w:t>
      </w:r>
      <w:r>
        <w:rPr>
          <w:rFonts w:ascii="Times New Roman" w:eastAsia="仿宋_GB2312"/>
          <w:b w:val="false"/>
          <w:sz w:val="30"/>
          <w:szCs w:val="30"/>
        </w:rPr>
        <w:t>增加</w:t>
      </w:r>
      <w:r>
        <w:rPr>
          <w:rFonts w:ascii="Times New Roman" w:eastAsia="仿宋_GB2312"/>
          <w:b w:val="false"/>
          <w:sz w:val="30"/>
          <w:szCs w:val="30"/>
        </w:rPr>
        <w:t>76,805.06</w:t>
      </w:r>
      <w:r>
        <w:rPr>
          <w:rFonts w:ascii="Times New Roman" w:eastAsia="仿宋_GB2312"/>
          <w:b w:val="false"/>
          <w:sz w:val="30"/>
          <w:szCs w:val="30"/>
        </w:rPr>
        <w:t>元，完成年初预算的</w:t>
      </w:r>
      <w:r>
        <w:rPr>
          <w:rFonts w:ascii="Times New Roman" w:eastAsia="仿宋_GB2312"/>
          <w:b w:val="false"/>
          <w:sz w:val="30"/>
          <w:szCs w:val="30"/>
        </w:rPr>
        <w:t>136.351</w:t>
      </w:r>
      <w:r>
        <w:rPr>
          <w:rFonts w:ascii="Times New Roman" w:eastAsia="仿宋_GB2312"/>
          <w:b w:val="false"/>
          <w:sz w:val="30"/>
          <w:szCs w:val="30"/>
        </w:rPr>
        <w:t>%；比2023年</w:t>
      </w:r>
      <w:r>
        <w:rPr>
          <w:rFonts w:ascii="Times New Roman" w:eastAsia="仿宋_GB2312"/>
          <w:b w:val="false"/>
          <w:sz w:val="30"/>
          <w:szCs w:val="30"/>
        </w:rPr>
        <w:t>增加</w:t>
      </w:r>
      <w:r>
        <w:rPr>
          <w:rFonts w:ascii="Times New Roman" w:eastAsia="仿宋_GB2312"/>
          <w:b w:val="false"/>
          <w:sz w:val="30"/>
          <w:szCs w:val="30"/>
        </w:rPr>
        <w:t>107,357.21</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59.400</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由于人员调整及业务量增加而产生的办公费和其他商品服务支出同步增加</w:t>
      </w:r>
      <w:r>
        <w:rPr>
          <w:rFonts w:ascii="Times New Roman" w:eastAsia="仿宋_GB2312"/>
          <w:b w:val="false"/>
          <w:sz w:val="30"/>
          <w:szCs w:val="30"/>
        </w:rPr>
        <w:t> 。</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天津市东丽临空经济区管理委员会</w:t>
      </w:r>
      <w:r>
        <w:rPr>
          <w:rFonts w:ascii="Times New Roman" w:eastAsia="仿宋_GB2312"/>
          <w:b w:val="false"/>
          <w:sz w:val="30"/>
          <w:szCs w:val="30"/>
        </w:rPr>
        <w:t>2024年度无政府采购支出。</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天津市东丽临空经济区管理委员会</w:t>
      </w:r>
      <w:r>
        <w:rPr>
          <w:rFonts w:ascii="Times New Roman" w:eastAsia="仿宋_GB2312"/>
          <w:b w:val="false"/>
          <w:sz w:val="30"/>
          <w:szCs w:val="30"/>
        </w:rPr>
        <w:t/>
      </w:r>
      <w:r>
        <w:rPr>
          <w:rFonts w:ascii="Times New Roman" w:eastAsia="仿宋_GB2312"/>
          <w:b w:val="false"/>
          <w:sz w:val="30"/>
          <w:szCs w:val="30"/>
        </w:rPr>
        <w:t>2024年度无国有资产占有使用情况。</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根据预算绩效管理要求，天津市东丽临空经济区管理委员会2024年度已对2个项目开展绩效自评，涉及金额63694800元，自评结果已随部门决算一并公开。天津市东丽临空经济区管理委员会2024年度未开展部门评价。</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天津市东丽临空经济区管理委员会不属于乡、镇、街级单位，不涉及公开2024年度教育、医疗卫生、社会保障和就业、住房保障、涉农补贴等民生支出情况。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1FE27B72">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19A4F51-3E8E-49D6-9264-C6418EF9BF85}"/>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1F371C6E-A316-45FC-AB03-BA5E2FD43334}"/>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96F3829D-4185-4D21-8DED-084B9ADFDF0F}"/>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B2FDC">
    <w:pPr>
      <w:pStyle w:val="8"/>
      <w:jc w:val="center"/>
    </w:pPr>
  </w:p>
  <w:p w14:paraId="5C6DBC45">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96E66">
    <w:pPr>
      <w:pStyle w:val="8"/>
    </w:pPr>
  </w:p>
</w:ftr>
</file>

<file path=word/header.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F48B0">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5521B6"/>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753AE2"/>
    <w:rsid w:val="0BB67D0A"/>
    <w:rsid w:val="0BC56230"/>
    <w:rsid w:val="0BCF21BD"/>
    <w:rsid w:val="0C4E53E8"/>
    <w:rsid w:val="0C6712D6"/>
    <w:rsid w:val="0C6A5262"/>
    <w:rsid w:val="0C9F7900"/>
    <w:rsid w:val="0CB23317"/>
    <w:rsid w:val="0D101068"/>
    <w:rsid w:val="0D4E13BE"/>
    <w:rsid w:val="0D7557DF"/>
    <w:rsid w:val="0D853E34"/>
    <w:rsid w:val="0D9C2A57"/>
    <w:rsid w:val="0DC3019B"/>
    <w:rsid w:val="0DFA5D82"/>
    <w:rsid w:val="0E1E52CE"/>
    <w:rsid w:val="0E866524"/>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1177F57"/>
    <w:rsid w:val="11217C97"/>
    <w:rsid w:val="11464C20"/>
    <w:rsid w:val="115E4926"/>
    <w:rsid w:val="118A1FFA"/>
    <w:rsid w:val="11E35B5A"/>
    <w:rsid w:val="11E42DD6"/>
    <w:rsid w:val="125F5A1B"/>
    <w:rsid w:val="126979D6"/>
    <w:rsid w:val="129E45A7"/>
    <w:rsid w:val="13074404"/>
    <w:rsid w:val="136A5C00"/>
    <w:rsid w:val="13B97B08"/>
    <w:rsid w:val="13C527AC"/>
    <w:rsid w:val="14711797"/>
    <w:rsid w:val="147B6F17"/>
    <w:rsid w:val="14D42061"/>
    <w:rsid w:val="15081C8B"/>
    <w:rsid w:val="15090D5C"/>
    <w:rsid w:val="15CF053D"/>
    <w:rsid w:val="15E0131A"/>
    <w:rsid w:val="15E11DC0"/>
    <w:rsid w:val="16457D9F"/>
    <w:rsid w:val="17223EFF"/>
    <w:rsid w:val="178833B6"/>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D21FF2"/>
    <w:rsid w:val="2A3E2317"/>
    <w:rsid w:val="2A611B0F"/>
    <w:rsid w:val="2AC1762B"/>
    <w:rsid w:val="2AE845D0"/>
    <w:rsid w:val="2B043E5C"/>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D7ECED1"/>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60134DF"/>
    <w:rsid w:val="360B1E2F"/>
    <w:rsid w:val="360D500F"/>
    <w:rsid w:val="36145DDE"/>
    <w:rsid w:val="36330424"/>
    <w:rsid w:val="36FE3ABA"/>
    <w:rsid w:val="37072BDE"/>
    <w:rsid w:val="37455334"/>
    <w:rsid w:val="37527C32"/>
    <w:rsid w:val="376F0A96"/>
    <w:rsid w:val="37731921"/>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C46D08"/>
    <w:rsid w:val="3BD30423"/>
    <w:rsid w:val="3BDF4895"/>
    <w:rsid w:val="3C6C0B58"/>
    <w:rsid w:val="3CBE41D5"/>
    <w:rsid w:val="3D446B0E"/>
    <w:rsid w:val="3D745844"/>
    <w:rsid w:val="3D953A6B"/>
    <w:rsid w:val="3DBB5979"/>
    <w:rsid w:val="3DD56F21"/>
    <w:rsid w:val="3DEF6699"/>
    <w:rsid w:val="3E1057AF"/>
    <w:rsid w:val="3E6C0DFA"/>
    <w:rsid w:val="3E740322"/>
    <w:rsid w:val="3E7F4380"/>
    <w:rsid w:val="3E8D171B"/>
    <w:rsid w:val="3EA5630D"/>
    <w:rsid w:val="3EBA731B"/>
    <w:rsid w:val="3EE33949"/>
    <w:rsid w:val="3EEACD73"/>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021C2"/>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357B6A"/>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24043A"/>
    <w:rsid w:val="483820D2"/>
    <w:rsid w:val="48692CD0"/>
    <w:rsid w:val="48AE3D01"/>
    <w:rsid w:val="48B06F92"/>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DF5563"/>
    <w:rsid w:val="4CFB2214"/>
    <w:rsid w:val="4D2C4D26"/>
    <w:rsid w:val="4D335E0E"/>
    <w:rsid w:val="4D4E4EA3"/>
    <w:rsid w:val="4D9A5B1B"/>
    <w:rsid w:val="4DA55D85"/>
    <w:rsid w:val="4DBB20DB"/>
    <w:rsid w:val="4DDC3F22"/>
    <w:rsid w:val="4DE66FB2"/>
    <w:rsid w:val="4DEC6CB8"/>
    <w:rsid w:val="4E1040C7"/>
    <w:rsid w:val="4E1760BF"/>
    <w:rsid w:val="4E30647F"/>
    <w:rsid w:val="4E5F3FC0"/>
    <w:rsid w:val="4EBA03C3"/>
    <w:rsid w:val="4EBC5459"/>
    <w:rsid w:val="4ED94CB0"/>
    <w:rsid w:val="4EEC2ED3"/>
    <w:rsid w:val="4F0E56EA"/>
    <w:rsid w:val="4F2E11BC"/>
    <w:rsid w:val="4F3C4343"/>
    <w:rsid w:val="4F416688"/>
    <w:rsid w:val="4F5620B0"/>
    <w:rsid w:val="4F616EB4"/>
    <w:rsid w:val="4F6654EE"/>
    <w:rsid w:val="4F7379C6"/>
    <w:rsid w:val="4F872BDB"/>
    <w:rsid w:val="4FA033E9"/>
    <w:rsid w:val="4FA743DA"/>
    <w:rsid w:val="4FB3565A"/>
    <w:rsid w:val="4FC4714D"/>
    <w:rsid w:val="503D1C79"/>
    <w:rsid w:val="507A6406"/>
    <w:rsid w:val="50853863"/>
    <w:rsid w:val="508A4590"/>
    <w:rsid w:val="50F1461D"/>
    <w:rsid w:val="50FE5411"/>
    <w:rsid w:val="510B072E"/>
    <w:rsid w:val="511B0BF4"/>
    <w:rsid w:val="51264306"/>
    <w:rsid w:val="512A18AC"/>
    <w:rsid w:val="514E62C9"/>
    <w:rsid w:val="516123CE"/>
    <w:rsid w:val="517624D8"/>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C1326E"/>
    <w:rsid w:val="54D26583"/>
    <w:rsid w:val="55363E67"/>
    <w:rsid w:val="556E6DF7"/>
    <w:rsid w:val="55965CE3"/>
    <w:rsid w:val="559D47CE"/>
    <w:rsid w:val="55BE1959"/>
    <w:rsid w:val="55D02382"/>
    <w:rsid w:val="56232437"/>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41EC4"/>
    <w:rsid w:val="5C8E5C5A"/>
    <w:rsid w:val="5C965E61"/>
    <w:rsid w:val="5CF0089C"/>
    <w:rsid w:val="5CF5796F"/>
    <w:rsid w:val="5D242A11"/>
    <w:rsid w:val="5D9217C2"/>
    <w:rsid w:val="5DAD06BF"/>
    <w:rsid w:val="5DBBFF12"/>
    <w:rsid w:val="5DC92CE9"/>
    <w:rsid w:val="5DE23CB3"/>
    <w:rsid w:val="5DE97EEC"/>
    <w:rsid w:val="5DFA5EB0"/>
    <w:rsid w:val="5E000E4D"/>
    <w:rsid w:val="5E0B583E"/>
    <w:rsid w:val="5E201A7B"/>
    <w:rsid w:val="5EA45884"/>
    <w:rsid w:val="5EBD0484"/>
    <w:rsid w:val="5F2C5C7C"/>
    <w:rsid w:val="5F36141C"/>
    <w:rsid w:val="5FC5273F"/>
    <w:rsid w:val="5FDD0C57"/>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AB223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5D716AA"/>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5AB798"/>
    <w:rsid w:val="6FA14A81"/>
    <w:rsid w:val="6FA3261F"/>
    <w:rsid w:val="6FA59283"/>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3177841"/>
    <w:rsid w:val="733774FE"/>
    <w:rsid w:val="734E594C"/>
    <w:rsid w:val="73617E1B"/>
    <w:rsid w:val="736D7653"/>
    <w:rsid w:val="738035CB"/>
    <w:rsid w:val="73852C46"/>
    <w:rsid w:val="7396335C"/>
    <w:rsid w:val="73F46595"/>
    <w:rsid w:val="73FBB56E"/>
    <w:rsid w:val="74283FA2"/>
    <w:rsid w:val="742C135B"/>
    <w:rsid w:val="74463733"/>
    <w:rsid w:val="748A2F40"/>
    <w:rsid w:val="74D84FF7"/>
    <w:rsid w:val="74F35FB8"/>
    <w:rsid w:val="74F85778"/>
    <w:rsid w:val="75272439"/>
    <w:rsid w:val="758F1E9B"/>
    <w:rsid w:val="75CE266B"/>
    <w:rsid w:val="75D7ECB3"/>
    <w:rsid w:val="76120141"/>
    <w:rsid w:val="766A4299"/>
    <w:rsid w:val="768216BE"/>
    <w:rsid w:val="76C23B43"/>
    <w:rsid w:val="76FD6F97"/>
    <w:rsid w:val="770218E8"/>
    <w:rsid w:val="77472401"/>
    <w:rsid w:val="779469CE"/>
    <w:rsid w:val="77C875A5"/>
    <w:rsid w:val="78A27DF6"/>
    <w:rsid w:val="79285B3A"/>
    <w:rsid w:val="79490B03"/>
    <w:rsid w:val="79625CA9"/>
    <w:rsid w:val="79A91196"/>
    <w:rsid w:val="7A0B32D3"/>
    <w:rsid w:val="7AC13CD3"/>
    <w:rsid w:val="7AE10264"/>
    <w:rsid w:val="7AE4248E"/>
    <w:rsid w:val="7AF47613"/>
    <w:rsid w:val="7B4A207F"/>
    <w:rsid w:val="7B936F45"/>
    <w:rsid w:val="7BA47419"/>
    <w:rsid w:val="7BB10D45"/>
    <w:rsid w:val="7BB44151"/>
    <w:rsid w:val="7BBD3A54"/>
    <w:rsid w:val="7C656A39"/>
    <w:rsid w:val="7CB93996"/>
    <w:rsid w:val="7CBE0F99"/>
    <w:rsid w:val="7D093576"/>
    <w:rsid w:val="7D4E45F1"/>
    <w:rsid w:val="7DFB6D82"/>
    <w:rsid w:val="7DFED4AA"/>
    <w:rsid w:val="7E1D71D1"/>
    <w:rsid w:val="7E246254"/>
    <w:rsid w:val="7E553215"/>
    <w:rsid w:val="7E6D090F"/>
    <w:rsid w:val="7ECC66B2"/>
    <w:rsid w:val="7EEB9CA9"/>
    <w:rsid w:val="7F2914C3"/>
    <w:rsid w:val="7F5F2ED6"/>
    <w:rsid w:val="7F7BD542"/>
    <w:rsid w:val="7FA837EF"/>
    <w:rsid w:val="7FBC9352"/>
    <w:rsid w:val="7FC11EF6"/>
    <w:rsid w:val="7FC36955"/>
    <w:rsid w:val="7FE903A0"/>
    <w:rsid w:val="7FF07065"/>
    <w:rsid w:val="7FF97946"/>
    <w:rsid w:val="7FFE7888"/>
    <w:rsid w:val="8E7B9B6B"/>
    <w:rsid w:val="AFFFAB52"/>
    <w:rsid w:val="BDDD45B9"/>
    <w:rsid w:val="BDDF7127"/>
    <w:rsid w:val="BFA54E51"/>
    <w:rsid w:val="CDF70E8B"/>
    <w:rsid w:val="D3E60E83"/>
    <w:rsid w:val="DB4FE050"/>
    <w:rsid w:val="DFBD6FEF"/>
    <w:rsid w:val="DFDB6FA4"/>
    <w:rsid w:val="E1CFCBEA"/>
    <w:rsid w:val="E1EF5B3B"/>
    <w:rsid w:val="E2DE949D"/>
    <w:rsid w:val="E4C8A119"/>
    <w:rsid w:val="E9EF6F43"/>
    <w:rsid w:val="EDFFE889"/>
    <w:rsid w:val="EEE74D43"/>
    <w:rsid w:val="EF7BA4A3"/>
    <w:rsid w:val="F4B59182"/>
    <w:rsid w:val="F997E54E"/>
    <w:rsid w:val="FB4C53D1"/>
    <w:rsid w:val="FBEF8F85"/>
    <w:rsid w:val="FCE5F63C"/>
    <w:rsid w:val="FD6FC958"/>
    <w:rsid w:val="FFFA960E"/>
    <w:rsid w:val="FFFED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0</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2025-09-15T02:02:31Z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