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550370EA">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天津市东丽区人力资源和社会保障局</w:t>
      </w:r>
    </w:p>
    <w:p w14:paraId="21490BD2">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48464FC">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2A160E1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0DE84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32ADEE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0D37FDE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5945C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558EA6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000B2B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9CB777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9418B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7D43C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AA938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AB8AF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5C2EF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135B7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147894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416005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C5E0F3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464E899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8B5B14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9E92C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43657A1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45BA39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33BFF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3DBEF1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D7418A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B348E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6B2477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49A3D1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36D69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F7826C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4ED3510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270DB2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7A332B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4D3E921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贯彻执行国家和本市人力资源和社会保障法律、法规、规章和方针政策，拟订全区人力资源和社会保障事业发展规划和年度计划，并组织实施和监督检查。2、拟订人力资源市场发展规划，建立统一规范的人力资源市场，促进人力资源合理流动和有效配置。3、负责促进就业工作，拟订统筹城乡的就业发展规划，完善公共就业服务体系和就业援助制度；负责职业资格制度相关工作，统筹建立面向城乡劳动者的职业培训制度；牵头有关部门落实高校毕业生就业工作；根据市高技能人才、农村实用人才培养和激励政策，会同有关部门做好落实工作。4、负责机关、企事业单位和城乡居民社会保险工作，推进保险制度改革，统筹建立覆盖城乡的社会保障体系。5、负责事业单位人事制度改革和事业单位人员、机关工勤人员的管理，负责机关、企事业单位人员工资福利和离退休工作，参与人才管理工作，负责专业技术人员管理和继续教育推进深化职称制度改革工作。负责吸引境外专家、留学人员来本区工作。6、会同有关部门推动农民工相关政策的落实，协调解决重点难点问题，维护农民工合法权益。7、负责劳动、人事争议调解仲裁工作，完善劳动关系协调机制；落实消除非法使用童工政策和女工、未成年工的特殊劳动保护政策，组织实施劳动监察，协调劳动者维权工作，依法查处案件。8、承办区委、区政府交办的其他事项。</w:t>
      </w:r>
    </w:p>
    <w:p w14:paraId="4D351CA4">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天津市东丽区人力资源和社会保障局内设7个职能部门；下辖4个预算单位。纳入天津市东丽区人力资源和社会保障局2024年度部门决算编制范围的单位包括：</w:t>
      </w:r>
    </w:p>
    <w:p w14:paraId="0373F99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1.​天津市东丽区人力资源和社会保障局（本级）</w:t>
      </w:r>
    </w:p>
    <w:p w14:paraId="7721ECF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2.​天津市东丽区人力资源和社会保障综合行政执法支队</w:t>
      </w:r>
    </w:p>
    <w:p w14:paraId="59EE680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3.​天津市东丽区公共就业（人才）服务中心</w:t>
      </w:r>
    </w:p>
    <w:p w14:paraId="18AF58F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4.​天津市东丽区劳动人事争议仲裁院</w:t>
      </w:r>
    </w:p>
    <w:p w14:paraId="0DB60C1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5.​天津市东丽区城市运行保障服务中心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70A90D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103,479,623.55</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93,912,096.11</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303,689.10</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103,783,312.65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103,562,251.02</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24,678.81</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2,204,771.08</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2,401,153.90</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448,132.08</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1,756,639.00</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105,988,083.73</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105,988,083.73</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103,783,312.65</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103,479,623.55</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303,689.10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94,158,310.45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93,854,621.35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303,689.10</w:t>
            </w:r>
          </w:p>
        </w:tc>
      </w:tr>
      <w:tr w14:paraId="3FFC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AD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42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46,917,555.83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2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46,613,866.73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0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F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4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37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3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AF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303,689.10</w:t>
            </w:r>
          </w:p>
        </w:tc>
      </w:tr>
      <w:tr w14:paraId="22ED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72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BA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8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6,502,236.97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9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6,498,282.94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92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3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6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6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98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6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3,954.03</w:t>
            </w:r>
          </w:p>
        </w:tc>
      </w:tr>
      <w:tr w14:paraId="413C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A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5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劳动保障监察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70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742,015.13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F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741,858.91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5F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4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2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E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5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156.22</w:t>
            </w:r>
          </w:p>
        </w:tc>
      </w:tr>
      <w:tr w14:paraId="5B78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B3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3D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劳动人事争议调解仲裁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02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1,624,564.23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1E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1,624,507.97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1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B2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0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F7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2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56.26</w:t>
            </w:r>
          </w:p>
        </w:tc>
      </w:tr>
      <w:tr w14:paraId="377D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BB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16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其他人力资源和社会保障管理事务支出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2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38,048,739.50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53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37,749,216.91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3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6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8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4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7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9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299,522.59</w:t>
            </w:r>
          </w:p>
        </w:tc>
      </w:tr>
      <w:tr w14:paraId="5DD9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6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80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14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15,603,707.36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E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15,603,707.36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CC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8A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F4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F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70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6E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D9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88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9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44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3,127,172.62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C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3,127,172.62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A6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1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2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77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A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9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E5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61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57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3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12,476,534.74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7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12,476,534.74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6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DB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8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F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7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5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E4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3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CD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就业补助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8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31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8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3B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B1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14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B9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B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3F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F5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55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其他就业补助支出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7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31,637,047.26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2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7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C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4E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9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3C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4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A2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13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2,261,737.40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0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2,261,737.40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E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9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C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B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D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05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B8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84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E3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D0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2,261,737.40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8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2,261,737.40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F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3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B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B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F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A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5B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23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3A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8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449,277.60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F3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449,277.60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2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2C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72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0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A4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A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6F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A9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6E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1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1,734,544.36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A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1,734,544.36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D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CF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C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A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3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E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2C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7C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70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F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77,915.44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1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77,915.44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0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1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19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9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A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49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12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FF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0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C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C9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9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3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3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FC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A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04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25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02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5A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普惠金融发展支出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0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F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F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E2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98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2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4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6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C2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8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2130804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4C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创业担保贷款贴息及奖补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0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FD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9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9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1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A2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3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8D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5F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11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D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7,155,194.54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43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7,155,194.54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F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E1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B8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24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5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5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D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78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06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8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7,155,194.54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1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7,155,194.54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3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4D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E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B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6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A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A1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6C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F8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8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7,155,194.54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8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7,155,194.54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3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7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8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F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59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46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部门（单位）：天津市东丽区人力资源和社会保障局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105,988,083.73</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103,783,312.65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103,479,623.55</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303,689.10</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2,204,771.08</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448,132.08</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448,132.08</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1,756,639.00</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1,756,639.00</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天津市东丽区人力资源和社会保障局（本级）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71,520,706.50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69,662,069.11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69,383,115.08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278,954.03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1,858,637.39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101,998.39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101,998.39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1,756,639.00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1,756,639.00</w:t>
            </w:r>
          </w:p>
        </w:tc>
      </w:tr>
      <w:tr w14:paraId="6F96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7F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22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天津市东丽区人力资源和社会保障综合行政执法支队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CE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1,235,336.74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D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1,163,213.48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5A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1,163,057.26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15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3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E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BD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4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E7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8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F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156.22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8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72,123.26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F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72,123.26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8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72,123.26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9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53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0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3B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E19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1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3D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天津市东丽区公共就业（人才）服务中心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F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16,273,131.02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B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16,035,224.90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17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16,011,097.68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A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E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8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A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35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2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0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FE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24,127.22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E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237,906.12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6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237,906.12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D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237,906.12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B6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8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0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7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7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458D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3D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80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天津市东丽区劳动人事争议仲裁院</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C1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2,040,250.72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58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2,006,924.41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E5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2,006,868.15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6B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56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8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5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1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E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3F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B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56.26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5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33,326.31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E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33,326.31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D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33,326.31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5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D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9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F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E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9AA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51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353401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D3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天津市东丽区城市运行保障服务中心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7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14,918,658.75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E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14,915,880.75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F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14,915,485.38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5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A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8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D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D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F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E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395.37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D4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2,778.00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F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2,778.00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A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2,778.00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F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2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3C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36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E8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103,562,251.02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41,080,134.24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62,482,116.78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93,912,096.11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31,638,049.59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62,274,046.52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78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63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C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3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46,665,629.78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94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26,938,230.52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8E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19,727,399.26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A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5C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E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59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20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06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2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6,496,990.26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B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6,310,308.26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0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5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B7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E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78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73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6C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劳动保障监察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C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741,530.50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76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741,530.50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5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E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2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1B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3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3B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7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劳动人事争议调解仲裁</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D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1,620,652.31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0A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1,236,752.31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CB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C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8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2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13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CB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37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6D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37,806,456.71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C3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18,649,639.45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1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19,156,817.26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88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7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0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D7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BA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E9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F3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15,609,419.07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1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4,699,819.07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11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3F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BD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A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B0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66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CC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8D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3,130,098.94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4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3,130,098.94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D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9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E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A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14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B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6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18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12,479,320.13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7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1,569,720.13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F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8B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C4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1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9C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D1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8F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B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5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C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42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2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A3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66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C2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11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其他就业补助支出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4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D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E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D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5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F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5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2F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24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5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C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7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D6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A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6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3F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57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D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60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4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C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7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C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4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8D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82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24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D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451,450.96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6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451,450.96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5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79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1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E6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A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06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EA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D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1,756,353.11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9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1,756,353.11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E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8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2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B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F5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52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0B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B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90,475.84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C9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90,475.84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2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5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82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E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2B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83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0E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2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7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0C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0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3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38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74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12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普惠金融发展支出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4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5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6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6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3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78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80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08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94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创业担保贷款贴息及奖补</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6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D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1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7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B2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6B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C0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6C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A6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5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4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2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5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8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54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74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E9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CA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3B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7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9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3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80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14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99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F8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76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F3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8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14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7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A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8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103,479,623.55</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93,854,096.11</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93,854,096.11</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2,298,279.91</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103,479,623.55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103,504,251.02</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103,504,251.02</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448,132.08</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423,504.61</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423,504.61</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448,132.08</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103,927,755.63</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103,927,755.63</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103,927,755.63</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天津市东丽区人力资源和社会保障局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103,504,251.02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41,080,134.24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37,332,751.27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3,747,382.97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62,424,116.78</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93,854,096.11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31,638,049.59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27,890,666.62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3,747,382.97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62,216,046.52</w:t>
            </w:r>
          </w:p>
        </w:tc>
      </w:tr>
      <w:tr w14:paraId="039B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7F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03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F5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46,607,629.78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86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26,938,230.52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B7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23,190,847.55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2F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3,747,382.97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8C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19,669,399.26</w:t>
            </w:r>
          </w:p>
        </w:tc>
      </w:tr>
      <w:tr w14:paraId="1164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6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78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59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6,496,990.26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B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6,310,308.26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B0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4,547,498.74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92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1,762,809.52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5F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186,682.00</w:t>
            </w:r>
          </w:p>
        </w:tc>
      </w:tr>
      <w:tr w14:paraId="016E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36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E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劳动保障监察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58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741,530.50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E7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741,530.50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D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634,445.83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B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107,084.67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D7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AC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86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CF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劳动人事争议调解仲裁</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74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1,620,652.31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E2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1,236,752.31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16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1,055,619.54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10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181,132.77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C7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383,900.00</w:t>
            </w:r>
          </w:p>
        </w:tc>
      </w:tr>
      <w:tr w14:paraId="6D3F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80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B3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其他人力资源和社会保障管理事务支出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0D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37,748,456.71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CD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18,649,639.45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AA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16,953,283.44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E4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1,696,356.01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F8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19,098,817.26</w:t>
            </w:r>
          </w:p>
        </w:tc>
      </w:tr>
      <w:tr w14:paraId="4E70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A5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E8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70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15,609,419.07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DF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4,699,819.07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7C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4,699,819.07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02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39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10,909,600.00</w:t>
            </w:r>
          </w:p>
        </w:tc>
      </w:tr>
      <w:tr w14:paraId="50D4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B5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9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B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3,130,098.94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34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3,130,098.94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B1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3,130,098.94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23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97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C7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A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31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F6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12,479,320.13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C6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1,569,720.13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EB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1,569,720.13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EB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95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10,909,600.00</w:t>
            </w:r>
          </w:p>
        </w:tc>
      </w:tr>
      <w:tr w14:paraId="1F63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8A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64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就业补助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61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3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C1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2D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0F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r>
      <w:tr w14:paraId="6B91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0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其他就业补助支出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83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5F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EB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6A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59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31,637,047.26</w:t>
            </w:r>
          </w:p>
        </w:tc>
      </w:tr>
      <w:tr w14:paraId="7632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01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55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B2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2,298,279.91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34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2,298,279.91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E6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2,298,279.91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26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E4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66D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3A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3F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64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2,298,279.91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FD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2,298,279.91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A9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2,298,279.91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A3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C9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C1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54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CA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91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451,450.96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93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451,450.96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8B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451,450.96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3E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79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11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A5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7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13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1,756,353.11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B8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1,756,353.11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E6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1,756,353.11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79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FD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22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20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57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1E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90,475.84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AE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90,475.84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B7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90,475.84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CC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E7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92A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1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46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14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7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48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5B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2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r>
      <w:tr w14:paraId="50DD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35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30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普惠金融发展支出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01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D4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D9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9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8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r>
      <w:tr w14:paraId="0605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B2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2130804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CC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创业担保贷款贴息及奖补</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F5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0C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FF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6A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45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208,070.26</w:t>
            </w:r>
          </w:p>
        </w:tc>
      </w:tr>
      <w:tr w14:paraId="1BD5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D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40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2A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43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FC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47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17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659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52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58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35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1E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60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F8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CF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60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9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D5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CE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D8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2D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7,143,804.74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6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E7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36,165,237.67</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3,747,382.97</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13,331,366.33</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215,240.87</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3,796,637.20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1,586,212.00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5,386.93</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3,306,530.00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1,932.00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3,130,098.94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410,359.39</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1,569,720.13</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113,056.11</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1,950,952.07</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734,869.38</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90,475.84</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297,648.00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115,880.42</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19,186.01</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7,143,804.74</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139,060.00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67,126.17</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1,167,513.60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22,760.00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981,660.60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21,816.00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117,792.00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411,304.65</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332,024.00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10,822.46</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311,185.00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793,682.00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37,332,751.27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3,747,382.97</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天津市东丽区人力资源和社会保障局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32685A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天津市东丽区人力资源和社会保障局2024年政府性基金预算财政拨款收入支出决算表为空表。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天津市东丽区人力资源和社会保障局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DB9DA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天津市东丽区人力资源和社会保障局2024年国有资本经营预算财政拨款收入支出决算表为空表。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10,822.46</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10,822.46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10,822.46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部门（单位）：天津市东丽区人力资源和社会保障局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62,482,116.78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62,424,116.78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62,274,046.52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62,216,046.52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10CC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FB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EC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87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19,727,399.26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19,669,399.26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E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9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7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0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4475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D5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2F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9A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8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186,682.00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D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34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7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E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B8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5E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6B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劳动人事争议调解仲裁</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6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1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383,900.00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02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5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F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C4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E6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EF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FF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D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19,156,817.26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A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19,098,817.26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9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8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D9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4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r>
      <w:tr w14:paraId="12B1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D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0D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2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2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87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1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5F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F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9E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26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3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DC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0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10,909,600.00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A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1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2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7B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51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6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14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2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A7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7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E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A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1C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FE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3A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其他就业补助支出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F6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F1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31,637,047.26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0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9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5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B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8E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1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61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C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B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2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F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97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6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B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05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81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普惠金融发展支出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67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51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1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E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B2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5D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83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2130804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0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创业担保贷款贴息及奖补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A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0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208,070.26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2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E1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F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0EFB22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0C5ED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975DF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收入、支出决算总计105,988,083.73元。与2023年度相比，收、支总计各减少36,045,505.04元，下降25.378%，主要原因是项目资金减少，财政对社会保险补贴等项目支出数减少，支付方式变更。</w:t>
      </w:r>
    </w:p>
    <w:p w14:paraId="5C22CC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收入包括：一般公共预算财政拨款收入103,479,623.55元、其他收入303,689.10元。</w:t>
      </w:r>
    </w:p>
    <w:p w14:paraId="6CB07B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支出包括：社会保障和就业支出93,912,096.11元、卫生健康支出2,298,279.91元、农林水支出208,070.26元、住房保障支出7,143,804.74元。</w:t>
      </w:r>
    </w:p>
    <w:p w14:paraId="488F0B8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41E0A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天津市东丽区人力资源和社会保障局2024年度本年收入合计103,783,312.65元，与2023年度相比减少37,848,411.37元，主要原因是项目资金减少，财政对社会保险补贴等项目支出数减少，支付方式变更。其中：</w:t>
      </w:r>
    </w:p>
    <w:p w14:paraId="21DEA8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一般公共预算财政拨款收入103,479,623.55元，占99.707%；其他收入303,689.10元，占0.293%。</w:t>
      </w:r>
    </w:p>
    <w:p w14:paraId="3189828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000A2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天津市东丽区人力资源和社会保障局2024年度本年支出合计103,562,251.02元，与2023年度相比减少37,915,674.43元，主要原因是项目资金减少，财政对社会保险补贴等项目支出数减少，支付方式变更。其中：</w:t>
      </w:r>
    </w:p>
    <w:p w14:paraId="0CC641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基本支出41,080,134.24元，占39.667%；项目支出62,482,116.78元，占60.333%。</w:t>
      </w:r>
    </w:p>
    <w:p w14:paraId="34F66FD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270F58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财政拨款收入、支出决算总计103,927,755.63元。与2023年度相比，财政拨款收、支总计各减少34,913,696.90元，下降25.146%，主要原因是项目资金减少，财政对社会保险补贴等项目支出数减少，支付方式变更。</w:t>
      </w:r>
    </w:p>
    <w:p w14:paraId="7E6BD90F">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收入包括：一般公共预算财政拨款103,479,623.55元、年初财政拨款结转和结余448,132.08元。</w:t>
      </w:r>
    </w:p>
    <w:p w14:paraId="07FF21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支出包括：社会保障和就业支出93,854,096.11元、卫生健康支出2,298,279.91元、农林水支出208,070.26元、住房保障支出7,143,804.74元。</w:t>
      </w:r>
    </w:p>
    <w:p w14:paraId="56EEF29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4711C0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17282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部门决算一般公共预算财政拨款支出合计103,504,251.02元，占本年支出合计的99.944%。与2023年度相比，一般公共预算财政拨款支出减少34,889,069.43元，下降25.210%，主要原因是项目资金减少，财政对社会保险补贴等项目支出数减少，支付方式变更。</w:t>
      </w:r>
    </w:p>
    <w:p w14:paraId="328F73E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C9142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103,504,251.02元，主要用于以下方面：社会保障和就业支出（类）93,854,096.11元，占90.677%；卫生健康支出（类）2,298,279.91元，占2.220%；农林水支出（类）208,070.26元，占0.201%；住房保障支出（类）7,143,804.74元，占6.902%。</w:t>
      </w:r>
    </w:p>
    <w:p w14:paraId="71818B9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F24B2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2024年度一般公共预算财政拨款支出年初预算为461,015,200.00元，支出决算为103,504,251.02元，完成年初预算的22.451%。其中：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人力资源和社会保障管理事务(款)行政运行(项)年初预算为6,120,500.00元，支出决算为6,496,990.26元，完成年初预算的106.151%，决算数大于年初预算数的主要原因是：追加当年项目支出，市级就业资金下达，保障发放吸纳企业困难人员就业等相关岗位补贴、社会保险补贴。</w:t>
      </w:r>
    </w:p>
    <w:p w14:paraId="358098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人力资源和社会保障管理事务(款)劳动保障监察(项)年初预算为789,100.00元，支出决算为741,530.50元，完成年初预算的93.972%，决算数小于年初预算数的主要原因是：人员类经费年初测算略有富裕。</w:t>
      </w:r>
    </w:p>
    <w:p w14:paraId="507D19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人力资源和社会保障管理事务(款)劳动人事争议调解仲裁(项)年初预算为1,130,700.00元，支出决算为1,620,652.31元，完成年初预算的143.332%，决算数大于年初预算数的主要原因是：追加当年项目支出，劳动人事争议仲裁项目经费保障日常工作开展。</w:t>
      </w:r>
    </w:p>
    <w:p w14:paraId="43881B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人力资源和社会保障管理事务(款)其他人力资源和社会保障管理事务支出(项)年初预算为38,936,200.00元，支出决算为37,748,456.71元，完成年初预算的96.950%，决算数小于年初预算数的主要原因是：人员类经费年初测算略有富裕。</w:t>
      </w:r>
    </w:p>
    <w:p w14:paraId="555CD9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5.​社会保障和就业支出(类)行政事业单位养老支出(款)机关事业单位基本养老保险缴费支出(项)年初预算为3,271,500.00元，支出决算为3,130,098.94元，完成年初预算的95.678%，决算数小于年初预算数的主要原因是</w:t>
      </w:r>
      <w:r>
        <w:rPr>
          <w:rFonts w:hint="eastAsia" w:ascii="Times New Roman" w:eastAsia="仿宋_GB2312"/>
          <w:b w:val="0"/>
          <w:sz w:val="30"/>
          <w:szCs w:val="30"/>
          <w:lang w:eastAsia="zh-CN"/>
        </w:rPr>
        <w:t>：</w:t>
      </w:r>
      <w:r>
        <w:rPr>
          <w:rFonts w:ascii="Times New Roman" w:eastAsia="仿宋_GB2312"/>
          <w:b w:val="0"/>
          <w:sz w:val="30"/>
          <w:szCs w:val="30"/>
        </w:rPr>
        <w:t>人员类经费年初测算略有富裕。</w:t>
      </w:r>
    </w:p>
    <w:p w14:paraId="6294E5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12,545,200.00元，支出决算为12,479,320.13元，完成年初预算的99.475%，决算数小于年初预算数的主要原因是：人员类经费年初测算略有富裕。</w:t>
      </w:r>
    </w:p>
    <w:p w14:paraId="744643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行政事业单位养老支出(款)对机关事业单位基本养老保险基金的补助(项)年初预算为238,020,000.00元，支出决算为0.00元，完成年初预算的0.000%，决算数小于年初预算数的主要原因是：项目支出调整，由本单位申请国库拨付支付方式更换为国库直接支付方式 。</w:t>
      </w:r>
    </w:p>
    <w:p w14:paraId="1964C8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就业补助(款)就业创业服务补贴(项)年初预算为7,848,100.00元，支出决算为0.00元，完成年初预算的0.000%，决算数小于年初预算数的主要原因是：项目政策变更，项目支出调整，相关资金国库收回。</w:t>
      </w:r>
    </w:p>
    <w:p w14:paraId="788C1C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就业补助(款)其他就业补助支出(项)年初预算为23,804,500.00元，支出决算为31,637,047.26元，完成年初预算的132.904%，决算数大于年初预算数的主要原因是：追加当年项目支出，市级就业资金下达，保障发放吸纳企业困难人员就业等相关岗位补贴、社会保险补贴。</w:t>
      </w:r>
    </w:p>
    <w:p w14:paraId="5286BC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财政对基本养老保险基金的补助(款)财政对企业职工基本养老保险基金的补助(项)年初预算为32,450,000.00元，支出决算为0.00元，完成年初预算的0.000%，决算数小于年初预算数的主要原因是：项目支出调整，由本单位申请国库拨付支付方式更换为国库直接支付方式。</w:t>
      </w:r>
    </w:p>
    <w:p w14:paraId="4308D5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财政对基本养老保险基金的补助(款)财政对城乡居民基本养老保险基金的补助(项)年初预算为84,910,000.00元，支出决算为0.00元，完成年初预算的0.000%，决算数小于年初预算数的主要原因是：项目支出调整，由本单位申请国库拨付支付方式更换为国库直接支付方式。</w:t>
      </w:r>
    </w:p>
    <w:p w14:paraId="0E0E0A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12.​卫生健康支出(类)行政事业单位医疗(款)行政单位医疗(项)年初预算为459,900.00元，支出决算为451,450.96元，完成年初预算的98.163%，决算数小于年初预算数的主要原因是：人员类经费年初测算略有富裕。</w:t>
      </w:r>
    </w:p>
    <w:p w14:paraId="185EE9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13.​卫生健康支出(类)行政事业单位医疗(款)事业单位医疗(项)年初预算为1,858,400.00元，支出决算为1,756,353.11元，完成年初预算的94.509%，决算数小于年初预算数的主要原因是：人员类经费年初测算略有富裕。</w:t>
      </w:r>
    </w:p>
    <w:p w14:paraId="50D050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14.​卫生健康支出(类)行政事业单位医疗(款)公务员医疗补助(项)年初预算为91,900.00元，支出决算为90,475.84元，完成年初预算的98.450%，决算数小于年初预算数的主要原因是：人员类经费年初测算略有富裕。</w:t>
      </w:r>
    </w:p>
    <w:p w14:paraId="5991D0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农林水支出(类)普惠金融发展支出(款)创业担保贷款贴息及奖补(项)年初预算为1,178,300.00元，支出决算为208,070.26元，完成年初预算的17.659%，决算数小于年初预算数的主要原因是：项目支出调整，创业担保贷款受众群体调整。</w:t>
      </w:r>
    </w:p>
    <w:p w14:paraId="2CA8FE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16.​住房保障支出(类)住房改革支出(款)住房公积金(项)年初预算为7,600,900.00元，支出决算为7,143,804.74元，完成年初预算的93.986%，决算数小于年初预算数的主要原因是：人员类经费年初测算略有富裕。</w:t>
      </w:r>
    </w:p>
    <w:p w14:paraId="42E4C66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482EA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部门决算一般公共预算财政拨款基本支出合计41,080,134.24元，与2023年度相比增加9,574,480.62元，主要原因是下属新成立事业单位于2023年8月成立，2024年预决算大于2023年预决算数据。其中：</w:t>
      </w:r>
    </w:p>
    <w:p w14:paraId="71CD15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37,332,751.27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p>
    <w:p w14:paraId="00D806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3,747,382.97元，主要包括办公费、手续费、水费、电费、邮电费、取暖费、物业管理费、差旅费、维修(护)费、培训费、委托业务费、工会经费、福利费、公务用车运行维护费、其他交通费用和其他商品和服务支出。</w:t>
      </w:r>
    </w:p>
    <w:p w14:paraId="319D8CB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88B29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天津市东丽区人力资源和社会保障局2024年度无政府性基金预算财政拨款收入、支出和结转结余。</w:t>
      </w:r>
    </w:p>
    <w:p w14:paraId="43269D0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F1604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天津市东丽区人力资源和社会保障局2024年度无国有资本经营预算财政拨款收入、支出和结转结余。</w:t>
      </w:r>
    </w:p>
    <w:p w14:paraId="7D8663F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49AAE9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7BFE8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10,822.46元，支出决算10,822.46元，与2024年预算相比持平，完成预算的100.000%；支出决算较上年减少2,999.51元，下降21.701%。决算数与预算数持平的主要原因是本年严格按照预算执行；决算数较上年减少的主要原因是支出较上年降低。</w:t>
      </w:r>
    </w:p>
    <w:p w14:paraId="3AD9EAF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1D7CF8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196BD6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B7036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10,822.46元，支出决算10,822.46元，与预算相比持平，完成预算的100.000%；支出决算较上年减少2,999.51元，下降21.701%。决算数与预算数持平的主要原因是本年严格按照预算执行；决算数较上年减少的主要原因是支出较上年降低。其中：</w:t>
      </w:r>
    </w:p>
    <w:p w14:paraId="512B00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10,822.46元，支出决算10,822.46元，与预算相比持平，完成预算的100.000%；支出决算较上年减少2,999.51元，下降21.701%。决算数与预算数持平的主要原因是本年严格按照预算执行；决算数较上年减少的主要原因是支出较上年降低。</w:t>
      </w:r>
    </w:p>
    <w:p w14:paraId="222BFD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截至2024年12月31日，使用财政拨款开支运行维护费的公务用车保有量为2辆。</w:t>
      </w:r>
    </w:p>
    <w:p w14:paraId="16D5B4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319AE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B4F8F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5C3EE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D4E023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7331E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机关运行经费是指行政单位和参照公务员法管理的事业单位使用财政拨款安排的基本支出中的日常公用经费支出，天津市东丽区人力资源和社会保障局2024年度机关运行经费年初预算</w:t>
      </w:r>
      <w:r>
        <w:rPr>
          <w:rFonts w:hint="eastAsia" w:ascii="Times New Roman" w:eastAsia="仿宋_GB2312"/>
          <w:b w:val="0"/>
          <w:sz w:val="30"/>
          <w:szCs w:val="30"/>
          <w:lang w:val="en-US" w:eastAsia="zh-CN"/>
        </w:rPr>
        <w:t>2,036，681.38</w:t>
      </w:r>
      <w:r>
        <w:rPr>
          <w:rFonts w:ascii="Times New Roman" w:eastAsia="仿宋_GB2312"/>
          <w:b w:val="0"/>
          <w:sz w:val="30"/>
          <w:szCs w:val="30"/>
        </w:rPr>
        <w:t>元，决算数1,943,942.29元，与年初预算相比</w:t>
      </w:r>
      <w:r>
        <w:rPr>
          <w:rFonts w:hint="eastAsia" w:ascii="Times New Roman" w:eastAsia="仿宋_GB2312"/>
          <w:b w:val="0"/>
          <w:sz w:val="30"/>
          <w:szCs w:val="30"/>
          <w:lang w:eastAsia="zh-CN"/>
        </w:rPr>
        <w:t>减少</w:t>
      </w:r>
      <w:r>
        <w:rPr>
          <w:rFonts w:hint="eastAsia" w:ascii="Times New Roman" w:eastAsia="仿宋_GB2312"/>
          <w:b w:val="0"/>
          <w:sz w:val="30"/>
          <w:szCs w:val="30"/>
          <w:lang w:val="en-US" w:eastAsia="zh-CN"/>
        </w:rPr>
        <w:t>92</w:t>
      </w:r>
      <w:r>
        <w:rPr>
          <w:rFonts w:ascii="Times New Roman" w:eastAsia="仿宋_GB2312"/>
          <w:b w:val="0"/>
          <w:sz w:val="30"/>
          <w:szCs w:val="30"/>
        </w:rPr>
        <w:t>,</w:t>
      </w:r>
      <w:r>
        <w:rPr>
          <w:rFonts w:hint="eastAsia" w:ascii="Times New Roman" w:eastAsia="仿宋_GB2312"/>
          <w:b w:val="0"/>
          <w:sz w:val="30"/>
          <w:szCs w:val="30"/>
          <w:lang w:val="en-US" w:eastAsia="zh-CN"/>
        </w:rPr>
        <w:t>7</w:t>
      </w:r>
      <w:r>
        <w:rPr>
          <w:rFonts w:ascii="Times New Roman" w:eastAsia="仿宋_GB2312"/>
          <w:b w:val="0"/>
          <w:sz w:val="30"/>
          <w:szCs w:val="30"/>
        </w:rPr>
        <w:t>39</w:t>
      </w:r>
      <w:r>
        <w:rPr>
          <w:rFonts w:hint="eastAsia" w:ascii="Times New Roman" w:eastAsia="仿宋_GB2312"/>
          <w:b w:val="0"/>
          <w:sz w:val="30"/>
          <w:szCs w:val="30"/>
          <w:lang w:val="en-US" w:eastAsia="zh-CN"/>
        </w:rPr>
        <w:t>.09</w:t>
      </w:r>
      <w:r>
        <w:rPr>
          <w:rFonts w:ascii="Times New Roman" w:eastAsia="仿宋_GB2312"/>
          <w:b w:val="0"/>
          <w:sz w:val="30"/>
          <w:szCs w:val="30"/>
        </w:rPr>
        <w:t>元，完成年初预算的</w:t>
      </w:r>
      <w:r>
        <w:rPr>
          <w:rFonts w:hint="eastAsia" w:ascii="Times New Roman" w:eastAsia="仿宋_GB2312"/>
          <w:b w:val="0"/>
          <w:sz w:val="30"/>
          <w:szCs w:val="30"/>
          <w:lang w:val="en-US" w:eastAsia="zh-CN"/>
        </w:rPr>
        <w:t>95.447</w:t>
      </w:r>
      <w:r>
        <w:rPr>
          <w:rFonts w:ascii="Times New Roman" w:eastAsia="仿宋_GB2312"/>
          <w:b w:val="0"/>
          <w:sz w:val="30"/>
          <w:szCs w:val="30"/>
        </w:rPr>
        <w:t>%；比2023年增加384,347.98元，增长24.644%。主要原因是：2023年部分物业费等办公经费因拨付时间问题，由2024年办公经费承付 。</w:t>
      </w:r>
    </w:p>
    <w:p w14:paraId="441C9DC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4FDCE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天津市东丽区人力资源和社会保障局2024年政府采购支出总额2,455,168.22元，其中：政府采购货物支出0.00元、政府采购工程支出0.00元、政府采购服务支出2,455,168.22元。</w:t>
      </w:r>
    </w:p>
    <w:p w14:paraId="322F10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2,455,168.22元，占政府采购支出总额的100.000%，其中：授予小微企业合同金额2,455,168.22元，占政府采购支出总额的100.000%；货物采购授予中小企业合同金额占货物支出金额的0.000%；工程采购授予中小企业合同金额占工程支出金额的0.000%；服务采购授予中小企业合同金额占服务支出金额的100.000%。</w:t>
      </w:r>
    </w:p>
    <w:p w14:paraId="0D01641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0257C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截至2024年12月31日，天津市东丽区人力资源和社会保障局共有车辆2辆，其中：执法执勤用车1辆、其他用车1辆，其他用车主要包括综合保障用车。单价100万元以上的设备0台（套）。</w:t>
      </w:r>
    </w:p>
    <w:p w14:paraId="4BB5F50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347056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根据预算绩效管理要求，天津市人力资源和社会保障局已对34个2024年度项目开展绩效自评，涉及金额</w:t>
      </w:r>
      <w:r>
        <w:rPr>
          <w:rFonts w:hint="eastAsia" w:ascii="Times New Roman" w:eastAsia="仿宋_GB2312"/>
          <w:b w:val="0"/>
          <w:sz w:val="30"/>
          <w:szCs w:val="30"/>
          <w:lang w:val="en-US" w:eastAsia="zh-CN"/>
        </w:rPr>
        <w:t>62,482,116.78元</w:t>
      </w:r>
      <w:r>
        <w:rPr>
          <w:rFonts w:ascii="Times New Roman" w:eastAsia="仿宋_GB2312"/>
          <w:b w:val="0"/>
          <w:sz w:val="30"/>
          <w:szCs w:val="30"/>
        </w:rPr>
        <w:t>，自评结果已随部门决算一并公开。本部门2024年度未开展部门评价。</w:t>
      </w:r>
    </w:p>
    <w:p w14:paraId="70BB410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bookmarkStart w:id="0" w:name="_GoBack"/>
      <w:bookmarkEnd w:id="0"/>
    </w:p>
    <w:p w14:paraId="1D3730C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天津市东丽区人力资源和社会保障局不属于乡、镇、街级单位，不涉及公开2024年教育、医疗卫生、社会保障和就业、住房保障、涉农补贴等民生支出情况。</w:t>
      </w:r>
    </w:p>
    <w:p w14:paraId="766D86E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5F7AD1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5967C3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085B8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9F96212-AB3E-4F95-A0FE-BFC745FA8326}"/>
  </w:font>
  <w:font w:name="黑体">
    <w:panose1 w:val="02010609060101010101"/>
    <w:charset w:val="86"/>
    <w:family w:val="auto"/>
    <w:pitch w:val="default"/>
    <w:sig w:usb0="800002BF" w:usb1="38CF7CFA" w:usb2="00000016" w:usb3="00000000" w:csb0="00040001" w:csb1="00000000"/>
    <w:embedRegular r:id="rId2" w:fontKey="{D1804F55-EDF8-4A2E-A0C3-0123823871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5D1441E-C24B-4819-A4E2-04E97240DB5C}"/>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A6A9A577-6FFE-41DB-926C-A454235F7453}"/>
  </w:font>
  <w:font w:name="仿宋_GB2312">
    <w:altName w:val="仿宋"/>
    <w:panose1 w:val="00000000000000000000"/>
    <w:charset w:val="00"/>
    <w:family w:val="auto"/>
    <w:pitch w:val="default"/>
    <w:sig w:usb0="00000000" w:usb1="00000000" w:usb2="00000000" w:usb3="00000000" w:csb0="00000000" w:csb1="00000000"/>
    <w:embedRegular r:id="rId5" w:fontKey="{AC54B89C-F160-45F0-A53F-7A5DD2F74007}"/>
  </w:font>
  <w:font w:name="宋体-简">
    <w:altName w:val="宋体"/>
    <w:panose1 w:val="02010800040101010101"/>
    <w:charset w:val="86"/>
    <w:family w:val="auto"/>
    <w:pitch w:val="default"/>
    <w:sig w:usb0="00000000" w:usb1="00000000" w:usb2="00000000" w:usb3="00000000" w:csb0="00040000" w:csb1="00000000"/>
    <w:embedRegular r:id="rId6" w:fontKey="{1DC2C022-9A29-48A0-A22E-8BD128DF3B90}"/>
  </w:font>
  <w:font w:name="楷体">
    <w:panose1 w:val="02010609060101010101"/>
    <w:charset w:val="86"/>
    <w:family w:val="auto"/>
    <w:pitch w:val="default"/>
    <w:sig w:usb0="800002BF" w:usb1="38CF7CFA" w:usb2="00000016" w:usb3="00000000" w:csb0="00040001" w:csb1="00000000"/>
    <w:embedRegular r:id="rId7" w:fontKey="{C39F7EA6-59A5-40E0-95C7-45A27B82B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B61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6D37">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2AA5AB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DDF4C4A"/>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2D86CAE"/>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365CD"/>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A470FC"/>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41</Pages>
  <Words>1836</Words>
  <Characters>2028</Characters>
  <Lines>86</Lines>
  <Paragraphs>24</Paragraphs>
  <TotalTime>1</TotalTime>
  <ScaleCrop>false</ScaleCrop>
  <LinksUpToDate>false</LinksUpToDate>
  <CharactersWithSpaces>2080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Schatz</cp:lastModifiedBy>
  <cp:lastPrinted>2023-08-07T01:00:00Z</cp:lastPrinted>
  <dcterms:modified xsi:type="dcterms:W3CDTF">2025-09-24T07:49:10Z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eyJoZGlkIjoiNjVlZWIxYzdjZjI5MGRkNDk0M2ViYWFjYTI3ZmQ1OGEiLCJ1c2VySWQiOiIyNzA0OTEwMTUifQ==</vt:lpwstr>
  </property>
</Properties>
</file>