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7E6043FA">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天津市东丽区劳动人事争议仲裁院</w:t>
      </w:r>
    </w:p>
    <w:p w14:paraId="6796C844">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1ED7F3D0">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646F1C72">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36C1AD2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0683CAD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191F8CBB">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29001C3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06A3F8F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7DA40A7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7403753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75FC193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1B58138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65DBB6D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47BAF23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3B30B8C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2FE1CAA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71A598F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2135158E">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77C717F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013C853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5503A7D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2032E47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1009472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4F22331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6BCF675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0C59E27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2C27E5C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1B4F9D4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713A1B1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11F7024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2DB4B20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43EEE43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6FFE6AE5">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460B7F88">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02FEC119">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70C33CC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充分发挥仲裁职能作用，推进新时代和谐劳动关系创建，积极创建市级、区级和谐劳动关系企业；推动劳资双方建立良好关系，营造稳定社会环境。</w:t>
      </w:r>
    </w:p>
    <w:p w14:paraId="30CB8AE3">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天津市东丽区劳动人事争议仲裁院内设1个职能部门；下辖0个预算单位。纳入天津市东丽区劳动人事争议仲裁院2024年度部门决算编制范围的单位包括：</w:t>
      </w:r>
    </w:p>
    <w:p w14:paraId="31E482A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25D50C5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1.​天津市东丽区劳动人事争议仲裁院</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386E7D98">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部门（单位）：天津市东丽区劳动人事争议仲裁院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2,006,868.15</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1,453,783.55</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107,307.32</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56.26</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450,620.00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2,006,924.41</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2,011,710.87</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33,326.31</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28,539.85</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33,326.31</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2,040,250.72</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2,040,250.72</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部门（单位）：天津市东丽区劳动人事争议仲裁院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2,006,924.41</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2,006,868.15</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56.26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1,452,214.58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1,452,158.32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56.26</w:t>
            </w:r>
          </w:p>
        </w:tc>
      </w:tr>
      <w:tr w14:paraId="3395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E2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2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人力资源和社会保障管理事务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97A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1,240,664.23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22E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1,240,607.97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61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D61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AB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C6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0D0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38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56.26</w:t>
            </w:r>
          </w:p>
        </w:tc>
      </w:tr>
      <w:tr w14:paraId="25F9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6D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1DA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劳动人事争议调解仲裁</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2F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1,240,664.23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9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1,240,607.97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EB2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89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8CC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16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204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3CE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56.26</w:t>
            </w:r>
          </w:p>
        </w:tc>
      </w:tr>
      <w:tr w14:paraId="64D06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94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22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2B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211,550.35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4B6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211,550.35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EBC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01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55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80D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2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03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48AF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A2B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E1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3A3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139,467.84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819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139,467.84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0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0F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08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244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D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DE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D3E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D0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28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5A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72,082.51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B8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72,082.51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8F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6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8B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0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A3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AD3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BAA1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E73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55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C7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104,089.83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C5E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104,089.83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3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F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63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6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DEE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39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EA4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C6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3D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F9F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104,089.83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231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104,089.83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203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62F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26C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45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42D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72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A40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E0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1E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FAC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87,167.40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0FD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87,167.40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AA2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5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1F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6B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4C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0EA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CB9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37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1A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7E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16,922.43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D8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16,922.43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55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87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2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0B0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62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61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0D3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251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B8C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821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450,620.00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BE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450,620.00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87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9A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F4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FFC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E9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AA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D133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50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B0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E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450,620.00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209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450,620.00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AD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CE1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A9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811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40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80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A65B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71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288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788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450,620.00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F6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450,620.00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5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47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BB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23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7C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D5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部门（单位）：天津市东丽区劳动人事争议仲裁院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2,040,250.72</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2,006,924.41</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2,006,868.15</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56.26</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33,326.31</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33,326.31</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33,326.31</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353301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天津市东丽区劳动人事争议仲裁院</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2,040,250.72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2,006,924.41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2,006,868.15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56.26</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33,326.31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33,326.31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33,326.31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部门（单位）：天津市东丽区劳动人事争议仲裁院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2,011,710.87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2,011,710.87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1,453,783.55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1,453,783.55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D4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C76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0A6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人力资源和社会保障管理事务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7F8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1,236,752.31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B77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1,236,752.31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6D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1E0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852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6FB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36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602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D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劳动人事争议调解仲裁</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D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1,236,752.31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0B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1,236,752.31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38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A0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6C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4EA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D3A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C1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6C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4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217,031.24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09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217,031.24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39D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D7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77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BD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9BD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74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B7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775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144,164.93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504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144,164.93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FD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42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03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69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FA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AFE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D4B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EFD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72,866.31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596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72,866.31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180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83E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8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E2E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EF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62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87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EF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107,307.32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C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107,307.32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E2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2D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D5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79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742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D9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43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4AA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107,307.32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FC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107,307.32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DD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C3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AC3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5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88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0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E4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BEB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89,286.76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6A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89,286.76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F6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6D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E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A24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D5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B07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E9A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C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18,020.56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F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18,020.56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ED5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BA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42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4F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1DD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7B9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228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5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450,620.00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22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450,620.00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7B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160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D9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9E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86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77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CF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70E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450,620.00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C5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450,620.00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E8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9F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381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E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AF2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D7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77E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F9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450,620.00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53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450,620.00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387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A79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B7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1E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部门（单位）：天津市东丽区劳动人事争议仲裁院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2,006,868.15</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1,453,783.55</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1,453,783.55</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107,307.32</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107,307.32</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450,620.00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450,620.00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2,006,868.15</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2,011,710.87</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2,011,710.87</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33,326.31</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28,483.59</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28,483.59</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33,326.31</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2,040,194.46</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2,040,194.46</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2,040,194.46</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天津市东丽区劳动人事争议仲裁院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2,011,710.87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2,011,710.87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1,830,578.10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181,132.77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1,453,783.55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1,453,783.55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1,272,650.78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181,132.77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4B2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A7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88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人力资源和社会保障管理事务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1FC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1,236,752.31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86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1,236,752.31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904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1,055,619.54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D6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181,132.77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334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BB7D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91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F10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劳动人事争议调解仲裁</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96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1,236,752.31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78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1,236,752.31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64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1,055,619.54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9F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181,132.77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06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23D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445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C6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4C8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217,031.24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A42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217,031.24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61B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217,031.24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A47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708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6DA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8B9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F2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12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144,164.93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1B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144,164.93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FB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144,164.93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3DC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02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2D7E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85D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AE9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6AD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72,866.31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CE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72,866.31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081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72,866.31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F3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66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6271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B4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F53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AF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107,307.32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94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107,307.32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C07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107,307.32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4E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AA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1BE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207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2E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53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107,307.32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A7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107,307.32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35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107,307.32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1B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31C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D07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49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7E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0B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89,286.76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333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89,286.76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AB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89,286.76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104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0A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A35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1B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332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54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18,020.56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EF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18,020.56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1E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18,020.56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8A2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868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B29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636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46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98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450,620.00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7CE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450,620.00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6C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450,620.00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C7E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B29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7D2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FF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0C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6B9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450,620.00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C9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450,620.00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2A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450,620.00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875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0C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7B31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A25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CE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F49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450,620.00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35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450,620.00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43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450,620.00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A2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17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部门（单位）：天津市东丽区劳动人事争议仲裁院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1,830,578.10</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181,132.77</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314,445.50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12,453.07</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443,074.80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296,297.00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144,164.93</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72,866.31</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8,166.00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89,286.76</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18,020.56</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1,802.24</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450,620.00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14,334.20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5,920.00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65,255.00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1,830,578.10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181,132.77</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天津市东丽区劳动人事争议仲裁院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3730B88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天津市东丽区劳动人事争议仲裁院2024年政府性基金预算财政拨款收入支出决算表为空表。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天津市东丽区劳动人事争议仲裁院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0D0314D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天津市东丽区劳动人事争议仲裁院2024年国有资本经营预算财政拨款收入支出决算表为空表。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部门（单位）：天津市东丽区劳动人事争议仲裁院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12A0319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天津市东丽区劳动人事争议仲裁院2024年财政拨款“三公”经费支出决算表为空表。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部门（单位）：天津市东丽区劳动人事争议仲裁院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7878DBDB">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天津市东丽区劳动人事争议仲裁院2024年项目支出决算表为空表。</w:t>
      </w:r>
    </w:p>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2866B836">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2F2B828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05DD3DC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天津市东丽区劳动人事争议仲裁院2024年度收入、支出决算总计2,040,250.72元。与2023年度相比，收、支总计各增加518,830.25元，增长34.102%，主要原因是本单位人员增加。</w:t>
      </w:r>
    </w:p>
    <w:p w14:paraId="6CF781C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收入包括：一般公共预算财政拨款收入2,006,868.15元、其他收入56.26元。</w:t>
      </w:r>
    </w:p>
    <w:p w14:paraId="3CD6E06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支出包括：社会保障和就业支出1,453,783.55元、卫生健康支出107,307.32元、住房保障支出450,620.00元。</w:t>
      </w:r>
    </w:p>
    <w:p w14:paraId="2A15EC9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615B803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天津市东丽区劳动人事争议仲裁院2024年度本年收入合计2,006,924.41元，与2023年度相比增加518,528.26元，主要原因是本单位人员增加。其中：</w:t>
      </w:r>
    </w:p>
    <w:p w14:paraId="7D87C26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一般公共预算财政拨款收入2,006,868.15元，占99.997%；其他收入56.26元，占0.003%。</w:t>
      </w:r>
    </w:p>
    <w:p w14:paraId="30CCAB6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36187DC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天津市东丽区劳动人事争议仲裁院2024年度本年支出合计2,011,710.87元，与2023年度相比增加524,042.72元，主要原因是本单位人员增加。其中：</w:t>
      </w:r>
    </w:p>
    <w:p w14:paraId="1C1722A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基本支出2,011,710.87元，占100.000%。</w:t>
      </w:r>
    </w:p>
    <w:p w14:paraId="6284FE5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74606C8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天津市东丽区劳动人事争议仲裁院2024年度财政拨款收入、支出决算总计2,040,194.46元。与2023年度相比，财政拨款收、支总计各增加519,200.00元，增长34.136%，主要原因是本单位人员增加。</w:t>
      </w:r>
    </w:p>
    <w:p w14:paraId="2F108712">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收入包括：一般公共预算财政拨款2,006,868.15元、年初财政拨款结转和结余33,326.31元。</w:t>
      </w:r>
    </w:p>
    <w:p w14:paraId="6357833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支出包括：社会保障和就业支出1,453,783.55元、卫生健康支出107,307.32元、住房保障支出450,620.00元。</w:t>
      </w:r>
    </w:p>
    <w:p w14:paraId="0C50826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69EBD9D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733C8F6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劳动人事争议仲裁院2024年度部门决算一般公共预算财政拨款支出合计2,011,710.87元，占本年支出合计的100.000%。与2023年度相比，一般公共预算财政拨款支出增加524,042.72元，增长35.226%，主要原因是本单位人员增加。</w:t>
      </w:r>
    </w:p>
    <w:p w14:paraId="61173DB3">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4CBFD13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2024年度一般公共预算财政拨款支出2,011,710.87元，主要用于以下方面：社会保障和就业支出（类）1,453,783.55元，占72.266%；卫生健康支出（类）107,307.32元，占5.334%；住房保障支出（类）450,620.00元，占22.400%。</w:t>
      </w:r>
    </w:p>
    <w:p w14:paraId="278E10D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304B91C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2024年度一般公共预算财政拨款支出年初预算为1,880,800.00元，支出决算为2,011,710.87元，完成年初预算的106.960%。其中：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社会保障和就业支出(类)人力资源和社会保障管理事务(款)劳动人事争议调解仲裁(项)年初预算为1,130,700.00元，支出决算为1,236,752.31元，完成年初预算的109.379%，决算数大于年初预算数的主要原因是：本单位人员增加。</w:t>
      </w:r>
    </w:p>
    <w:p w14:paraId="33C626E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基本养老保险缴费支出(项)年初预算为139,500.00元，支出决算为144,164.93元，完成年初预算的103.344%，决算数大于年初预算数的主要原因是：本单位人员增加。</w:t>
      </w:r>
    </w:p>
    <w:p w14:paraId="5D44EDD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行政事业单位养老支出(款)机关事业单位职业年金缴费支出(项)年初预算为69,700.00元，支出决算为72,866.31元，完成年初预算的104.543%，决算数大于年初预算数的主要原因是：本单位人员增加。</w:t>
      </w:r>
    </w:p>
    <w:p w14:paraId="1889CC7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4.​卫生健康支出(类)行政事业单位医疗(款)行政单位医疗(项)年初预算为87,200.00元，支出决算为89,286.76元，完成年初预算的102.393%，决算数大于年初预算数的主要原因是：本单位人员增加。</w:t>
      </w:r>
    </w:p>
    <w:p w14:paraId="533CCE8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5.​卫生健康支出(类)行政事业单位医疗(款)公务员医疗补助(项)年初预算为17,400.00元，支出决算为18,020.56元，完成年初预算的103.566%，决算数大于年初预算数的主要原因是：本单位人员增加。</w:t>
      </w:r>
    </w:p>
    <w:p w14:paraId="1FE3E7C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6.​住房保障支出(类)住房改革支出(款)住房公积金(项)年初预算为436,300.00元，支出决算为450,620.00元，完成年初预算的103.282%，决算数大于年初预算数的主要原因是：本单位人员增加。</w:t>
      </w:r>
    </w:p>
    <w:p w14:paraId="699C815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5E0CF64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天津市东丽区劳动人事争议仲裁院2024年度部门决算一般公共预算财政拨款基本支出合计2,011,710.87元，与2023年度相比增加524,042.72元，主要原因是本单位人员增加。其中：</w:t>
      </w:r>
    </w:p>
    <w:p w14:paraId="28141C3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人员经费1,830,578.10元，主要包括基本工资、津贴补贴、奖金、机关事业单位基本养老保险缴费、职业年金缴费、职工基本医疗保险缴费、公务员医疗补助缴费、其他社会保障缴费和住房公积金。</w:t>
      </w:r>
    </w:p>
    <w:p w14:paraId="788F164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公用经费181,132.77元，主要包括办公费、手续费、电费、邮电费、工会经费、福利费、其他交通费用和其他商品和服务支出。</w:t>
      </w:r>
    </w:p>
    <w:p w14:paraId="1AA8170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34868D8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天津市东丽区劳动人事争议仲裁院2024年度无政府性基金预算财政拨款收入、支出和结转结余。</w:t>
      </w:r>
    </w:p>
    <w:p w14:paraId="096E021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558E05F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天津市东丽区劳动人事争议仲裁院2024年度无国有资本经营预算财政拨款收入、支出和结转结余。</w:t>
      </w:r>
    </w:p>
    <w:p w14:paraId="705521C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291997BE">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5B6F9F5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1F0DC501">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61094E3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63C3237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6DB8538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7331B12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389D0C0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13F0599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1E5CFA3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099DC2A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375FCAF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26D1D79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6B26DD1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劳动人事争议仲裁院2024年度机关运行经费年初预算196,835.89元，决算数181,132.77元，与年初预算相比减少15,703.12元，完成年初预算的92.022%；比2023年增加90,588.88元，增长100.050%。主要原因是：厉行节约，压减机关运行经费；本单位人员增加，较上年支出增加 。</w:t>
      </w:r>
    </w:p>
    <w:p w14:paraId="07800C4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6056CDE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天津市东丽区劳动人事争议仲裁院2024年度无政府采购支出。</w:t>
      </w:r>
    </w:p>
    <w:p w14:paraId="474976A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2A5AB86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天津市东丽区劳动人事争议仲裁院2024年度无国有资产占有使用情况。</w:t>
      </w:r>
    </w:p>
    <w:p w14:paraId="1F7A605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6C1DEF42">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天津市东丽区劳动人事争议仲裁院2024年度没有项目支出，无需开展绩效自评。</w:t>
      </w:r>
    </w:p>
    <w:p w14:paraId="37A2C99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76C5877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天津市东丽区劳动人事争议仲裁院不属于乡、镇、街级单位，不涉及公开2024年度教育、医疗卫生、社会保障和就业</w:t>
      </w:r>
      <w:r>
        <w:rPr>
          <w:rFonts w:hint="eastAsia" w:ascii="Times New Roman" w:eastAsia="仿宋_GB2312"/>
          <w:b w:val="0"/>
          <w:sz w:val="30"/>
          <w:szCs w:val="30"/>
          <w:lang w:eastAsia="zh-CN"/>
        </w:rPr>
        <w:t>、</w:t>
      </w:r>
      <w:bookmarkStart w:id="0" w:name="_GoBack"/>
      <w:bookmarkEnd w:id="0"/>
      <w:r>
        <w:rPr>
          <w:rFonts w:ascii="Times New Roman" w:eastAsia="仿宋_GB2312"/>
          <w:b w:val="0"/>
          <w:sz w:val="30"/>
          <w:szCs w:val="30"/>
        </w:rPr>
        <w:t>住房保障、涉农补贴等民生支出情况。</w:t>
      </w:r>
    </w:p>
    <w:p w14:paraId="7B1831DD">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302DE42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45A720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C3FEFD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9917DBF-0039-422C-AECF-78E6952D0A55}"/>
  </w:font>
  <w:font w:name="黑体">
    <w:panose1 w:val="02010609060101010101"/>
    <w:charset w:val="86"/>
    <w:family w:val="auto"/>
    <w:pitch w:val="default"/>
    <w:sig w:usb0="800002BF" w:usb1="38CF7CFA" w:usb2="00000016" w:usb3="00000000" w:csb0="00040001" w:csb1="00000000"/>
    <w:embedRegular r:id="rId2" w:fontKey="{B3722F42-52A9-4A96-B2AF-D503D1667A1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4C6AE65E-B39D-4E6A-8D92-BFEEF12F080C}"/>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5E87A6C6-CDC6-4D7B-A426-B2BD3CDDF20E}"/>
  </w:font>
  <w:font w:name="仿宋_GB2312">
    <w:altName w:val="仿宋"/>
    <w:panose1 w:val="00000000000000000000"/>
    <w:charset w:val="00"/>
    <w:family w:val="auto"/>
    <w:pitch w:val="default"/>
    <w:sig w:usb0="00000000" w:usb1="00000000" w:usb2="00000000" w:usb3="00000000" w:csb0="00000000" w:csb1="00000000"/>
    <w:embedRegular r:id="rId5" w:fontKey="{D6460066-D574-4ABA-975E-C73E67EBF465}"/>
  </w:font>
  <w:font w:name="宋体-简">
    <w:altName w:val="宋体"/>
    <w:panose1 w:val="02010800040101010101"/>
    <w:charset w:val="86"/>
    <w:family w:val="auto"/>
    <w:pitch w:val="default"/>
    <w:sig w:usb0="00000000" w:usb1="00000000" w:usb2="00000000" w:usb3="00000000" w:csb0="00040000" w:csb1="00000000"/>
    <w:embedRegular r:id="rId6" w:fontKey="{18C82457-A63B-4B2E-95BB-B476B6DE42CE}"/>
  </w:font>
  <w:font w:name="楷体">
    <w:panose1 w:val="02010609060101010101"/>
    <w:charset w:val="86"/>
    <w:family w:val="auto"/>
    <w:pitch w:val="default"/>
    <w:sig w:usb0="800002BF" w:usb1="38CF7CFA" w:usb2="00000016" w:usb3="00000000" w:csb0="00040001" w:csb1="00000000"/>
    <w:embedRegular r:id="rId7" w:fontKey="{1844A298-D286-46CD-BDCB-2AE2F275F9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786E2">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786E2">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29381E"/>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32</Pages>
  <Words>1181</Words>
  <Characters>1310</Characters>
  <Lines>86</Lines>
  <Paragraphs>24</Paragraphs>
  <TotalTime>11</TotalTime>
  <ScaleCrop>false</ScaleCrop>
  <LinksUpToDate>false</LinksUpToDate>
  <CharactersWithSpaces>1354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Schatz</cp:lastModifiedBy>
  <cp:lastPrinted>2023-08-07T01:00:00Z</cp:lastPrinted>
  <dcterms:modified xsi:type="dcterms:W3CDTF">2025-09-24T07:16:08Z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eyJoZGlkIjoiNjVlZWIxYzdjZjI5MGRkNDk0M2ViYWFjYTI3ZmQ1OGEiLCJ1c2VySWQiOiIyNzA0OTEwMTUifQ==</vt:lpwstr>
  </property>
</Properties>
</file>