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137CC61C">
      <w:pPr>
        <w:spacing w:line="600" w:lineRule="auto"/>
        <w:jc w:val="both"/>
        <w:rPr>
          <w:rFonts w:hint="eastAsia" w:asciiTheme="minorEastAsia" w:hAnsiTheme="minorEastAsia" w:eastAsiaTheme="minorEastAsia" w:cstheme="minorEastAsia"/>
          <w:b w:val="false"/>
          <w:bCs w:val="false"/>
          <w:color w:val="000000"/>
          <w:sz w:val="22"/>
          <w:szCs w:val="22"/>
        </w:rPr>
      </w:pPr>
    </w:p>
    <w:p w14:paraId="7898C273">
      <w:pPr>
        <w:spacing w:line="600" w:lineRule="auto"/>
        <w:jc w:val="both"/>
        <w:rPr>
          <w:rFonts w:hint="eastAsia" w:asciiTheme="minorEastAsia" w:hAnsiTheme="minorEastAsia" w:eastAsiaTheme="minorEastAsia" w:cstheme="minorEastAsia"/>
          <w:b w:val="false"/>
          <w:bCs w:val="false"/>
          <w:color w:val="000000"/>
          <w:sz w:val="22"/>
          <w:szCs w:val="22"/>
        </w:rPr>
      </w:pPr>
    </w:p>
    <w:p w14:paraId="681CA751">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天津市东丽区市场监督管理局</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E8343E3">
      <w:pPr>
        <w:spacing w:line="600" w:lineRule="auto"/>
        <w:jc w:val="both"/>
        <w:rPr>
          <w:rFonts w:hint="eastAsia" w:asciiTheme="minorEastAsia" w:hAnsiTheme="minorEastAsia" w:eastAsiaTheme="minorEastAsia" w:cstheme="minorEastAsia"/>
          <w:b w:val="false"/>
          <w:bCs w:val="false"/>
          <w:color w:val="000000"/>
          <w:sz w:val="22"/>
          <w:szCs w:val="22"/>
        </w:rPr>
      </w:pPr>
    </w:p>
    <w:p w14:paraId="780B717B">
      <w:pPr>
        <w:spacing w:line="600" w:lineRule="auto"/>
        <w:jc w:val="both"/>
        <w:rPr>
          <w:rFonts w:hint="eastAsia" w:asciiTheme="minorEastAsia" w:hAnsiTheme="minorEastAsia" w:eastAsiaTheme="minorEastAsia" w:cstheme="minorEastAsia"/>
          <w:b w:val="false"/>
          <w:bCs w:val="false"/>
          <w:color w:val="000000"/>
          <w:sz w:val="22"/>
          <w:szCs w:val="22"/>
        </w:rPr>
      </w:pPr>
    </w:p>
    <w:p w14:paraId="2AFBAD51">
      <w:pPr>
        <w:spacing w:line="600" w:lineRule="auto"/>
        <w:jc w:val="both"/>
        <w:rPr>
          <w:rFonts w:hint="eastAsia" w:asciiTheme="minorEastAsia" w:hAnsiTheme="minorEastAsia" w:eastAsiaTheme="minorEastAsia" w:cstheme="minorEastAsia"/>
          <w:b w:val="false"/>
          <w:bCs w:val="false"/>
          <w:color w:val="000000"/>
          <w:sz w:val="22"/>
          <w:szCs w:val="22"/>
        </w:rPr>
      </w:pPr>
    </w:p>
    <w:p w14:paraId="77694AE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DCF2C9">
      <w:pPr>
        <w:rPr>
          <w:rFonts w:hint="eastAsia" w:asciiTheme="minorEastAsia" w:hAnsiTheme="minorEastAsia" w:eastAsiaTheme="minorEastAsia" w:cstheme="minorEastAsia"/>
          <w:b w:val="false"/>
          <w:bCs w:val="false"/>
          <w:sz w:val="22"/>
          <w:szCs w:val="22"/>
          <w:highlight w:val="yellow"/>
        </w:rPr>
      </w:pPr>
    </w:p>
    <w:p w14:paraId="5C75F115">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5B6C4D1B">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14:paraId="63AA7961">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一）负责市场综合监督管理。贯彻执行市场监督管理、药品、医疗器械和化妆品监管以及知识产权方面法律、法规、规章和政策、标准，组织实施质量强国战略、国家知识产权战略、质量立市战略和食品安全战略、标准化战略，拟订并组织实施有关市场监管、药品、医疗器械和化妆品监管以及知识产权规划、计划，规范和维护市场秩序，营造诚实守信、公平竞争的市场环境。</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二）负责本区市场主体统一登记注册。负责本区各类企业、农民专业合作社和从事经营活动的单位、个体工商户，以及外国（地区）企业常驻代表机构等市场主体的登记注册、行政许可和监督管理工作。负责本区法人和其他组织统一社会信用代码相关工作。建立市场主体信息公示和共享机制，依法公示和共享有关信息，加强信用监管，推动市场主体信用体系建设。</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（三）负责药品零售、医疗器械经营的许可、检查和处罚，以及化妆品经营和药品、医疗器械使用环节质量的检查和处罚。</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（四）负责组织实施和指导本区市场监管综合执法工作。负责区市场监管综合执法队伍建设，推动实行统一的市场监管。组织查处重大违法案件。规范市场监管行政执法行为。</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五）负责监督管理市场秩序。依法监督管理市场交易、网络商品交易及有关服务的行为。依法实施合同、拍卖行为监督管理，管理动产抵押物登记工作。负责依法对价格活动进行监督检查，规范市场价格秩序。对违反价格管理的违法违规行为进行处罚。处理价格举报和投诉。贯彻落实公平竞争审查制度。组织指导查处不正当竞争、违法直销、传销、侵犯商标专利知识产权和制售假冒伪劣行为。指导广告业发展，监督管理广告活动。组织查处无照生产经营和相关无证生产经营行为。</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六）负责消费者维权工作。组织开展本行政区域内商品和相关服务领域消费维权工作，负责查处侵害消费者权益违法行为，依法处置产品质量投诉举报，承担消费者咨询、投诉、举报的受理处理和网络体系建设等工作。承担消费教育引导，推动经营者自律。指导区消费者协会开展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（七）负责宏观质量管理。拟订并组织实施本区质量发展的制度措施。拟定并组织实施本区质量提升活动的制度措施。组织实施质量激励制度，推动品牌建设，推广先进质量管理方法，组织产品质量状况分析。</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八）负责产品、药品、医疗器械和化妆品质量安全监督管理。管理产品、药品、医疗器械和化妆品质量安全风险监控、监督抽检工作。组织实施质量分级制度、质量安全追溯制度。负责工业产品生产许可管理并实施监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（九）负责特种设备安全监督管理。综合管理特种设备安全监察、监督工作，监督检查高耗能特种设备节能标准的执行情况。</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十）负责食品安全监督管理综合协调。组织落实本市食品安全重大政策。负责食品安全应急体系建设，组织和指导重大食品安全事件应急处置和调查处理工作。建立健全食品安全重要信息直报制度。承担区食品安全委员会日常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十一）负责食品、药品、医疗器械和化妆品安全监督管理。建立本区覆盖食品、药品、医疗器械和化妆品生产（药品、医疗器械和化妆品除外）、流通、消费全过程的监督检查制度和隐患排查治理机制并组织实施，防范区域性、系统性安全风险。推动建立生产经营者落实主体责任的机制，健全食品、药品、医疗器械和化妆品安全追溯体系。组织开展食品、药品、医疗器械和化妆品安全监督抽检、风险监测、检查处置工作，定期发布相关信息。组织实施特殊食品、药品、医疗器械和化妆品备案和监督管理。负责食盐生产及经营的质量安全监督管理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十二）负责统一管理计量工作。推行法定计量单位和国家计量制度，执行地方计量检定规程和计量技术规范，依法管理计量器具及量值传递和比对工作，规范、监督商品量和市场计量行为。依法负责查处计量违法行为。</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十三）负责统一管理标准化工作。负责组织国家标准、行业标准和地方标准的贯彻和实施。实行团体标准、企业标准自我声明公开和监督制度。积极推动企业参与国际标准、国家标准、行业标准和地方标准的制修订。组织开展标准示范试点工作。负责组织协调商品条码工作。配合有关部门实施国家基本药物制度。</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（十四）负责本区检验检测机构资质监督管理工作。组织推进检验检测机构改革，规范检验检测市场，完善检验检测体系，指导协调本区检验检测行业发展。</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（十五）负责统一管理、监督和综合协调全区认证认可工作。负责组织实施认证认可监督管理工作。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十六）负责制定市场监督管理的科技发展和信息化建设规划并组织实施。负责本区市场监督管理、药品、医疗器械、化妆品和知识产权相关的新闻宣传、教育培训、对外合作交流和信息发布工作。按规定承担技术性贸易措施有关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（十七）负责本领域安全生产监督管理工作。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（十八）负责本领域人才队伍建设。</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（十九）配合有关部门推动招商引资工作。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（二十）承办区委、区政府交办的其他事项。</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1CC64F29">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天津市东丽区市场监督管理局</w:t>
      </w:r>
      <w:r>
        <w:rPr>
          <w:rFonts w:ascii="Times New Roman" w:eastAsia="仿宋_GB2312"/>
          <w:b w:val="false"/>
          <w:sz w:val="30"/>
          <w:szCs w:val="30"/>
        </w:rPr>
        <w:t>内设</w:t>
      </w:r>
      <w:r>
        <w:rPr>
          <w:rFonts w:ascii="Times New Roman" w:eastAsia="仿宋_GB2312"/>
          <w:b w:val="false"/>
          <w:sz w:val="30"/>
          <w:szCs w:val="30"/>
        </w:rPr>
        <w:t>21</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天津市东丽区市场监督管理局</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14:paraId="3B0EA3E3">
      <w:pPr>
        <w:rPr>
          <w:rFonts w:hint="eastAsia" w:asciiTheme="minorEastAsia" w:hAnsiTheme="minorEastAsia" w:eastAsiaTheme="minorEastAsia" w:cstheme="minorEastAsia"/>
          <w:b w:val="false"/>
          <w:bCs w:val="false"/>
          <w:i w:val="false"/>
          <w:iCs w:val="false"/>
          <w:caps w:val="false"/>
          <w:color w:val="000000"/>
          <w:spacing w:val="0"/>
          <w:sz w:val="22"/>
          <w:szCs w:val="22"/>
          <w:highlight w:val="none"/>
          <w:shd w:val="clear" w:fill="FFFFFF"/>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61B831D0">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7691D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670B879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部门（单位）：天津市东丽区市场监督管理局 </w:t>
            </w:r>
          </w:p>
        </w:tc>
        <w:tc>
          <w:tcPr>
            <w:tcW w:w="1087" w:type="pct"/>
            <w:tcBorders>
              <w:top w:val="nil"/>
              <w:left w:val="nil"/>
              <w:bottom w:val="nil"/>
              <w:right w:val="nil"/>
            </w:tcBorders>
            <w:shd w:val="clear" w:color="auto" w:fill="auto"/>
            <w:noWrap/>
            <w:vAlign w:val="bottom"/>
          </w:tcPr>
          <w:p w14:paraId="42CBBD39">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5DE87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0B1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35141BB3">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7E71B71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51BDB986">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0DAF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E4C2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06B31A86">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7642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7B75BD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67C25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DE1E4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606F60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70,669,749.02</w:t>
            </w:r>
          </w:p>
        </w:tc>
        <w:tc>
          <w:tcPr>
            <w:tcW w:w="1285" w:type="pct"/>
            <w:tcBorders>
              <w:top w:val="nil"/>
              <w:left w:val="nil"/>
              <w:bottom w:val="single" w:color="000000" w:sz="4" w:space="0"/>
              <w:right w:val="single" w:color="000000" w:sz="4" w:space="0"/>
            </w:tcBorders>
            <w:shd w:val="clear" w:color="auto" w:fill="auto"/>
            <w:noWrap/>
            <w:vAlign w:val="center"/>
          </w:tcPr>
          <w:p w14:paraId="312546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47B0E7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46,899,007.20</w:t>
            </w:r>
          </w:p>
        </w:tc>
      </w:tr>
      <w:tr w14:paraId="3DDE1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4E3E3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3D27D0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D4E148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73A756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3C8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D718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4E73118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4B4390C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20A80C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8CF9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9E4BD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7460EE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1EA16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504D78D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BAE4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6859E4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5A9DC0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4BB93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41488E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6BC1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586804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0940CA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336,212.11</w:t>
            </w:r>
          </w:p>
        </w:tc>
        <w:tc>
          <w:tcPr>
            <w:tcW w:w="1285" w:type="pct"/>
            <w:tcBorders>
              <w:top w:val="nil"/>
              <w:left w:val="nil"/>
              <w:bottom w:val="single" w:color="000000" w:sz="4" w:space="0"/>
              <w:right w:val="single" w:color="000000" w:sz="4" w:space="0"/>
            </w:tcBorders>
            <w:shd w:val="clear" w:color="auto" w:fill="auto"/>
            <w:noWrap/>
            <w:vAlign w:val="center"/>
          </w:tcPr>
          <w:p w14:paraId="42B761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4C8560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6,329,615.11</w:t>
            </w:r>
          </w:p>
        </w:tc>
      </w:tr>
      <w:tr w14:paraId="44C36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401AE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1150F2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42E7892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5958D3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3,140,499.05</w:t>
            </w:r>
          </w:p>
        </w:tc>
      </w:tr>
      <w:tr w14:paraId="17526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3162E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D46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2CE2E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73ECC9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D85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6190B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224ABF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18,406.45</w:t>
            </w:r>
          </w:p>
        </w:tc>
        <w:tc>
          <w:tcPr>
            <w:tcW w:w="1285" w:type="pct"/>
            <w:tcBorders>
              <w:top w:val="nil"/>
              <w:left w:val="nil"/>
              <w:bottom w:val="single" w:color="000000" w:sz="4" w:space="0"/>
              <w:right w:val="single" w:color="000000" w:sz="4" w:space="0"/>
            </w:tcBorders>
            <w:shd w:val="clear" w:color="auto" w:fill="auto"/>
            <w:noWrap/>
            <w:vAlign w:val="center"/>
          </w:tcPr>
          <w:p w14:paraId="0175CA1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71B776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224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15A86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91CEF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0707C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6A8856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DE4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0D1ED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64591F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71A012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50EFD99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9266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6B24E1D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084D6F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CD7868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00274E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1B86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90923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C5FA13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17A164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00D6F1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B282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F5789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53ACF5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C6A76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14967F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D4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A5C80E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1B2D2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D621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0D7187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DF15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600E3BD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400706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5EB7B0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31F129E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250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DE49E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BDAFB0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75E95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3C931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13,873,845.00</w:t>
            </w:r>
          </w:p>
        </w:tc>
      </w:tr>
      <w:tr w14:paraId="61B1B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7880E6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6A4EE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D373E2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8ED1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B4C7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338C43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F93769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CD52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1EC8C02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0370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32EE66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4985C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5220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279273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57AF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61425CF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57B01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8B53A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7C674A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22E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4F47F4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6DB884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50C83C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1A1C5F4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FDEA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A998E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3E8F85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9AC77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7E226E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BFDF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E5623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6AC720D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71,024,367.58</w:t>
            </w:r>
          </w:p>
        </w:tc>
        <w:tc>
          <w:tcPr>
            <w:tcW w:w="1285" w:type="pct"/>
            <w:tcBorders>
              <w:top w:val="nil"/>
              <w:left w:val="nil"/>
              <w:bottom w:val="single" w:color="000000" w:sz="4" w:space="0"/>
              <w:right w:val="single" w:color="000000" w:sz="4" w:space="0"/>
            </w:tcBorders>
            <w:shd w:val="clear" w:color="auto" w:fill="auto"/>
            <w:noWrap/>
            <w:vAlign w:val="center"/>
          </w:tcPr>
          <w:p w14:paraId="69019EC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3D7489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70,242,966.36</w:t>
            </w:r>
          </w:p>
        </w:tc>
      </w:tr>
      <w:tr w14:paraId="3803D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4FAEC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19114E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B02429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9EC60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16,171.76</w:t>
            </w:r>
          </w:p>
        </w:tc>
      </w:tr>
      <w:tr w14:paraId="734EB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2FB98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41241A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-1,041,353.68</w:t>
            </w:r>
          </w:p>
        </w:tc>
        <w:tc>
          <w:tcPr>
            <w:tcW w:w="1285" w:type="pct"/>
            <w:tcBorders>
              <w:top w:val="nil"/>
              <w:left w:val="nil"/>
              <w:bottom w:val="single" w:color="000000" w:sz="4" w:space="0"/>
              <w:right w:val="single" w:color="000000" w:sz="4" w:space="0"/>
            </w:tcBorders>
            <w:shd w:val="clear" w:color="auto" w:fill="auto"/>
            <w:noWrap/>
            <w:vAlign w:val="center"/>
          </w:tcPr>
          <w:p w14:paraId="0B62BDE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08F20F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-276,124.22</w:t>
            </w:r>
          </w:p>
        </w:tc>
      </w:tr>
      <w:tr w14:paraId="6F654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19037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11D2F7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3,928.71</w:t>
            </w:r>
          </w:p>
        </w:tc>
        <w:tc>
          <w:tcPr>
            <w:tcW w:w="1285" w:type="pct"/>
            <w:tcBorders>
              <w:top w:val="nil"/>
              <w:left w:val="nil"/>
              <w:bottom w:val="single" w:color="000000" w:sz="4" w:space="0"/>
              <w:right w:val="single" w:color="000000" w:sz="4" w:space="0"/>
            </w:tcBorders>
            <w:shd w:val="clear" w:color="auto" w:fill="auto"/>
            <w:noWrap/>
            <w:vAlign w:val="center"/>
          </w:tcPr>
          <w:p w14:paraId="288B330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EAF0154">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57100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C94EAB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65FB52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-1,045,282.39</w:t>
            </w:r>
          </w:p>
        </w:tc>
        <w:tc>
          <w:tcPr>
            <w:tcW w:w="1285" w:type="pct"/>
            <w:tcBorders>
              <w:top w:val="nil"/>
              <w:left w:val="nil"/>
              <w:bottom w:val="single" w:color="000000" w:sz="4" w:space="0"/>
              <w:right w:val="single" w:color="000000" w:sz="4" w:space="0"/>
            </w:tcBorders>
            <w:shd w:val="clear" w:color="auto" w:fill="auto"/>
            <w:noWrap/>
            <w:vAlign w:val="center"/>
          </w:tcPr>
          <w:p w14:paraId="7430CA8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12695391">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8EBE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8C18E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375A1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69,983,013.90</w:t>
            </w:r>
          </w:p>
        </w:tc>
        <w:tc>
          <w:tcPr>
            <w:tcW w:w="1285" w:type="pct"/>
            <w:tcBorders>
              <w:top w:val="nil"/>
              <w:left w:val="nil"/>
              <w:bottom w:val="single" w:color="000000" w:sz="4" w:space="0"/>
              <w:right w:val="single" w:color="000000" w:sz="4" w:space="0"/>
            </w:tcBorders>
            <w:shd w:val="clear" w:color="auto" w:fill="auto"/>
            <w:noWrap/>
            <w:vAlign w:val="center"/>
          </w:tcPr>
          <w:p w14:paraId="00BB081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1D5F50A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69,983,013.90</w:t>
            </w:r>
          </w:p>
        </w:tc>
      </w:tr>
      <w:tr w14:paraId="25D31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3EFE23E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54B1397A">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393FCCC9">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4"/>
        <w:gridCol w:w="3031"/>
        <w:gridCol w:w="1263"/>
        <w:gridCol w:w="1137"/>
        <w:gridCol w:w="1231"/>
        <w:gridCol w:w="1108"/>
        <w:gridCol w:w="1183"/>
        <w:gridCol w:w="1154"/>
        <w:gridCol w:w="1246"/>
        <w:gridCol w:w="1234"/>
      </w:tblGrid>
      <w:tr w14:paraId="6770A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559" w:type="pct"/>
            <w:gridSpan w:val="9"/>
            <w:tcBorders>
              <w:top w:val="nil"/>
              <w:left w:val="nil"/>
              <w:bottom w:val="nil"/>
              <w:right w:val="nil"/>
            </w:tcBorders>
            <w:shd w:val="clear" w:color="auto" w:fill="auto"/>
            <w:noWrap/>
            <w:vAlign w:val="bottom"/>
          </w:tcPr>
          <w:p w14:paraId="0C447D3E">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部门（单位）：天津市东丽区市场监督管理局 </w:t>
            </w:r>
          </w:p>
        </w:tc>
        <w:tc>
          <w:tcPr>
            <w:tcW w:w="440" w:type="pct"/>
            <w:tcBorders>
              <w:top w:val="nil"/>
              <w:left w:val="nil"/>
              <w:bottom w:val="nil"/>
              <w:right w:val="nil"/>
            </w:tcBorders>
            <w:shd w:val="clear" w:color="auto" w:fill="auto"/>
            <w:noWrap/>
            <w:vAlign w:val="bottom"/>
          </w:tcPr>
          <w:p w14:paraId="05A18C42">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463A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372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50" w:type="pct"/>
            <w:vMerge w:val="restart"/>
            <w:tcBorders>
              <w:top w:val="single" w:color="000000" w:sz="4" w:space="0"/>
              <w:left w:val="nil"/>
              <w:bottom w:val="single" w:color="000000" w:sz="4" w:space="0"/>
              <w:right w:val="single" w:color="000000" w:sz="4" w:space="0"/>
            </w:tcBorders>
            <w:shd w:val="clear" w:color="auto" w:fill="auto"/>
            <w:noWrap/>
            <w:vAlign w:val="center"/>
          </w:tcPr>
          <w:p w14:paraId="66687146">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06"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DC4E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0A03E7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19" w:type="pct"/>
            <w:gridSpan w:val="2"/>
            <w:tcBorders>
              <w:top w:val="single" w:color="000000" w:sz="4" w:space="0"/>
              <w:left w:val="nil"/>
              <w:bottom w:val="single" w:color="000000" w:sz="4" w:space="0"/>
              <w:right w:val="single" w:color="000000" w:sz="4" w:space="0"/>
            </w:tcBorders>
            <w:shd w:val="clear" w:color="auto" w:fill="auto"/>
            <w:noWrap/>
            <w:vAlign w:val="center"/>
          </w:tcPr>
          <w:p w14:paraId="19C1D94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12" w:type="pct"/>
            <w:vMerge w:val="restart"/>
            <w:tcBorders>
              <w:top w:val="single" w:color="000000" w:sz="4" w:space="0"/>
              <w:left w:val="nil"/>
              <w:bottom w:val="single" w:color="000000" w:sz="4" w:space="0"/>
              <w:right w:val="single" w:color="000000" w:sz="4" w:space="0"/>
            </w:tcBorders>
            <w:shd w:val="clear" w:color="auto" w:fill="auto"/>
            <w:noWrap/>
            <w:vAlign w:val="center"/>
          </w:tcPr>
          <w:p w14:paraId="68B9F6B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29482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40" w:type="pct"/>
            <w:vMerge w:val="restart"/>
            <w:tcBorders>
              <w:top w:val="single" w:color="000000" w:sz="4" w:space="0"/>
              <w:left w:val="nil"/>
              <w:bottom w:val="single" w:color="000000" w:sz="4" w:space="0"/>
              <w:right w:val="single" w:color="000000" w:sz="4" w:space="0"/>
            </w:tcBorders>
            <w:shd w:val="clear" w:color="auto" w:fill="auto"/>
            <w:noWrap/>
            <w:vAlign w:val="center"/>
          </w:tcPr>
          <w:p w14:paraId="294ABF1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0187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1" w:type="pct"/>
            <w:tcBorders>
              <w:top w:val="nil"/>
              <w:left w:val="single" w:color="000000" w:sz="4" w:space="0"/>
              <w:bottom w:val="single" w:color="000000" w:sz="4" w:space="0"/>
              <w:right w:val="single" w:color="000000" w:sz="4" w:space="0"/>
            </w:tcBorders>
            <w:shd w:val="clear" w:color="auto" w:fill="auto"/>
            <w:noWrap/>
            <w:vAlign w:val="center"/>
          </w:tcPr>
          <w:p w14:paraId="3D67748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83" w:type="pct"/>
            <w:tcBorders>
              <w:top w:val="nil"/>
              <w:left w:val="nil"/>
              <w:bottom w:val="single" w:color="000000" w:sz="4" w:space="0"/>
              <w:right w:val="single" w:color="000000" w:sz="4" w:space="0"/>
            </w:tcBorders>
            <w:shd w:val="clear" w:color="auto" w:fill="auto"/>
            <w:noWrap/>
            <w:vAlign w:val="center"/>
          </w:tcPr>
          <w:p w14:paraId="4C6B2E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50"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870096C">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0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B042DA">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DF21969">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395" w:type="pct"/>
            <w:tcBorders>
              <w:top w:val="nil"/>
              <w:left w:val="nil"/>
              <w:bottom w:val="single" w:color="000000" w:sz="4" w:space="0"/>
              <w:right w:val="single" w:color="000000" w:sz="4" w:space="0"/>
            </w:tcBorders>
            <w:shd w:val="clear" w:color="auto" w:fill="auto"/>
            <w:noWrap/>
            <w:vAlign w:val="center"/>
          </w:tcPr>
          <w:p w14:paraId="7BE43C7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23" w:type="pct"/>
            <w:tcBorders>
              <w:top w:val="nil"/>
              <w:left w:val="nil"/>
              <w:bottom w:val="single" w:color="000000" w:sz="4" w:space="0"/>
              <w:right w:val="single" w:color="000000" w:sz="4" w:space="0"/>
            </w:tcBorders>
            <w:shd w:val="clear" w:color="auto" w:fill="auto"/>
            <w:noWrap/>
            <w:vAlign w:val="center"/>
          </w:tcPr>
          <w:p w14:paraId="7ED20C8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1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28FBB90">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AE4573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0"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2A687B2">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C729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584" w:type="pct"/>
            <w:gridSpan w:val="2"/>
            <w:tcBorders>
              <w:top w:val="nil"/>
              <w:left w:val="single" w:color="000000" w:sz="4" w:space="0"/>
              <w:bottom w:val="nil"/>
              <w:right w:val="single" w:color="000000" w:sz="4" w:space="0"/>
            </w:tcBorders>
            <w:shd w:val="clear" w:color="auto" w:fill="auto"/>
            <w:vAlign w:val="center"/>
          </w:tcPr>
          <w:p w14:paraId="384AF44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50" w:type="pct"/>
            <w:tcBorders>
              <w:top w:val="nil"/>
              <w:left w:val="nil"/>
              <w:bottom w:val="nil"/>
              <w:right w:val="single" w:color="000000" w:sz="4" w:space="0"/>
            </w:tcBorders>
            <w:shd w:val="clear" w:color="auto" w:fill="auto"/>
            <w:vAlign w:val="center"/>
          </w:tcPr>
          <w:p w14:paraId="0AE0202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71,024,367.58</w:t>
            </w:r>
          </w:p>
        </w:tc>
        <w:tc>
          <w:tcPr>
            <w:tcW w:w="406" w:type="pct"/>
            <w:tcBorders>
              <w:top w:val="nil"/>
              <w:left w:val="nil"/>
              <w:bottom w:val="nil"/>
              <w:right w:val="single" w:color="000000" w:sz="4" w:space="0"/>
            </w:tcBorders>
            <w:shd w:val="clear" w:color="auto" w:fill="auto"/>
            <w:vAlign w:val="center"/>
          </w:tcPr>
          <w:p w14:paraId="3E4A0D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70,669,749.02</w:t>
            </w:r>
          </w:p>
        </w:tc>
        <w:tc>
          <w:tcPr>
            <w:tcW w:w="439" w:type="pct"/>
            <w:tcBorders>
              <w:top w:val="nil"/>
              <w:left w:val="nil"/>
              <w:bottom w:val="nil"/>
              <w:right w:val="single" w:color="000000" w:sz="4" w:space="0"/>
            </w:tcBorders>
            <w:shd w:val="clear" w:color="auto" w:fill="auto"/>
            <w:vAlign w:val="center"/>
          </w:tcPr>
          <w:p w14:paraId="5FCA221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395" w:type="pct"/>
            <w:tcBorders>
              <w:top w:val="nil"/>
              <w:left w:val="nil"/>
              <w:bottom w:val="nil"/>
              <w:right w:val="single" w:color="000000" w:sz="4" w:space="0"/>
            </w:tcBorders>
            <w:shd w:val="clear" w:color="auto" w:fill="auto"/>
            <w:vAlign w:val="center"/>
          </w:tcPr>
          <w:p w14:paraId="3D300AA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23" w:type="pct"/>
            <w:tcBorders>
              <w:top w:val="nil"/>
              <w:left w:val="nil"/>
              <w:bottom w:val="nil"/>
              <w:right w:val="single" w:color="000000" w:sz="4" w:space="0"/>
            </w:tcBorders>
            <w:shd w:val="clear" w:color="auto" w:fill="auto"/>
            <w:vAlign w:val="center"/>
          </w:tcPr>
          <w:p w14:paraId="2C5CF68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2" w:type="pct"/>
            <w:tcBorders>
              <w:top w:val="nil"/>
              <w:left w:val="nil"/>
              <w:bottom w:val="nil"/>
              <w:right w:val="single" w:color="000000" w:sz="4" w:space="0"/>
            </w:tcBorders>
            <w:shd w:val="clear" w:color="auto" w:fill="auto"/>
            <w:vAlign w:val="center"/>
          </w:tcPr>
          <w:p w14:paraId="662D94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336,212.11</w:t>
            </w:r>
          </w:p>
        </w:tc>
        <w:tc>
          <w:tcPr>
            <w:tcW w:w="445" w:type="pct"/>
            <w:tcBorders>
              <w:top w:val="nil"/>
              <w:left w:val="nil"/>
              <w:bottom w:val="nil"/>
              <w:right w:val="single" w:color="000000" w:sz="4" w:space="0"/>
            </w:tcBorders>
            <w:shd w:val="clear" w:color="auto" w:fill="auto"/>
            <w:vAlign w:val="center"/>
          </w:tcPr>
          <w:p w14:paraId="37C8FF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0" w:type="pct"/>
            <w:tcBorders>
              <w:top w:val="nil"/>
              <w:left w:val="nil"/>
              <w:bottom w:val="nil"/>
              <w:right w:val="single" w:color="000000" w:sz="4" w:space="0"/>
            </w:tcBorders>
            <w:shd w:val="clear" w:color="auto" w:fill="auto"/>
            <w:vAlign w:val="center"/>
          </w:tcPr>
          <w:p w14:paraId="0517E9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18,406.45</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一般公共服务支出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47,088,306.62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46,733,688.06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336,212.11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18,406.45</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20114</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知识产权事务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480,000.00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480,000.00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2011499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其他知识产权事务支出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480,000.00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480,000.00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20138</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市场监督管理事务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46,608,306.62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46,253,688.06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336,212.11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18,406.45</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2013801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行政运行</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35,238,536.59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35,236,301.90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2,234.69</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2013802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一般行政管理事务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2,004,788.36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2,004,788.36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2013812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药品事务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237,000.00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237,000.00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2013815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质量安全监管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440,000.00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440,000.00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2013816</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食品安全监管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1,949,374.20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1,949,374.20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2013850</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事业运行</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5,530,952.63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5,178,568.76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336,212.11</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16,171.76</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2013899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其他市场监督管理事务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1,207,654.84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1,207,654.84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社会保障和就业支出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6,558,351.72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6,558,351.72</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6,558,351.72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6,558,351.72</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4,372,234.48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4,372,234.48</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2,186,117.24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2,186,117.24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3,178,347.24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3,178,347.24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3,178,347.24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3,178,347.24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行政单位医疗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2,318,494.32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2,318,494.32</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404,412.94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404,412.94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2101103</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公务员医疗补助</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455,439.98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455,439.98</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14,199,362.00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14,199,362.00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14,199,362.00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14,199,362.00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14,199,362.00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14,199,362.00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DA83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55C802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7D8021E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84CD77A">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853"/>
        <w:gridCol w:w="573"/>
        <w:gridCol w:w="627"/>
        <w:gridCol w:w="627"/>
        <w:gridCol w:w="600"/>
        <w:gridCol w:w="640"/>
        <w:gridCol w:w="666"/>
        <w:gridCol w:w="654"/>
        <w:gridCol w:w="671"/>
        <w:gridCol w:w="723"/>
        <w:gridCol w:w="723"/>
        <w:gridCol w:w="661"/>
        <w:gridCol w:w="708"/>
        <w:gridCol w:w="662"/>
        <w:gridCol w:w="753"/>
        <w:gridCol w:w="739"/>
        <w:gridCol w:w="708"/>
        <w:gridCol w:w="630"/>
        <w:gridCol w:w="619"/>
        <w:gridCol w:w="639"/>
      </w:tblGrid>
      <w:tr w14:paraId="737DC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056" w:type="pct"/>
            <w:gridSpan w:val="9"/>
            <w:tcBorders>
              <w:top w:val="nil"/>
              <w:left w:val="nil"/>
              <w:bottom w:val="nil"/>
              <w:right w:val="nil"/>
            </w:tcBorders>
            <w:shd w:val="clear" w:color="auto" w:fill="auto"/>
            <w:noWrap/>
            <w:vAlign w:val="bottom"/>
          </w:tcPr>
          <w:p w14:paraId="2B59D19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部门（单位）：天津市东丽区市场监督管理局 </w:t>
            </w:r>
          </w:p>
        </w:tc>
        <w:tc>
          <w:tcPr>
            <w:tcW w:w="239" w:type="pct"/>
            <w:tcBorders>
              <w:top w:val="nil"/>
              <w:left w:val="nil"/>
              <w:bottom w:val="nil"/>
              <w:right w:val="nil"/>
            </w:tcBorders>
            <w:shd w:val="clear" w:color="auto" w:fill="auto"/>
            <w:noWrap/>
            <w:vAlign w:val="bottom"/>
          </w:tcPr>
          <w:p w14:paraId="3F3B932F">
            <w:pPr>
              <w:rPr>
                <w:rFonts w:hint="eastAsia" w:asciiTheme="minorEastAsia" w:hAnsiTheme="minorEastAsia" w:eastAsiaTheme="minorEastAsia" w:cstheme="minorEastAsia"/>
                <w:b w:val="false"/>
                <w:bCs w:val="false"/>
                <w:i w:val="false"/>
                <w:iCs w:val="false"/>
                <w:color w:val="000000"/>
                <w:sz w:val="18"/>
                <w:szCs w:val="18"/>
                <w:u w:val="none"/>
              </w:rPr>
            </w:pPr>
          </w:p>
        </w:tc>
        <w:tc>
          <w:tcPr>
            <w:tcW w:w="258" w:type="pct"/>
            <w:tcBorders>
              <w:top w:val="nil"/>
              <w:left w:val="nil"/>
              <w:bottom w:val="nil"/>
              <w:right w:val="nil"/>
            </w:tcBorders>
            <w:shd w:val="clear" w:color="auto" w:fill="auto"/>
            <w:noWrap/>
            <w:vAlign w:val="bottom"/>
          </w:tcPr>
          <w:p w14:paraId="21653340">
            <w:pPr>
              <w:rPr>
                <w:rFonts w:hint="eastAsia" w:asciiTheme="minorEastAsia" w:hAnsiTheme="minorEastAsia" w:eastAsiaTheme="minorEastAsia" w:cstheme="minorEastAsia"/>
                <w:b w:val="false"/>
                <w:bCs w:val="false"/>
                <w:i w:val="false"/>
                <w:iCs w:val="false"/>
                <w:color w:val="000000"/>
                <w:sz w:val="18"/>
                <w:szCs w:val="18"/>
                <w:u w:val="none"/>
              </w:rPr>
            </w:pPr>
          </w:p>
        </w:tc>
        <w:tc>
          <w:tcPr>
            <w:tcW w:w="258" w:type="pct"/>
            <w:tcBorders>
              <w:top w:val="nil"/>
              <w:left w:val="nil"/>
              <w:bottom w:val="nil"/>
              <w:right w:val="nil"/>
            </w:tcBorders>
            <w:shd w:val="clear" w:color="auto" w:fill="auto"/>
            <w:noWrap/>
            <w:vAlign w:val="bottom"/>
          </w:tcPr>
          <w:p w14:paraId="414732BF">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4DD5F2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53" w:type="pct"/>
            <w:tcBorders>
              <w:top w:val="nil"/>
              <w:left w:val="nil"/>
              <w:bottom w:val="nil"/>
              <w:right w:val="nil"/>
            </w:tcBorders>
            <w:shd w:val="clear" w:color="auto" w:fill="auto"/>
            <w:noWrap/>
            <w:vAlign w:val="bottom"/>
          </w:tcPr>
          <w:p w14:paraId="7026AFE1">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5A51352E">
            <w:pPr>
              <w:rPr>
                <w:rFonts w:hint="eastAsia" w:asciiTheme="minorEastAsia" w:hAnsiTheme="minorEastAsia" w:eastAsiaTheme="minorEastAsia" w:cstheme="minorEastAsia"/>
                <w:b w:val="false"/>
                <w:bCs w:val="false"/>
                <w:i w:val="false"/>
                <w:iCs w:val="false"/>
                <w:color w:val="000000"/>
                <w:sz w:val="18"/>
                <w:szCs w:val="18"/>
                <w:u w:val="none"/>
              </w:rPr>
            </w:pPr>
          </w:p>
        </w:tc>
        <w:tc>
          <w:tcPr>
            <w:tcW w:w="269" w:type="pct"/>
            <w:tcBorders>
              <w:top w:val="nil"/>
              <w:left w:val="nil"/>
              <w:bottom w:val="nil"/>
              <w:right w:val="nil"/>
            </w:tcBorders>
            <w:shd w:val="clear" w:color="auto" w:fill="auto"/>
            <w:noWrap/>
            <w:vAlign w:val="bottom"/>
          </w:tcPr>
          <w:p w14:paraId="14CC72ED">
            <w:pPr>
              <w:rPr>
                <w:rFonts w:hint="eastAsia" w:asciiTheme="minorEastAsia" w:hAnsiTheme="minorEastAsia" w:eastAsiaTheme="minorEastAsia" w:cstheme="minorEastAsia"/>
                <w:b w:val="false"/>
                <w:bCs w:val="false"/>
                <w:i w:val="false"/>
                <w:iCs w:val="false"/>
                <w:color w:val="000000"/>
                <w:sz w:val="18"/>
                <w:szCs w:val="18"/>
                <w:u w:val="none"/>
              </w:rPr>
            </w:pPr>
          </w:p>
        </w:tc>
        <w:tc>
          <w:tcPr>
            <w:tcW w:w="264" w:type="pct"/>
            <w:tcBorders>
              <w:top w:val="nil"/>
              <w:left w:val="nil"/>
              <w:bottom w:val="nil"/>
              <w:right w:val="nil"/>
            </w:tcBorders>
            <w:shd w:val="clear" w:color="auto" w:fill="auto"/>
            <w:noWrap/>
            <w:vAlign w:val="bottom"/>
          </w:tcPr>
          <w:p w14:paraId="56613E5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3" w:type="pct"/>
            <w:tcBorders>
              <w:top w:val="nil"/>
              <w:left w:val="nil"/>
              <w:bottom w:val="nil"/>
              <w:right w:val="nil"/>
            </w:tcBorders>
            <w:shd w:val="clear" w:color="auto" w:fill="auto"/>
            <w:noWrap/>
            <w:vAlign w:val="bottom"/>
          </w:tcPr>
          <w:p w14:paraId="0C27CB36">
            <w:pPr>
              <w:rPr>
                <w:rFonts w:hint="eastAsia" w:asciiTheme="minorEastAsia" w:hAnsiTheme="minorEastAsia" w:eastAsiaTheme="minorEastAsia" w:cstheme="minorEastAsia"/>
                <w:b w:val="false"/>
                <w:bCs w:val="false"/>
                <w:i w:val="false"/>
                <w:iCs w:val="false"/>
                <w:color w:val="000000"/>
                <w:sz w:val="18"/>
                <w:szCs w:val="18"/>
                <w:u w:val="none"/>
              </w:rPr>
            </w:pPr>
          </w:p>
        </w:tc>
        <w:tc>
          <w:tcPr>
            <w:tcW w:w="225" w:type="pct"/>
            <w:tcBorders>
              <w:top w:val="nil"/>
              <w:left w:val="nil"/>
              <w:bottom w:val="nil"/>
              <w:right w:val="nil"/>
            </w:tcBorders>
            <w:shd w:val="clear" w:color="auto" w:fill="auto"/>
            <w:noWrap/>
            <w:vAlign w:val="bottom"/>
          </w:tcPr>
          <w:p w14:paraId="7DDB07B8">
            <w:pPr>
              <w:rPr>
                <w:rFonts w:hint="eastAsia" w:asciiTheme="minorEastAsia" w:hAnsiTheme="minorEastAsia" w:eastAsiaTheme="minorEastAsia" w:cstheme="minorEastAsia"/>
                <w:b w:val="false"/>
                <w:bCs w:val="false"/>
                <w:i w:val="false"/>
                <w:iCs w:val="false"/>
                <w:color w:val="000000"/>
                <w:sz w:val="18"/>
                <w:szCs w:val="18"/>
                <w:u w:val="none"/>
              </w:rPr>
            </w:pPr>
          </w:p>
        </w:tc>
        <w:tc>
          <w:tcPr>
            <w:tcW w:w="449" w:type="pct"/>
            <w:gridSpan w:val="2"/>
            <w:tcBorders>
              <w:top w:val="nil"/>
              <w:left w:val="nil"/>
              <w:bottom w:val="nil"/>
              <w:right w:val="nil"/>
            </w:tcBorders>
            <w:shd w:val="clear" w:color="auto" w:fill="auto"/>
            <w:noWrap/>
            <w:vAlign w:val="bottom"/>
          </w:tcPr>
          <w:p w14:paraId="0587846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0EFAE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89D7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04" w:type="pct"/>
            <w:vMerge w:val="restart"/>
            <w:tcBorders>
              <w:top w:val="single" w:color="000000" w:sz="4" w:space="0"/>
              <w:left w:val="nil"/>
              <w:bottom w:val="single" w:color="000000" w:sz="4" w:space="0"/>
              <w:right w:val="single" w:color="000000" w:sz="4" w:space="0"/>
            </w:tcBorders>
            <w:shd w:val="clear" w:color="auto" w:fill="auto"/>
            <w:vAlign w:val="center"/>
          </w:tcPr>
          <w:p w14:paraId="7A517BA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204" w:type="pct"/>
            <w:vMerge w:val="restart"/>
            <w:tcBorders>
              <w:top w:val="single" w:color="000000" w:sz="4" w:space="0"/>
              <w:left w:val="nil"/>
              <w:bottom w:val="single" w:color="000000" w:sz="4" w:space="0"/>
              <w:right w:val="single" w:color="000000" w:sz="4" w:space="0"/>
            </w:tcBorders>
            <w:shd w:val="clear" w:color="auto" w:fill="auto"/>
            <w:vAlign w:val="center"/>
          </w:tcPr>
          <w:p w14:paraId="77FE56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55" w:type="pct"/>
            <w:gridSpan w:val="10"/>
            <w:tcBorders>
              <w:top w:val="single" w:color="000000" w:sz="4" w:space="0"/>
              <w:left w:val="nil"/>
              <w:bottom w:val="single" w:color="000000" w:sz="4" w:space="0"/>
              <w:right w:val="single" w:color="000000" w:sz="4" w:space="0"/>
            </w:tcBorders>
            <w:shd w:val="clear" w:color="auto" w:fill="auto"/>
            <w:vAlign w:val="center"/>
          </w:tcPr>
          <w:p w14:paraId="3BADED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50" w:type="pct"/>
            <w:gridSpan w:val="8"/>
            <w:tcBorders>
              <w:top w:val="single" w:color="000000" w:sz="4" w:space="0"/>
              <w:left w:val="nil"/>
              <w:bottom w:val="single" w:color="000000" w:sz="4" w:space="0"/>
              <w:right w:val="single" w:color="000000" w:sz="4" w:space="0"/>
            </w:tcBorders>
            <w:shd w:val="clear" w:color="auto" w:fill="auto"/>
            <w:vAlign w:val="center"/>
          </w:tcPr>
          <w:p w14:paraId="5C8E87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48A82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C2D3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04" w:type="pct"/>
            <w:vMerge w:val="continue"/>
            <w:tcBorders>
              <w:top w:val="single" w:color="000000" w:sz="4" w:space="0"/>
              <w:left w:val="nil"/>
              <w:bottom w:val="single" w:color="000000" w:sz="4" w:space="0"/>
              <w:right w:val="single" w:color="000000" w:sz="4" w:space="0"/>
            </w:tcBorders>
            <w:shd w:val="clear" w:color="auto" w:fill="auto"/>
            <w:vAlign w:val="center"/>
          </w:tcPr>
          <w:p w14:paraId="6133FB51">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04" w:type="pct"/>
            <w:vMerge w:val="continue"/>
            <w:tcBorders>
              <w:top w:val="single" w:color="000000" w:sz="4" w:space="0"/>
              <w:left w:val="nil"/>
              <w:bottom w:val="single" w:color="000000" w:sz="4" w:space="0"/>
              <w:right w:val="single" w:color="000000" w:sz="4" w:space="0"/>
            </w:tcBorders>
            <w:shd w:val="clear" w:color="auto" w:fill="auto"/>
            <w:vAlign w:val="center"/>
          </w:tcPr>
          <w:p w14:paraId="34F3A086">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4" w:type="pct"/>
            <w:vMerge w:val="restart"/>
            <w:tcBorders>
              <w:top w:val="nil"/>
              <w:left w:val="nil"/>
              <w:bottom w:val="single" w:color="000000" w:sz="4" w:space="0"/>
              <w:right w:val="single" w:color="000000" w:sz="4" w:space="0"/>
            </w:tcBorders>
            <w:shd w:val="clear" w:color="auto" w:fill="auto"/>
            <w:vAlign w:val="center"/>
          </w:tcPr>
          <w:p w14:paraId="7DA2D3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4" w:type="pct"/>
            <w:vMerge w:val="restart"/>
            <w:tcBorders>
              <w:top w:val="nil"/>
              <w:left w:val="nil"/>
              <w:bottom w:val="single" w:color="000000" w:sz="4" w:space="0"/>
              <w:right w:val="single" w:color="000000" w:sz="4" w:space="0"/>
            </w:tcBorders>
            <w:shd w:val="clear" w:color="auto" w:fill="auto"/>
            <w:vAlign w:val="center"/>
          </w:tcPr>
          <w:p w14:paraId="7015DE3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4" w:type="pct"/>
            <w:vMerge w:val="restart"/>
            <w:tcBorders>
              <w:top w:val="nil"/>
              <w:left w:val="nil"/>
              <w:bottom w:val="single" w:color="000000" w:sz="4" w:space="0"/>
              <w:right w:val="single" w:color="000000" w:sz="4" w:space="0"/>
            </w:tcBorders>
            <w:shd w:val="clear" w:color="auto" w:fill="auto"/>
            <w:vAlign w:val="center"/>
          </w:tcPr>
          <w:p w14:paraId="43DE0C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28" w:type="pct"/>
            <w:vMerge w:val="restart"/>
            <w:tcBorders>
              <w:top w:val="nil"/>
              <w:left w:val="nil"/>
              <w:bottom w:val="single" w:color="000000" w:sz="4" w:space="0"/>
              <w:right w:val="single" w:color="000000" w:sz="4" w:space="0"/>
            </w:tcBorders>
            <w:shd w:val="clear" w:color="auto" w:fill="auto"/>
            <w:vAlign w:val="center"/>
          </w:tcPr>
          <w:p w14:paraId="34DDAD7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国有资本经营预算算</w:t>
            </w:r>
          </w:p>
        </w:tc>
        <w:tc>
          <w:tcPr>
            <w:tcW w:w="237" w:type="pct"/>
            <w:vMerge w:val="restart"/>
            <w:tcBorders>
              <w:top w:val="nil"/>
              <w:left w:val="nil"/>
              <w:bottom w:val="single" w:color="000000" w:sz="4" w:space="0"/>
              <w:right w:val="single" w:color="000000" w:sz="4" w:space="0"/>
            </w:tcBorders>
            <w:shd w:val="clear" w:color="auto" w:fill="auto"/>
            <w:vAlign w:val="center"/>
          </w:tcPr>
          <w:p w14:paraId="4987B88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3" w:type="pct"/>
            <w:vMerge w:val="restart"/>
            <w:tcBorders>
              <w:top w:val="nil"/>
              <w:left w:val="nil"/>
              <w:bottom w:val="single" w:color="000000" w:sz="4" w:space="0"/>
              <w:right w:val="single" w:color="000000" w:sz="4" w:space="0"/>
            </w:tcBorders>
            <w:shd w:val="clear" w:color="auto" w:fill="auto"/>
            <w:vAlign w:val="center"/>
          </w:tcPr>
          <w:p w14:paraId="66A8BD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39" w:type="pct"/>
            <w:vMerge w:val="restart"/>
            <w:tcBorders>
              <w:top w:val="nil"/>
              <w:left w:val="nil"/>
              <w:bottom w:val="single" w:color="000000" w:sz="4" w:space="0"/>
              <w:right w:val="single" w:color="000000" w:sz="4" w:space="0"/>
            </w:tcBorders>
            <w:shd w:val="clear" w:color="auto" w:fill="auto"/>
            <w:vAlign w:val="center"/>
          </w:tcPr>
          <w:p w14:paraId="7FDA141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58" w:type="pct"/>
            <w:vMerge w:val="restart"/>
            <w:tcBorders>
              <w:top w:val="nil"/>
              <w:left w:val="nil"/>
              <w:bottom w:val="single" w:color="000000" w:sz="4" w:space="0"/>
              <w:right w:val="single" w:color="000000" w:sz="4" w:space="0"/>
            </w:tcBorders>
            <w:shd w:val="clear" w:color="auto" w:fill="auto"/>
            <w:vAlign w:val="center"/>
          </w:tcPr>
          <w:p w14:paraId="552A56B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58" w:type="pct"/>
            <w:vMerge w:val="restart"/>
            <w:tcBorders>
              <w:top w:val="nil"/>
              <w:left w:val="nil"/>
              <w:bottom w:val="single" w:color="000000" w:sz="4" w:space="0"/>
              <w:right w:val="single" w:color="000000" w:sz="4" w:space="0"/>
            </w:tcBorders>
            <w:shd w:val="clear" w:color="auto" w:fill="auto"/>
            <w:vAlign w:val="center"/>
          </w:tcPr>
          <w:p w14:paraId="7369806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2AD09CA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53" w:type="pct"/>
            <w:vMerge w:val="restart"/>
            <w:tcBorders>
              <w:top w:val="nil"/>
              <w:left w:val="nil"/>
              <w:bottom w:val="single" w:color="000000" w:sz="4" w:space="0"/>
              <w:right w:val="single" w:color="000000" w:sz="4" w:space="0"/>
            </w:tcBorders>
            <w:shd w:val="clear" w:color="auto" w:fill="auto"/>
            <w:vAlign w:val="center"/>
          </w:tcPr>
          <w:p w14:paraId="3D1B86E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22" w:type="pct"/>
            <w:gridSpan w:val="4"/>
            <w:tcBorders>
              <w:top w:val="nil"/>
              <w:left w:val="nil"/>
              <w:bottom w:val="single" w:color="000000" w:sz="4" w:space="0"/>
              <w:right w:val="single" w:color="000000" w:sz="4" w:space="0"/>
            </w:tcBorders>
            <w:shd w:val="clear" w:color="auto" w:fill="auto"/>
            <w:vAlign w:val="center"/>
          </w:tcPr>
          <w:p w14:paraId="38C2A71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74" w:type="pct"/>
            <w:gridSpan w:val="3"/>
            <w:tcBorders>
              <w:top w:val="nil"/>
              <w:left w:val="nil"/>
              <w:bottom w:val="single" w:color="000000" w:sz="4" w:space="0"/>
              <w:right w:val="single" w:color="000000" w:sz="4" w:space="0"/>
            </w:tcBorders>
            <w:shd w:val="clear" w:color="auto" w:fill="auto"/>
            <w:vAlign w:val="center"/>
          </w:tcPr>
          <w:p w14:paraId="788794C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162F8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2E804">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04" w:type="pct"/>
            <w:vMerge w:val="continue"/>
            <w:tcBorders>
              <w:top w:val="single" w:color="000000" w:sz="4" w:space="0"/>
              <w:left w:val="nil"/>
              <w:bottom w:val="single" w:color="000000" w:sz="4" w:space="0"/>
              <w:right w:val="single" w:color="000000" w:sz="4" w:space="0"/>
            </w:tcBorders>
            <w:shd w:val="clear" w:color="auto" w:fill="auto"/>
            <w:vAlign w:val="center"/>
          </w:tcPr>
          <w:p w14:paraId="78BF6F6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04" w:type="pct"/>
            <w:vMerge w:val="continue"/>
            <w:tcBorders>
              <w:top w:val="single" w:color="000000" w:sz="4" w:space="0"/>
              <w:left w:val="nil"/>
              <w:bottom w:val="single" w:color="000000" w:sz="4" w:space="0"/>
              <w:right w:val="single" w:color="000000" w:sz="4" w:space="0"/>
            </w:tcBorders>
            <w:shd w:val="clear" w:color="auto" w:fill="auto"/>
            <w:vAlign w:val="center"/>
          </w:tcPr>
          <w:p w14:paraId="371A8AD1">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4" w:type="pct"/>
            <w:vMerge w:val="continue"/>
            <w:tcBorders>
              <w:top w:val="nil"/>
              <w:left w:val="nil"/>
              <w:bottom w:val="single" w:color="000000" w:sz="4" w:space="0"/>
              <w:right w:val="single" w:color="000000" w:sz="4" w:space="0"/>
            </w:tcBorders>
            <w:shd w:val="clear" w:color="auto" w:fill="auto"/>
            <w:vAlign w:val="center"/>
          </w:tcPr>
          <w:p w14:paraId="00A70D2E">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4" w:type="pct"/>
            <w:vMerge w:val="continue"/>
            <w:tcBorders>
              <w:top w:val="nil"/>
              <w:left w:val="nil"/>
              <w:bottom w:val="single" w:color="000000" w:sz="4" w:space="0"/>
              <w:right w:val="single" w:color="000000" w:sz="4" w:space="0"/>
            </w:tcBorders>
            <w:shd w:val="clear" w:color="auto" w:fill="auto"/>
            <w:vAlign w:val="center"/>
          </w:tcPr>
          <w:p w14:paraId="28A210E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4" w:type="pct"/>
            <w:vMerge w:val="continue"/>
            <w:tcBorders>
              <w:top w:val="nil"/>
              <w:left w:val="nil"/>
              <w:bottom w:val="single" w:color="000000" w:sz="4" w:space="0"/>
              <w:right w:val="single" w:color="000000" w:sz="4" w:space="0"/>
            </w:tcBorders>
            <w:shd w:val="clear" w:color="auto" w:fill="auto"/>
            <w:vAlign w:val="center"/>
          </w:tcPr>
          <w:p w14:paraId="586B91F4">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8" w:type="pct"/>
            <w:vMerge w:val="continue"/>
            <w:tcBorders>
              <w:top w:val="nil"/>
              <w:left w:val="nil"/>
              <w:bottom w:val="single" w:color="000000" w:sz="4" w:space="0"/>
              <w:right w:val="single" w:color="000000" w:sz="4" w:space="0"/>
            </w:tcBorders>
            <w:shd w:val="clear" w:color="auto" w:fill="auto"/>
            <w:vAlign w:val="center"/>
          </w:tcPr>
          <w:p w14:paraId="559004E6">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7" w:type="pct"/>
            <w:vMerge w:val="continue"/>
            <w:tcBorders>
              <w:top w:val="nil"/>
              <w:left w:val="nil"/>
              <w:bottom w:val="single" w:color="000000" w:sz="4" w:space="0"/>
              <w:right w:val="single" w:color="000000" w:sz="4" w:space="0"/>
            </w:tcBorders>
            <w:shd w:val="clear" w:color="auto" w:fill="auto"/>
            <w:vAlign w:val="center"/>
          </w:tcPr>
          <w:p w14:paraId="029830E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3" w:type="pct"/>
            <w:vMerge w:val="continue"/>
            <w:tcBorders>
              <w:top w:val="nil"/>
              <w:left w:val="nil"/>
              <w:bottom w:val="single" w:color="000000" w:sz="4" w:space="0"/>
              <w:right w:val="single" w:color="000000" w:sz="4" w:space="0"/>
            </w:tcBorders>
            <w:shd w:val="clear" w:color="auto" w:fill="auto"/>
            <w:vAlign w:val="center"/>
          </w:tcPr>
          <w:p w14:paraId="6324CB8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9" w:type="pct"/>
            <w:vMerge w:val="continue"/>
            <w:tcBorders>
              <w:top w:val="nil"/>
              <w:left w:val="nil"/>
              <w:bottom w:val="single" w:color="000000" w:sz="4" w:space="0"/>
              <w:right w:val="single" w:color="000000" w:sz="4" w:space="0"/>
            </w:tcBorders>
            <w:shd w:val="clear" w:color="auto" w:fill="auto"/>
            <w:vAlign w:val="center"/>
          </w:tcPr>
          <w:p w14:paraId="7D039D7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8" w:type="pct"/>
            <w:vMerge w:val="continue"/>
            <w:tcBorders>
              <w:top w:val="nil"/>
              <w:left w:val="nil"/>
              <w:bottom w:val="single" w:color="000000" w:sz="4" w:space="0"/>
              <w:right w:val="single" w:color="000000" w:sz="4" w:space="0"/>
            </w:tcBorders>
            <w:shd w:val="clear" w:color="auto" w:fill="auto"/>
            <w:vAlign w:val="center"/>
          </w:tcPr>
          <w:p w14:paraId="1BD87325">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8" w:type="pct"/>
            <w:vMerge w:val="continue"/>
            <w:tcBorders>
              <w:top w:val="nil"/>
              <w:left w:val="nil"/>
              <w:bottom w:val="single" w:color="000000" w:sz="4" w:space="0"/>
              <w:right w:val="single" w:color="000000" w:sz="4" w:space="0"/>
            </w:tcBorders>
            <w:shd w:val="clear" w:color="auto" w:fill="auto"/>
            <w:vAlign w:val="center"/>
          </w:tcPr>
          <w:p w14:paraId="16F988B2">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3F6ABA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3" w:type="pct"/>
            <w:vMerge w:val="continue"/>
            <w:tcBorders>
              <w:top w:val="nil"/>
              <w:left w:val="nil"/>
              <w:bottom w:val="single" w:color="000000" w:sz="4" w:space="0"/>
              <w:right w:val="single" w:color="000000" w:sz="4" w:space="0"/>
            </w:tcBorders>
            <w:shd w:val="clear" w:color="auto" w:fill="auto"/>
            <w:vAlign w:val="center"/>
          </w:tcPr>
          <w:p w14:paraId="6BEA19B4">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tcBorders>
              <w:top w:val="nil"/>
              <w:left w:val="nil"/>
              <w:bottom w:val="single" w:color="000000" w:sz="4" w:space="0"/>
              <w:right w:val="single" w:color="000000" w:sz="4" w:space="0"/>
            </w:tcBorders>
            <w:shd w:val="clear" w:color="auto" w:fill="auto"/>
            <w:vAlign w:val="center"/>
          </w:tcPr>
          <w:p w14:paraId="286A22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69" w:type="pct"/>
            <w:tcBorders>
              <w:top w:val="nil"/>
              <w:left w:val="nil"/>
              <w:bottom w:val="single" w:color="000000" w:sz="4" w:space="0"/>
              <w:right w:val="single" w:color="000000" w:sz="4" w:space="0"/>
            </w:tcBorders>
            <w:shd w:val="clear" w:color="auto" w:fill="auto"/>
            <w:vAlign w:val="center"/>
          </w:tcPr>
          <w:p w14:paraId="1AFE76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64" w:type="pct"/>
            <w:tcBorders>
              <w:top w:val="nil"/>
              <w:left w:val="nil"/>
              <w:bottom w:val="single" w:color="000000" w:sz="4" w:space="0"/>
              <w:right w:val="single" w:color="000000" w:sz="4" w:space="0"/>
            </w:tcBorders>
            <w:shd w:val="clear" w:color="auto" w:fill="auto"/>
            <w:vAlign w:val="center"/>
          </w:tcPr>
          <w:p w14:paraId="49EDCAA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3" w:type="pct"/>
            <w:tcBorders>
              <w:top w:val="nil"/>
              <w:left w:val="nil"/>
              <w:bottom w:val="single" w:color="000000" w:sz="4" w:space="0"/>
              <w:right w:val="single" w:color="000000" w:sz="4" w:space="0"/>
            </w:tcBorders>
            <w:shd w:val="clear" w:color="auto" w:fill="auto"/>
            <w:vAlign w:val="center"/>
          </w:tcPr>
          <w:p w14:paraId="523D6AE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5" w:type="pct"/>
            <w:tcBorders>
              <w:top w:val="nil"/>
              <w:left w:val="nil"/>
              <w:bottom w:val="single" w:color="000000" w:sz="4" w:space="0"/>
              <w:right w:val="single" w:color="000000" w:sz="4" w:space="0"/>
            </w:tcBorders>
            <w:shd w:val="clear" w:color="auto" w:fill="auto"/>
            <w:vAlign w:val="center"/>
          </w:tcPr>
          <w:p w14:paraId="51543B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1" w:type="pct"/>
            <w:tcBorders>
              <w:top w:val="nil"/>
              <w:left w:val="nil"/>
              <w:bottom w:val="single" w:color="000000" w:sz="4" w:space="0"/>
              <w:right w:val="single" w:color="000000" w:sz="4" w:space="0"/>
            </w:tcBorders>
            <w:shd w:val="clear" w:color="auto" w:fill="auto"/>
            <w:vAlign w:val="center"/>
          </w:tcPr>
          <w:p w14:paraId="65561F0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34F9D6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2BD47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9" w:type="pct"/>
            <w:gridSpan w:val="2"/>
            <w:tcBorders>
              <w:top w:val="nil"/>
              <w:left w:val="single" w:color="000000" w:sz="4" w:space="0"/>
              <w:bottom w:val="single" w:color="000000" w:sz="4" w:space="0"/>
              <w:right w:val="single" w:color="000000" w:sz="4" w:space="0"/>
            </w:tcBorders>
            <w:shd w:val="clear" w:color="auto" w:fill="auto"/>
            <w:noWrap/>
            <w:vAlign w:val="center"/>
          </w:tcPr>
          <w:p w14:paraId="4D2209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573" w:type="dxa"/>
            <w:tcBorders>
              <w:top w:val="nil"/>
              <w:left w:val="nil"/>
              <w:bottom w:val="single" w:color="000000" w:sz="4" w:space="0"/>
              <w:right w:val="single" w:color="000000" w:sz="4" w:space="0"/>
            </w:tcBorders>
            <w:shd w:val="clear" w:color="auto" w:fill="auto"/>
            <w:noWrap/>
            <w:vAlign w:val="center"/>
          </w:tcPr>
          <w:p w14:paraId="475EA2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69,983,013.90</w:t>
            </w:r>
          </w:p>
        </w:tc>
        <w:tc>
          <w:tcPr>
            <w:tcW w:w="627" w:type="dxa"/>
            <w:tcBorders>
              <w:top w:val="nil"/>
              <w:left w:val="nil"/>
              <w:bottom w:val="single" w:color="000000" w:sz="4" w:space="0"/>
              <w:right w:val="single" w:color="000000" w:sz="4" w:space="0"/>
            </w:tcBorders>
            <w:shd w:val="clear" w:color="auto" w:fill="auto"/>
            <w:noWrap/>
            <w:vAlign w:val="center"/>
          </w:tcPr>
          <w:p w14:paraId="3D0AD7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71,024,367.58</w:t>
            </w:r>
          </w:p>
        </w:tc>
        <w:tc>
          <w:tcPr>
            <w:tcW w:w="627" w:type="dxa"/>
            <w:tcBorders>
              <w:top w:val="nil"/>
              <w:left w:val="nil"/>
              <w:bottom w:val="single" w:color="000000" w:sz="4" w:space="0"/>
              <w:right w:val="single" w:color="000000" w:sz="4" w:space="0"/>
            </w:tcBorders>
            <w:shd w:val="clear" w:color="auto" w:fill="auto"/>
            <w:noWrap/>
            <w:vAlign w:val="center"/>
          </w:tcPr>
          <w:p w14:paraId="02BA0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70,669,749.02</w:t>
            </w:r>
          </w:p>
        </w:tc>
        <w:tc>
          <w:tcPr>
            <w:tcW w:w="600" w:type="dxa"/>
            <w:tcBorders>
              <w:top w:val="nil"/>
              <w:left w:val="nil"/>
              <w:bottom w:val="single" w:color="000000" w:sz="4" w:space="0"/>
              <w:right w:val="single" w:color="000000" w:sz="4" w:space="0"/>
            </w:tcBorders>
            <w:shd w:val="clear" w:color="auto" w:fill="auto"/>
            <w:noWrap/>
            <w:vAlign w:val="center"/>
          </w:tcPr>
          <w:p w14:paraId="39B254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640" w:type="dxa"/>
            <w:tcBorders>
              <w:top w:val="nil"/>
              <w:left w:val="nil"/>
              <w:bottom w:val="single" w:color="000000" w:sz="4" w:space="0"/>
              <w:right w:val="single" w:color="000000" w:sz="4" w:space="0"/>
            </w:tcBorders>
            <w:shd w:val="clear" w:color="auto" w:fill="auto"/>
            <w:noWrap/>
            <w:vAlign w:val="center"/>
          </w:tcPr>
          <w:p w14:paraId="771931C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666" w:type="dxa"/>
            <w:tcBorders>
              <w:top w:val="nil"/>
              <w:left w:val="nil"/>
              <w:bottom w:val="single" w:color="000000" w:sz="4" w:space="0"/>
              <w:right w:val="single" w:color="000000" w:sz="4" w:space="0"/>
            </w:tcBorders>
            <w:shd w:val="clear" w:color="auto" w:fill="auto"/>
            <w:noWrap/>
            <w:vAlign w:val="center"/>
          </w:tcPr>
          <w:p w14:paraId="16B1DA8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654" w:type="dxa"/>
            <w:tcBorders>
              <w:top w:val="nil"/>
              <w:left w:val="nil"/>
              <w:bottom w:val="single" w:color="000000" w:sz="4" w:space="0"/>
              <w:right w:val="single" w:color="000000" w:sz="4" w:space="0"/>
            </w:tcBorders>
            <w:shd w:val="clear" w:color="auto" w:fill="auto"/>
            <w:noWrap/>
            <w:vAlign w:val="center"/>
          </w:tcPr>
          <w:p w14:paraId="37376F8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671" w:type="dxa"/>
            <w:tcBorders>
              <w:top w:val="nil"/>
              <w:left w:val="nil"/>
              <w:bottom w:val="single" w:color="000000" w:sz="4" w:space="0"/>
              <w:right w:val="single" w:color="000000" w:sz="4" w:space="0"/>
            </w:tcBorders>
            <w:shd w:val="clear" w:color="auto" w:fill="auto"/>
            <w:noWrap/>
            <w:vAlign w:val="center"/>
          </w:tcPr>
          <w:p w14:paraId="55AE8D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336,212.11</w:t>
            </w:r>
          </w:p>
        </w:tc>
        <w:tc>
          <w:tcPr>
            <w:tcW w:w="723" w:type="dxa"/>
            <w:tcBorders>
              <w:top w:val="nil"/>
              <w:left w:val="nil"/>
              <w:bottom w:val="single" w:color="000000" w:sz="4" w:space="0"/>
              <w:right w:val="single" w:color="000000" w:sz="4" w:space="0"/>
            </w:tcBorders>
            <w:shd w:val="clear" w:color="auto" w:fill="auto"/>
            <w:noWrap/>
            <w:vAlign w:val="center"/>
          </w:tcPr>
          <w:p w14:paraId="1EA0EF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723" w:type="dxa"/>
            <w:tcBorders>
              <w:top w:val="nil"/>
              <w:left w:val="nil"/>
              <w:bottom w:val="single" w:color="000000" w:sz="4" w:space="0"/>
              <w:right w:val="single" w:color="000000" w:sz="4" w:space="0"/>
            </w:tcBorders>
            <w:shd w:val="clear" w:color="auto" w:fill="auto"/>
            <w:noWrap/>
            <w:vAlign w:val="center"/>
          </w:tcPr>
          <w:p w14:paraId="258218B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661" w:type="dxa"/>
            <w:tcBorders>
              <w:top w:val="nil"/>
              <w:left w:val="nil"/>
              <w:bottom w:val="single" w:color="000000" w:sz="4" w:space="0"/>
              <w:right w:val="single" w:color="000000" w:sz="4" w:space="0"/>
            </w:tcBorders>
            <w:shd w:val="clear" w:color="auto" w:fill="auto"/>
            <w:noWrap/>
            <w:vAlign w:val="center"/>
          </w:tcPr>
          <w:p w14:paraId="1DDADEF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18,406.45</w:t>
            </w:r>
          </w:p>
        </w:tc>
        <w:tc>
          <w:tcPr>
            <w:tcW w:w="708" w:type="dxa"/>
            <w:tcBorders>
              <w:top w:val="nil"/>
              <w:left w:val="nil"/>
              <w:bottom w:val="single" w:color="000000" w:sz="4" w:space="0"/>
              <w:right w:val="single" w:color="000000" w:sz="4" w:space="0"/>
            </w:tcBorders>
            <w:shd w:val="clear" w:color="auto" w:fill="auto"/>
            <w:noWrap/>
            <w:vAlign w:val="center"/>
          </w:tcPr>
          <w:p w14:paraId="65D64F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-1,041,353.68</w:t>
            </w:r>
          </w:p>
        </w:tc>
        <w:tc>
          <w:tcPr>
            <w:tcW w:w="662" w:type="dxa"/>
            <w:tcBorders>
              <w:top w:val="nil"/>
              <w:left w:val="nil"/>
              <w:bottom w:val="single" w:color="000000" w:sz="4" w:space="0"/>
              <w:right w:val="single" w:color="000000" w:sz="4" w:space="0"/>
            </w:tcBorders>
            <w:shd w:val="clear" w:color="auto" w:fill="auto"/>
            <w:noWrap/>
            <w:vAlign w:val="center"/>
          </w:tcPr>
          <w:p w14:paraId="1680ED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3,928.71</w:t>
            </w:r>
          </w:p>
        </w:tc>
        <w:tc>
          <w:tcPr>
            <w:tcW w:w="753" w:type="dxa"/>
            <w:tcBorders>
              <w:top w:val="nil"/>
              <w:left w:val="nil"/>
              <w:bottom w:val="single" w:color="000000" w:sz="4" w:space="0"/>
              <w:right w:val="single" w:color="000000" w:sz="4" w:space="0"/>
            </w:tcBorders>
            <w:shd w:val="clear" w:color="auto" w:fill="auto"/>
            <w:noWrap/>
            <w:vAlign w:val="center"/>
          </w:tcPr>
          <w:p w14:paraId="0B97D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3,928.71</w:t>
            </w:r>
          </w:p>
        </w:tc>
        <w:tc>
          <w:tcPr>
            <w:tcW w:w="739" w:type="dxa"/>
            <w:tcBorders>
              <w:top w:val="nil"/>
              <w:left w:val="nil"/>
              <w:bottom w:val="single" w:color="000000" w:sz="4" w:space="0"/>
              <w:right w:val="single" w:color="000000" w:sz="4" w:space="0"/>
            </w:tcBorders>
            <w:shd w:val="clear" w:color="auto" w:fill="auto"/>
            <w:noWrap/>
            <w:vAlign w:val="center"/>
          </w:tcPr>
          <w:p w14:paraId="4D2E64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708" w:type="dxa"/>
            <w:tcBorders>
              <w:top w:val="nil"/>
              <w:left w:val="nil"/>
              <w:bottom w:val="single" w:color="000000" w:sz="4" w:space="0"/>
              <w:right w:val="single" w:color="000000" w:sz="4" w:space="0"/>
            </w:tcBorders>
            <w:shd w:val="clear" w:color="auto" w:fill="auto"/>
            <w:noWrap/>
            <w:vAlign w:val="center"/>
          </w:tcPr>
          <w:p w14:paraId="5ECEC55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630" w:type="dxa"/>
            <w:tcBorders>
              <w:top w:val="nil"/>
              <w:left w:val="nil"/>
              <w:bottom w:val="single" w:color="000000" w:sz="4" w:space="0"/>
              <w:right w:val="single" w:color="000000" w:sz="4" w:space="0"/>
            </w:tcBorders>
            <w:shd w:val="clear" w:color="auto" w:fill="auto"/>
            <w:noWrap/>
            <w:vAlign w:val="center"/>
          </w:tcPr>
          <w:p w14:paraId="30CA56B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-1,045,282.39</w:t>
            </w:r>
          </w:p>
        </w:tc>
        <w:tc>
          <w:tcPr>
            <w:tcW w:w="221" w:type="pct"/>
            <w:tcBorders>
              <w:top w:val="nil"/>
              <w:left w:val="nil"/>
              <w:bottom w:val="single" w:color="000000" w:sz="4" w:space="0"/>
              <w:right w:val="single" w:color="000000" w:sz="4" w:space="0"/>
            </w:tcBorders>
            <w:shd w:val="clear" w:color="auto" w:fill="auto"/>
            <w:noWrap/>
            <w:vAlign w:val="center"/>
          </w:tcPr>
          <w:p w14:paraId="1835F4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6CAD52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-1,045,282.39</w:t>
            </w:r>
          </w:p>
        </w:tc>
      </w:tr>
      <w:tr w14:paraId="2D3C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792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355101</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87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天津市东丽区市场监督管理局（本级）</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90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61,676,912.58</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FA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61,646,491.25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A1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61,644,256.56</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4A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22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E0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48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1A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E1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4E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F4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2,234.69</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61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30,421.33</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90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DC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A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980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791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30,421.33</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E66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AE4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30,421.33</w:t>
            </w:r>
          </w:p>
        </w:tc>
      </w:tr>
      <w:tr w14:paraId="2D3C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792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355201</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87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天津市东丽区产品质量监督检验所</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90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2,174,649.55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FA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3,250,353.27</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A1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2,898,116.29</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4A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22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E0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48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1A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336,212.11</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E1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4E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F4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16,024.87</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61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-1,075,703.72</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90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DC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A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980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791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-1,075,703.72</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E66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AE4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-1,075,703.72</w:t>
            </w:r>
          </w:p>
        </w:tc>
      </w:tr>
      <w:tr w14:paraId="2D3C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792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355202</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87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天津市东丽区计量检定所</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90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2,712,958.62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FA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2,712,958.62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A1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2,712,913.48</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4A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22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E0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48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1A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E1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4E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F4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45.14</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61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90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DC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A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980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791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E66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AE4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r>
      <w:tr w14:paraId="2D3C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792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355203</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87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天津市东丽区市场监督管理局12315投诉举报中心</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90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1,014,408.86</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FA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1,014,408.86</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A1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1,014,393.22</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4A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22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E0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48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1A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E1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4E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F4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15.64</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61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90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DC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A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980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791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E66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AE4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r>
      <w:tr w14:paraId="2D3C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792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355901</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87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天津市东丽区个体劳动者协会</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90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1,307,208.44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FA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1,305,609.11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A1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1,305,562.09</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4A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22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E0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48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1A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E1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4E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F4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47.02</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61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1,599.33</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90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1,599.33</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DC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1,599.33</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A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980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791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E66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AE4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r>
      <w:tr w14:paraId="2D3C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792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355902</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87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天津市东丽区消费者协会</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90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1,096,875.85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FA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1,094,546.47</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A1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1,094,507.38</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4A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22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E0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48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1A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E1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4E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F4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39.09</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61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2,329.38</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90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2,329.38</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DC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2,329.38</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A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980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791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E66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AE4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r>
      <w:tr w14:paraId="1E929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21"/>
            <w:tcBorders>
              <w:top w:val="nil"/>
              <w:left w:val="nil"/>
              <w:bottom w:val="nil"/>
              <w:right w:val="nil"/>
            </w:tcBorders>
            <w:shd w:val="clear" w:color="auto" w:fill="auto"/>
            <w:noWrap/>
            <w:vAlign w:val="center"/>
          </w:tcPr>
          <w:p w14:paraId="2D74CE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7608F206">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2377495">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3"/>
        <w:gridCol w:w="2220"/>
        <w:gridCol w:w="1845"/>
        <w:gridCol w:w="1800"/>
        <w:gridCol w:w="1800"/>
        <w:gridCol w:w="1815"/>
        <w:gridCol w:w="1628"/>
        <w:gridCol w:w="1589"/>
      </w:tblGrid>
      <w:tr w14:paraId="36171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07EE934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部门（单位）：天津市东丽区市场监督管理局 </w:t>
            </w:r>
          </w:p>
        </w:tc>
        <w:tc>
          <w:tcPr>
            <w:tcW w:w="567" w:type="pct"/>
            <w:tcBorders>
              <w:top w:val="nil"/>
              <w:left w:val="nil"/>
              <w:bottom w:val="nil"/>
              <w:right w:val="nil"/>
            </w:tcBorders>
            <w:shd w:val="clear" w:color="auto" w:fill="auto"/>
            <w:noWrap/>
            <w:vAlign w:val="bottom"/>
          </w:tcPr>
          <w:p w14:paraId="328B227F">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4877C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D12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11B803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68BA9CA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5A6DD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DFD6B6">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E0E35E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544B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E638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nil"/>
              <w:left w:val="single" w:color="000000" w:sz="4" w:space="0"/>
              <w:bottom w:val="nil"/>
              <w:right w:val="single" w:color="000000" w:sz="4" w:space="0"/>
            </w:tcBorders>
            <w:shd w:val="clear" w:color="auto" w:fill="auto"/>
            <w:noWrap/>
            <w:vAlign w:val="center"/>
          </w:tcPr>
          <w:p w14:paraId="3067F1A6">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93" w:type="pct"/>
            <w:tcBorders>
              <w:top w:val="nil"/>
              <w:left w:val="nil"/>
              <w:bottom w:val="nil"/>
              <w:right w:val="single" w:color="000000" w:sz="4" w:space="0"/>
            </w:tcBorders>
            <w:shd w:val="clear" w:color="auto" w:fill="auto"/>
            <w:noWrap/>
            <w:vAlign w:val="center"/>
          </w:tcPr>
          <w:p w14:paraId="05E73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41AD0B8">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233E40D">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714E9C9">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DA82E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1885C7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CB909C0">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32B60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FBA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ADD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70,242,966.36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2A1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63,731,860.60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1B3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6,318,817.40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62D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853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192,288.36</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40F3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46,899,007.20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40,387,901.44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6,318,817.40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192,288.36</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20114</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知识产权事务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2011499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其他知识产权事务支出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市场监督管理事务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46,419,007.20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40,387,901.44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5,838,817.40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192,288.36</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35,237,363.38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35,237,363.38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2013802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一般行政管理事务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2,004,788.36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2,004,788.36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2013812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药品事务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237,000.00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237,000.00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2013815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质量安全监管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440,000.00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440,000.00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2013816</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食品安全监管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1,949,374.20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1,949,374.20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2013850</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5,342,826.42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5,150,538.06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192,288.36</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2013899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其他市场监督管理事务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1,207,654.84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1,207,654.84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6,329,615.11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6,329,615.11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6,329,615.11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6,329,615.11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4,219,844.15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4,219,844.15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2,109,770.96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2,109,770.96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3,140,499.05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3,140,499.05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3,140,499.05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3,140,499.05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2,286,194.02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2,286,194.02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398,865.05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398,865.05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2101103</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公务员医疗补助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455,439.98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455,439.98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13,873,845.00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13,873,845.00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13,873,845.00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13,873,845.00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13,873,845.00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13,873,845.00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1F6F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33C02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34C1837F">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D294F7">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5173A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6833A578">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部门（单位）：天津市东丽区市场监督管理局 </w:t>
            </w:r>
          </w:p>
        </w:tc>
        <w:tc>
          <w:tcPr>
            <w:tcW w:w="705" w:type="pct"/>
            <w:tcBorders>
              <w:top w:val="nil"/>
              <w:left w:val="nil"/>
              <w:bottom w:val="nil"/>
              <w:right w:val="nil"/>
            </w:tcBorders>
            <w:shd w:val="clear" w:color="auto" w:fill="auto"/>
            <w:noWrap/>
            <w:vAlign w:val="bottom"/>
          </w:tcPr>
          <w:p w14:paraId="0AF47DEE">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1DC55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7AE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7F12D7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31EE6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192CDE6">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446B4A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04CD0E1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C0FA2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303B74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5581C71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57FE8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0009C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72B80B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BBA2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70,669,749.02</w:t>
            </w:r>
          </w:p>
        </w:tc>
        <w:tc>
          <w:tcPr>
            <w:tcW w:w="839" w:type="pct"/>
            <w:tcBorders>
              <w:top w:val="nil"/>
              <w:left w:val="nil"/>
              <w:bottom w:val="single" w:color="000000" w:sz="4" w:space="0"/>
              <w:right w:val="single" w:color="000000" w:sz="4" w:space="0"/>
            </w:tcBorders>
            <w:shd w:val="clear" w:color="auto" w:fill="auto"/>
            <w:noWrap/>
            <w:vAlign w:val="center"/>
          </w:tcPr>
          <w:p w14:paraId="25127A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66277F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46,705,657.36</w:t>
            </w:r>
          </w:p>
        </w:tc>
        <w:tc>
          <w:tcPr>
            <w:tcW w:w="640" w:type="pct"/>
            <w:tcBorders>
              <w:top w:val="nil"/>
              <w:left w:val="nil"/>
              <w:bottom w:val="single" w:color="000000" w:sz="4" w:space="0"/>
              <w:right w:val="single" w:color="000000" w:sz="4" w:space="0"/>
            </w:tcBorders>
            <w:shd w:val="clear" w:color="auto" w:fill="auto"/>
            <w:noWrap/>
            <w:vAlign w:val="center"/>
          </w:tcPr>
          <w:p w14:paraId="44FB22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46,705,657.36</w:t>
            </w:r>
          </w:p>
        </w:tc>
        <w:tc>
          <w:tcPr>
            <w:tcW w:w="652" w:type="pct"/>
            <w:tcBorders>
              <w:top w:val="nil"/>
              <w:left w:val="nil"/>
              <w:bottom w:val="single" w:color="000000" w:sz="4" w:space="0"/>
              <w:right w:val="single" w:color="000000" w:sz="4" w:space="0"/>
            </w:tcBorders>
            <w:shd w:val="clear" w:color="auto" w:fill="auto"/>
            <w:noWrap/>
            <w:vAlign w:val="center"/>
          </w:tcPr>
          <w:p w14:paraId="6F92ACE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A7EF62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1F26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96C72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6FA55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3AE577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7A677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223754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61F69D9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D8DB6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6B85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743BD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26D7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ECD53E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E40DC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E02B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B2798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9DC1D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2DD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1AB195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D6DCEB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F4820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119865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CF0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56C20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5CB2AEA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1CF0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3E1B8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366E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8CB9C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400E6E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D5EC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68852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8F9D0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A79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D8128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3D0F9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47022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61270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6,329,615.11</w:t>
            </w:r>
          </w:p>
        </w:tc>
        <w:tc>
          <w:tcPr>
            <w:tcW w:w="640" w:type="pct"/>
            <w:tcBorders>
              <w:top w:val="nil"/>
              <w:left w:val="nil"/>
              <w:bottom w:val="single" w:color="000000" w:sz="4" w:space="0"/>
              <w:right w:val="single" w:color="000000" w:sz="4" w:space="0"/>
            </w:tcBorders>
            <w:shd w:val="clear" w:color="auto" w:fill="auto"/>
            <w:noWrap/>
            <w:vAlign w:val="center"/>
          </w:tcPr>
          <w:p w14:paraId="7D1C35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6,329,615.11</w:t>
            </w:r>
          </w:p>
        </w:tc>
        <w:tc>
          <w:tcPr>
            <w:tcW w:w="652" w:type="pct"/>
            <w:tcBorders>
              <w:top w:val="nil"/>
              <w:left w:val="nil"/>
              <w:bottom w:val="single" w:color="000000" w:sz="4" w:space="0"/>
              <w:right w:val="single" w:color="000000" w:sz="4" w:space="0"/>
            </w:tcBorders>
            <w:shd w:val="clear" w:color="auto" w:fill="auto"/>
            <w:noWrap/>
            <w:vAlign w:val="center"/>
          </w:tcPr>
          <w:p w14:paraId="2955BC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C3BD2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6A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BC1B1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79D27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3A85D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040E93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3,140,499.05</w:t>
            </w:r>
          </w:p>
        </w:tc>
        <w:tc>
          <w:tcPr>
            <w:tcW w:w="640" w:type="pct"/>
            <w:tcBorders>
              <w:top w:val="nil"/>
              <w:left w:val="nil"/>
              <w:bottom w:val="single" w:color="000000" w:sz="4" w:space="0"/>
              <w:right w:val="single" w:color="000000" w:sz="4" w:space="0"/>
            </w:tcBorders>
            <w:shd w:val="clear" w:color="auto" w:fill="auto"/>
            <w:noWrap/>
            <w:vAlign w:val="center"/>
          </w:tcPr>
          <w:p w14:paraId="37FB64D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3,140,499.05</w:t>
            </w:r>
          </w:p>
        </w:tc>
        <w:tc>
          <w:tcPr>
            <w:tcW w:w="652" w:type="pct"/>
            <w:tcBorders>
              <w:top w:val="nil"/>
              <w:left w:val="nil"/>
              <w:bottom w:val="single" w:color="000000" w:sz="4" w:space="0"/>
              <w:right w:val="single" w:color="000000" w:sz="4" w:space="0"/>
            </w:tcBorders>
            <w:shd w:val="clear" w:color="auto" w:fill="auto"/>
            <w:noWrap/>
            <w:vAlign w:val="center"/>
          </w:tcPr>
          <w:p w14:paraId="3CE2488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BFC3F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85DD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1A9B29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139F69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8DA4F9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66F64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F8D7B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4D09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9903B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D27A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F93B2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A9D444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BFFC5F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02F13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EE730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68C8F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5C7169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CBF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C6F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9C03D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96A3B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552797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5BA05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03F85C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ED1783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D3F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B7816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F34A5E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A61F76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1E5B71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7FA01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9934C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D06F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CBB6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780CA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3DC6B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FF79F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687304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957CC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0CCA349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8D801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A8AB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63286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A319B2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84F1D0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417871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E3B55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39A4A1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1F41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D9D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6186B3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F553BC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B804D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0FE102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A4541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85C836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D4AE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F12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042B95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5D38D5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A3D15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7AEB95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CEAFD3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B78A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EBC2CA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DA6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C1F4B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855FA5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E1391A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0CB2D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20A1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6A0EF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80F05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B4D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93FDF8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123411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53CF3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7054A1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13,873,845.00</w:t>
            </w:r>
          </w:p>
        </w:tc>
        <w:tc>
          <w:tcPr>
            <w:tcW w:w="640" w:type="pct"/>
            <w:tcBorders>
              <w:top w:val="nil"/>
              <w:left w:val="nil"/>
              <w:bottom w:val="single" w:color="000000" w:sz="4" w:space="0"/>
              <w:right w:val="single" w:color="000000" w:sz="4" w:space="0"/>
            </w:tcBorders>
            <w:shd w:val="clear" w:color="auto" w:fill="auto"/>
            <w:noWrap/>
            <w:vAlign w:val="center"/>
          </w:tcPr>
          <w:p w14:paraId="338B31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13,873,845.00</w:t>
            </w:r>
          </w:p>
        </w:tc>
        <w:tc>
          <w:tcPr>
            <w:tcW w:w="652" w:type="pct"/>
            <w:tcBorders>
              <w:top w:val="nil"/>
              <w:left w:val="nil"/>
              <w:bottom w:val="single" w:color="000000" w:sz="4" w:space="0"/>
              <w:right w:val="single" w:color="000000" w:sz="4" w:space="0"/>
            </w:tcBorders>
            <w:shd w:val="clear" w:color="auto" w:fill="auto"/>
            <w:noWrap/>
            <w:vAlign w:val="center"/>
          </w:tcPr>
          <w:p w14:paraId="645FF3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35F9F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050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87CB3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7DC5D6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B51A4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15DB608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86414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601B6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259A9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62A0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7F2DFD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398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57D75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36DD39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00663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CA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E6047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BE4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37751C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EB293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DC81F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30F4887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8922E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E345C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64C14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34E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6CB1A6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B2B15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8D13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6AEB4B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13ED6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0F236C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22E24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D732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8C84C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D7FA7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52B2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4937D55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1460F1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58A32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5F98EF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D75B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6EC732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70310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60E58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6044C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6F134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0919E7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A3466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49A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D6862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3E1149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70,669,749.02</w:t>
            </w:r>
          </w:p>
        </w:tc>
        <w:tc>
          <w:tcPr>
            <w:tcW w:w="839" w:type="pct"/>
            <w:tcBorders>
              <w:top w:val="nil"/>
              <w:left w:val="nil"/>
              <w:bottom w:val="single" w:color="000000" w:sz="4" w:space="0"/>
              <w:right w:val="single" w:color="000000" w:sz="4" w:space="0"/>
            </w:tcBorders>
            <w:shd w:val="clear" w:color="auto" w:fill="auto"/>
            <w:noWrap/>
            <w:vAlign w:val="center"/>
          </w:tcPr>
          <w:p w14:paraId="3B51838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40903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70,049,616.52</w:t>
            </w:r>
          </w:p>
        </w:tc>
        <w:tc>
          <w:tcPr>
            <w:tcW w:w="640" w:type="pct"/>
            <w:tcBorders>
              <w:top w:val="nil"/>
              <w:left w:val="nil"/>
              <w:bottom w:val="single" w:color="000000" w:sz="4" w:space="0"/>
              <w:right w:val="single" w:color="000000" w:sz="4" w:space="0"/>
            </w:tcBorders>
            <w:shd w:val="clear" w:color="auto" w:fill="auto"/>
            <w:noWrap/>
            <w:vAlign w:val="center"/>
          </w:tcPr>
          <w:p w14:paraId="0B7651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70,049,616.52</w:t>
            </w:r>
          </w:p>
        </w:tc>
        <w:tc>
          <w:tcPr>
            <w:tcW w:w="652" w:type="pct"/>
            <w:tcBorders>
              <w:top w:val="nil"/>
              <w:left w:val="nil"/>
              <w:bottom w:val="single" w:color="000000" w:sz="4" w:space="0"/>
              <w:right w:val="single" w:color="000000" w:sz="4" w:space="0"/>
            </w:tcBorders>
            <w:shd w:val="clear" w:color="auto" w:fill="auto"/>
            <w:noWrap/>
            <w:vAlign w:val="center"/>
          </w:tcPr>
          <w:p w14:paraId="4FEDB1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10123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9A61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AECC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3624B1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3,928.71</w:t>
            </w:r>
          </w:p>
        </w:tc>
        <w:tc>
          <w:tcPr>
            <w:tcW w:w="839" w:type="pct"/>
            <w:tcBorders>
              <w:top w:val="nil"/>
              <w:left w:val="nil"/>
              <w:bottom w:val="single" w:color="000000" w:sz="4" w:space="0"/>
              <w:right w:val="single" w:color="000000" w:sz="4" w:space="0"/>
            </w:tcBorders>
            <w:shd w:val="clear" w:color="auto" w:fill="auto"/>
            <w:noWrap/>
            <w:vAlign w:val="center"/>
          </w:tcPr>
          <w:p w14:paraId="2B61203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25E4E1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624,061.21</w:t>
            </w:r>
          </w:p>
        </w:tc>
        <w:tc>
          <w:tcPr>
            <w:tcW w:w="640" w:type="pct"/>
            <w:tcBorders>
              <w:top w:val="nil"/>
              <w:left w:val="nil"/>
              <w:bottom w:val="single" w:color="000000" w:sz="4" w:space="0"/>
              <w:right w:val="single" w:color="000000" w:sz="4" w:space="0"/>
            </w:tcBorders>
            <w:shd w:val="clear" w:color="auto" w:fill="auto"/>
            <w:noWrap/>
            <w:vAlign w:val="center"/>
          </w:tcPr>
          <w:p w14:paraId="302745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624,061.21</w:t>
            </w:r>
          </w:p>
        </w:tc>
        <w:tc>
          <w:tcPr>
            <w:tcW w:w="652" w:type="pct"/>
            <w:tcBorders>
              <w:top w:val="nil"/>
              <w:left w:val="nil"/>
              <w:bottom w:val="single" w:color="000000" w:sz="4" w:space="0"/>
              <w:right w:val="single" w:color="000000" w:sz="4" w:space="0"/>
            </w:tcBorders>
            <w:shd w:val="clear" w:color="auto" w:fill="auto"/>
            <w:noWrap/>
            <w:vAlign w:val="center"/>
          </w:tcPr>
          <w:p w14:paraId="3839035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56766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37EE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0667F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36E0A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3,928.71</w:t>
            </w:r>
          </w:p>
        </w:tc>
        <w:tc>
          <w:tcPr>
            <w:tcW w:w="839" w:type="pct"/>
            <w:tcBorders>
              <w:top w:val="nil"/>
              <w:left w:val="nil"/>
              <w:bottom w:val="single" w:color="000000" w:sz="4" w:space="0"/>
              <w:right w:val="single" w:color="000000" w:sz="4" w:space="0"/>
            </w:tcBorders>
            <w:shd w:val="clear" w:color="auto" w:fill="auto"/>
            <w:noWrap/>
            <w:vAlign w:val="center"/>
          </w:tcPr>
          <w:p w14:paraId="5C8B94B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3B2AB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E08BFA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87D79D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5DE6109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2487C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23F1C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FDB05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DD70BB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89CAFA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E00F64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7E448F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6629285">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28B51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6EADB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CA2582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02C3E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43551AC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9B3DE0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93E1CB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AEE0DC5">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5C1D6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75E4E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6B1C659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70,673,677.73</w:t>
            </w:r>
          </w:p>
        </w:tc>
        <w:tc>
          <w:tcPr>
            <w:tcW w:w="839" w:type="pct"/>
            <w:tcBorders>
              <w:top w:val="nil"/>
              <w:left w:val="nil"/>
              <w:bottom w:val="single" w:color="000000" w:sz="4" w:space="0"/>
              <w:right w:val="single" w:color="000000" w:sz="4" w:space="0"/>
            </w:tcBorders>
            <w:shd w:val="clear" w:color="auto" w:fill="auto"/>
            <w:noWrap/>
            <w:vAlign w:val="center"/>
          </w:tcPr>
          <w:p w14:paraId="4F0555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2B7A13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70,673,677.73</w:t>
            </w:r>
          </w:p>
        </w:tc>
        <w:tc>
          <w:tcPr>
            <w:tcW w:w="640" w:type="pct"/>
            <w:tcBorders>
              <w:top w:val="nil"/>
              <w:left w:val="nil"/>
              <w:bottom w:val="single" w:color="000000" w:sz="4" w:space="0"/>
              <w:right w:val="single" w:color="000000" w:sz="4" w:space="0"/>
            </w:tcBorders>
            <w:shd w:val="clear" w:color="auto" w:fill="auto"/>
            <w:noWrap/>
            <w:vAlign w:val="center"/>
          </w:tcPr>
          <w:p w14:paraId="5F199E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70,673,677.73</w:t>
            </w:r>
          </w:p>
        </w:tc>
        <w:tc>
          <w:tcPr>
            <w:tcW w:w="652" w:type="pct"/>
            <w:tcBorders>
              <w:top w:val="nil"/>
              <w:left w:val="nil"/>
              <w:bottom w:val="single" w:color="000000" w:sz="4" w:space="0"/>
              <w:right w:val="single" w:color="000000" w:sz="4" w:space="0"/>
            </w:tcBorders>
            <w:shd w:val="clear" w:color="auto" w:fill="auto"/>
            <w:noWrap/>
            <w:vAlign w:val="center"/>
          </w:tcPr>
          <w:p w14:paraId="2D21C9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C95C5D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AB8A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610874E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41E21D3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4A2E06B5">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六、一般公共预算财政拨款支出决算表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3"/>
        <w:gridCol w:w="4523"/>
        <w:gridCol w:w="1754"/>
        <w:gridCol w:w="1600"/>
        <w:gridCol w:w="1630"/>
        <w:gridCol w:w="1600"/>
        <w:gridCol w:w="1612"/>
      </w:tblGrid>
      <w:tr w14:paraId="12D0C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23" w:type="pct"/>
            <w:gridSpan w:val="6"/>
            <w:tcBorders>
              <w:top w:val="nil"/>
              <w:left w:val="nil"/>
              <w:bottom w:val="nil"/>
              <w:right w:val="nil"/>
            </w:tcBorders>
            <w:shd w:val="clear" w:color="auto" w:fill="auto"/>
            <w:noWrap/>
            <w:vAlign w:val="bottom"/>
          </w:tcPr>
          <w:p w14:paraId="2C972CFC">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天津市东丽区市场监督管理局 </w:t>
            </w:r>
          </w:p>
        </w:tc>
        <w:tc>
          <w:tcPr>
            <w:tcW w:w="576" w:type="pct"/>
            <w:tcBorders>
              <w:top w:val="nil"/>
              <w:left w:val="nil"/>
              <w:bottom w:val="nil"/>
              <w:right w:val="nil"/>
            </w:tcBorders>
            <w:shd w:val="clear" w:color="auto" w:fill="auto"/>
            <w:noWrap/>
            <w:vAlign w:val="bottom"/>
          </w:tcPr>
          <w:p w14:paraId="4965D9EE">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F317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540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26" w:type="pct"/>
            <w:vMerge w:val="restart"/>
            <w:tcBorders>
              <w:top w:val="single" w:color="000000" w:sz="4" w:space="0"/>
              <w:left w:val="nil"/>
              <w:bottom w:val="single" w:color="000000" w:sz="4" w:space="0"/>
              <w:right w:val="single" w:color="000000" w:sz="4" w:space="0"/>
            </w:tcBorders>
            <w:shd w:val="clear" w:color="auto" w:fill="auto"/>
            <w:noWrap/>
            <w:vAlign w:val="center"/>
          </w:tcPr>
          <w:p w14:paraId="060EDCA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725" w:type="pct"/>
            <w:gridSpan w:val="3"/>
            <w:tcBorders>
              <w:top w:val="single" w:color="000000" w:sz="4" w:space="0"/>
              <w:left w:val="nil"/>
              <w:bottom w:val="single" w:color="000000" w:sz="4" w:space="0"/>
              <w:right w:val="single" w:color="000000" w:sz="4" w:space="0"/>
            </w:tcBorders>
            <w:shd w:val="clear" w:color="auto" w:fill="auto"/>
            <w:noWrap/>
            <w:vAlign w:val="center"/>
          </w:tcPr>
          <w:p w14:paraId="5223C72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76" w:type="pct"/>
            <w:vMerge w:val="restart"/>
            <w:tcBorders>
              <w:top w:val="single" w:color="000000" w:sz="4" w:space="0"/>
              <w:left w:val="nil"/>
              <w:bottom w:val="single" w:color="000000" w:sz="4" w:space="0"/>
              <w:right w:val="single" w:color="000000" w:sz="4" w:space="0"/>
            </w:tcBorders>
            <w:shd w:val="clear" w:color="auto" w:fill="auto"/>
            <w:noWrap/>
            <w:vAlign w:val="center"/>
          </w:tcPr>
          <w:p w14:paraId="52733E7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41938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tcBorders>
              <w:top w:val="nil"/>
              <w:left w:val="single" w:color="000000" w:sz="4" w:space="0"/>
              <w:bottom w:val="nil"/>
              <w:right w:val="single" w:color="000000" w:sz="4" w:space="0"/>
            </w:tcBorders>
            <w:shd w:val="clear" w:color="auto" w:fill="auto"/>
            <w:noWrap/>
            <w:vAlign w:val="center"/>
          </w:tcPr>
          <w:p w14:paraId="3B6F316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616" w:type="pct"/>
            <w:tcBorders>
              <w:top w:val="nil"/>
              <w:left w:val="nil"/>
              <w:bottom w:val="nil"/>
              <w:right w:val="single" w:color="000000" w:sz="4" w:space="0"/>
            </w:tcBorders>
            <w:shd w:val="clear" w:color="auto" w:fill="auto"/>
            <w:noWrap/>
            <w:vAlign w:val="center"/>
          </w:tcPr>
          <w:p w14:paraId="06DE98C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2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3BEAC85">
            <w:pPr>
              <w:jc w:val="center"/>
              <w:rPr>
                <w:rFonts w:hint="eastAsia" w:asciiTheme="minorEastAsia" w:hAnsiTheme="minorEastAsia" w:eastAsiaTheme="minorEastAsia" w:cstheme="minorEastAsia"/>
                <w:i w:val="false"/>
                <w:iCs w:val="false"/>
                <w:color w:val="000000"/>
                <w:sz w:val="22"/>
                <w:szCs w:val="22"/>
                <w:u w:val="none"/>
              </w:rPr>
            </w:pPr>
          </w:p>
        </w:tc>
        <w:tc>
          <w:tcPr>
            <w:tcW w:w="571" w:type="pct"/>
            <w:tcBorders>
              <w:top w:val="nil"/>
              <w:left w:val="nil"/>
              <w:bottom w:val="nil"/>
              <w:right w:val="single" w:color="000000" w:sz="4" w:space="0"/>
            </w:tcBorders>
            <w:shd w:val="clear" w:color="auto" w:fill="auto"/>
            <w:noWrap/>
            <w:vAlign w:val="center"/>
          </w:tcPr>
          <w:p w14:paraId="4A1777B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82" w:type="pct"/>
            <w:tcBorders>
              <w:top w:val="nil"/>
              <w:left w:val="nil"/>
              <w:bottom w:val="nil"/>
              <w:right w:val="single" w:color="000000" w:sz="4" w:space="0"/>
            </w:tcBorders>
            <w:shd w:val="clear" w:color="auto" w:fill="auto"/>
            <w:noWrap/>
            <w:vAlign w:val="center"/>
          </w:tcPr>
          <w:p w14:paraId="51CB8B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571" w:type="pct"/>
            <w:tcBorders>
              <w:top w:val="nil"/>
              <w:left w:val="nil"/>
              <w:bottom w:val="nil"/>
              <w:right w:val="single" w:color="000000" w:sz="4" w:space="0"/>
            </w:tcBorders>
            <w:shd w:val="clear" w:color="auto" w:fill="auto"/>
            <w:noWrap/>
            <w:vAlign w:val="center"/>
          </w:tcPr>
          <w:p w14:paraId="2E9FA1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7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727C515">
            <w:pPr>
              <w:jc w:val="center"/>
              <w:rPr>
                <w:rFonts w:hint="eastAsia" w:asciiTheme="minorEastAsia" w:hAnsiTheme="minorEastAsia" w:eastAsiaTheme="minorEastAsia" w:cstheme="minorEastAsia"/>
                <w:i w:val="false"/>
                <w:iCs w:val="false"/>
                <w:color w:val="000000"/>
                <w:sz w:val="22"/>
                <w:szCs w:val="22"/>
                <w:u w:val="none"/>
              </w:rPr>
            </w:pPr>
          </w:p>
        </w:tc>
      </w:tr>
      <w:tr w14:paraId="71645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B30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29821">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70,049,616.52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A9E1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63,730,799.12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AA3A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55,863,028.12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EC00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7,867,771.00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BDAB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6,318,817.40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一般公共服务支出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46,705,657.36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40,386,839.96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32,519,068.96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7,867,771.00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6,318,817.40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20114</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知识产权事务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480,000.00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480,000.00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2011499</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其他知识产权事务支出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480,000.00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480,000.00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20138</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市场监督管理事务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46,225,657.36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40,386,839.96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32,519,068.96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7,867,771.00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5,838,817.40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2013801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行政运行</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35,236,301.90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35,236,301.90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27,941,431.19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7,294,870.71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2013802</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一般行政管理事务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2,004,788.36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2,004,788.36</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2013812</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药品事务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237,000.00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237,000.00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2013815</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质量安全监管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440,000.00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440,000.00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2013816</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食品安全监管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1,949,374.20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1,949,374.20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2013850</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事业运行</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5,150,538.06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5,150,538.06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4,577,637.77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572,900.29</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2013899</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其他市场监督管理事务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1,207,654.84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1,207,654.84</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社会保障和就业支出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6,329,615.11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6,329,615.11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6,329,615.11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6,329,615.11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6,329,615.11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6,329,615.11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4,219,844.15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4,219,844.15</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4,219,844.15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2,109,770.96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2,109,770.96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2,109,770.96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3,140,499.05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3,140,499.05</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3,140,499.05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3,140,499.05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3,140,499.05</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3,140,499.05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行政单位医疗</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2,286,194.02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2,286,194.02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2,286,194.02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398,865.05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398,865.05</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398,865.05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2101103</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公务员医疗补助</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455,439.98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455,439.98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455,439.98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13,873,845.00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13,873,845.00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13,873,845.00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13,873,845.00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13,873,845.00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13,873,845.00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13,873,845.00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13,873,845.00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13,873,845.00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EC46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7AC75B6E">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6591A38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DF0CE2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7252C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570111C4">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部门（单位）：天津市东丽区市场监督管理局 </w:t>
            </w:r>
          </w:p>
        </w:tc>
        <w:tc>
          <w:tcPr>
            <w:tcW w:w="617" w:type="pct"/>
            <w:tcBorders>
              <w:top w:val="nil"/>
              <w:left w:val="nil"/>
              <w:bottom w:val="nil"/>
              <w:right w:val="nil"/>
            </w:tcBorders>
            <w:shd w:val="clear" w:color="auto" w:fill="auto"/>
            <w:noWrap/>
            <w:vAlign w:val="bottom"/>
          </w:tcPr>
          <w:p w14:paraId="6CFB894B">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0640D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F7B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7C7EF22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08175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EC08FE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108E0D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04A07F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43EDB0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2292DC7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3C431CB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991BA0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55894D0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5133D79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77ECC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926A5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7360D3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442BC6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54,766,295.98</w:t>
            </w:r>
          </w:p>
        </w:tc>
        <w:tc>
          <w:tcPr>
            <w:tcW w:w="313" w:type="pct"/>
            <w:tcBorders>
              <w:top w:val="nil"/>
              <w:left w:val="nil"/>
              <w:bottom w:val="single" w:color="000000" w:sz="4" w:space="0"/>
              <w:right w:val="single" w:color="000000" w:sz="4" w:space="0"/>
            </w:tcBorders>
            <w:shd w:val="clear" w:color="auto" w:fill="auto"/>
            <w:noWrap/>
            <w:vAlign w:val="center"/>
          </w:tcPr>
          <w:p w14:paraId="2E5C398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1DFF1F5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5949D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7,863,894.00</w:t>
            </w:r>
          </w:p>
        </w:tc>
        <w:tc>
          <w:tcPr>
            <w:tcW w:w="390" w:type="pct"/>
            <w:tcBorders>
              <w:top w:val="nil"/>
              <w:left w:val="nil"/>
              <w:bottom w:val="single" w:color="000000" w:sz="4" w:space="0"/>
              <w:right w:val="single" w:color="000000" w:sz="4" w:space="0"/>
            </w:tcBorders>
            <w:shd w:val="clear" w:color="auto" w:fill="auto"/>
            <w:noWrap/>
            <w:vAlign w:val="center"/>
          </w:tcPr>
          <w:p w14:paraId="6C3FE0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3AAA62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2F514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F19F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B91441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798A78D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2E2445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10,060,285.26</w:t>
            </w:r>
          </w:p>
        </w:tc>
        <w:tc>
          <w:tcPr>
            <w:tcW w:w="313" w:type="pct"/>
            <w:tcBorders>
              <w:top w:val="nil"/>
              <w:left w:val="nil"/>
              <w:bottom w:val="single" w:color="000000" w:sz="4" w:space="0"/>
              <w:right w:val="single" w:color="000000" w:sz="4" w:space="0"/>
            </w:tcBorders>
            <w:shd w:val="clear" w:color="auto" w:fill="auto"/>
            <w:noWrap/>
            <w:vAlign w:val="center"/>
          </w:tcPr>
          <w:p w14:paraId="28FEC69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4A7C7F3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339FC2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1,026,375.74</w:t>
            </w:r>
          </w:p>
        </w:tc>
        <w:tc>
          <w:tcPr>
            <w:tcW w:w="390" w:type="pct"/>
            <w:tcBorders>
              <w:top w:val="nil"/>
              <w:left w:val="nil"/>
              <w:bottom w:val="single" w:color="000000" w:sz="4" w:space="0"/>
              <w:right w:val="single" w:color="000000" w:sz="4" w:space="0"/>
            </w:tcBorders>
            <w:shd w:val="clear" w:color="auto" w:fill="auto"/>
            <w:noWrap/>
            <w:vAlign w:val="center"/>
          </w:tcPr>
          <w:p w14:paraId="65FD0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320887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633ABFF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C10D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FB4FB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4017D29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201D3E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11,665,503.05</w:t>
            </w:r>
          </w:p>
        </w:tc>
        <w:tc>
          <w:tcPr>
            <w:tcW w:w="313" w:type="pct"/>
            <w:tcBorders>
              <w:top w:val="nil"/>
              <w:left w:val="nil"/>
              <w:bottom w:val="single" w:color="000000" w:sz="4" w:space="0"/>
              <w:right w:val="single" w:color="000000" w:sz="4" w:space="0"/>
            </w:tcBorders>
            <w:shd w:val="clear" w:color="auto" w:fill="auto"/>
            <w:noWrap/>
            <w:vAlign w:val="center"/>
          </w:tcPr>
          <w:p w14:paraId="165E0FD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4A082D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69D63C6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6412EC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BA279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092CB8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3,877.00</w:t>
            </w:r>
          </w:p>
        </w:tc>
      </w:tr>
      <w:tr w14:paraId="4AB56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D6A1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2C01A8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1AC644A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2,367,126.00</w:t>
            </w:r>
          </w:p>
        </w:tc>
        <w:tc>
          <w:tcPr>
            <w:tcW w:w="313" w:type="pct"/>
            <w:tcBorders>
              <w:top w:val="nil"/>
              <w:left w:val="nil"/>
              <w:bottom w:val="single" w:color="000000" w:sz="4" w:space="0"/>
              <w:right w:val="single" w:color="000000" w:sz="4" w:space="0"/>
            </w:tcBorders>
            <w:shd w:val="clear" w:color="auto" w:fill="auto"/>
            <w:noWrap/>
            <w:vAlign w:val="center"/>
          </w:tcPr>
          <w:p w14:paraId="4FAA18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37679BA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28639F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99E083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575B733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3D733AC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FB9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9A9968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2C5E642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5DEBA4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5C23D4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664A5CB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04BAB4F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3,595.50</w:t>
            </w:r>
          </w:p>
        </w:tc>
        <w:tc>
          <w:tcPr>
            <w:tcW w:w="390" w:type="pct"/>
            <w:tcBorders>
              <w:top w:val="nil"/>
              <w:left w:val="nil"/>
              <w:bottom w:val="single" w:color="000000" w:sz="4" w:space="0"/>
              <w:right w:val="single" w:color="000000" w:sz="4" w:space="0"/>
            </w:tcBorders>
            <w:shd w:val="clear" w:color="auto" w:fill="auto"/>
            <w:noWrap/>
            <w:vAlign w:val="center"/>
          </w:tcPr>
          <w:p w14:paraId="19AB43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737430F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BFA95B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3,877.00</w:t>
            </w:r>
          </w:p>
        </w:tc>
      </w:tr>
      <w:tr w14:paraId="7914B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4C4C0F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478D5F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31F351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7,199,486.12</w:t>
            </w:r>
          </w:p>
        </w:tc>
        <w:tc>
          <w:tcPr>
            <w:tcW w:w="313" w:type="pct"/>
            <w:tcBorders>
              <w:top w:val="nil"/>
              <w:left w:val="nil"/>
              <w:bottom w:val="single" w:color="000000" w:sz="4" w:space="0"/>
              <w:right w:val="single" w:color="000000" w:sz="4" w:space="0"/>
            </w:tcBorders>
            <w:shd w:val="clear" w:color="auto" w:fill="auto"/>
            <w:noWrap/>
            <w:vAlign w:val="center"/>
          </w:tcPr>
          <w:p w14:paraId="66713B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86EE60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54B41A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50,881.62</w:t>
            </w:r>
          </w:p>
        </w:tc>
        <w:tc>
          <w:tcPr>
            <w:tcW w:w="390" w:type="pct"/>
            <w:tcBorders>
              <w:top w:val="nil"/>
              <w:left w:val="nil"/>
              <w:bottom w:val="single" w:color="000000" w:sz="4" w:space="0"/>
              <w:right w:val="single" w:color="000000" w:sz="4" w:space="0"/>
            </w:tcBorders>
            <w:shd w:val="clear" w:color="auto" w:fill="auto"/>
            <w:noWrap/>
            <w:vAlign w:val="center"/>
          </w:tcPr>
          <w:p w14:paraId="401D35F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578BA3F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52E157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C8DE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4F76C1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55A401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363564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4,219,844.15</w:t>
            </w:r>
          </w:p>
        </w:tc>
        <w:tc>
          <w:tcPr>
            <w:tcW w:w="313" w:type="pct"/>
            <w:tcBorders>
              <w:top w:val="nil"/>
              <w:left w:val="nil"/>
              <w:bottom w:val="single" w:color="000000" w:sz="4" w:space="0"/>
              <w:right w:val="single" w:color="000000" w:sz="4" w:space="0"/>
            </w:tcBorders>
            <w:shd w:val="clear" w:color="auto" w:fill="auto"/>
            <w:noWrap/>
            <w:vAlign w:val="center"/>
          </w:tcPr>
          <w:p w14:paraId="7F5A2EE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65DDE5E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1D3B3C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535,874.15</w:t>
            </w:r>
          </w:p>
        </w:tc>
        <w:tc>
          <w:tcPr>
            <w:tcW w:w="390" w:type="pct"/>
            <w:tcBorders>
              <w:top w:val="nil"/>
              <w:left w:val="nil"/>
              <w:bottom w:val="single" w:color="000000" w:sz="4" w:space="0"/>
              <w:right w:val="single" w:color="000000" w:sz="4" w:space="0"/>
            </w:tcBorders>
            <w:shd w:val="clear" w:color="auto" w:fill="auto"/>
            <w:noWrap/>
            <w:vAlign w:val="center"/>
          </w:tcPr>
          <w:p w14:paraId="16012E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7A5CDC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179ACE1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6436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2E1872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0C69C0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683891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2,109,770.96</w:t>
            </w:r>
          </w:p>
        </w:tc>
        <w:tc>
          <w:tcPr>
            <w:tcW w:w="313" w:type="pct"/>
            <w:tcBorders>
              <w:top w:val="nil"/>
              <w:left w:val="nil"/>
              <w:bottom w:val="single" w:color="000000" w:sz="4" w:space="0"/>
              <w:right w:val="single" w:color="000000" w:sz="4" w:space="0"/>
            </w:tcBorders>
            <w:shd w:val="clear" w:color="auto" w:fill="auto"/>
            <w:noWrap/>
            <w:vAlign w:val="center"/>
          </w:tcPr>
          <w:p w14:paraId="470B07E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2201DA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6854782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131,660.00</w:t>
            </w:r>
          </w:p>
        </w:tc>
        <w:tc>
          <w:tcPr>
            <w:tcW w:w="390" w:type="pct"/>
            <w:tcBorders>
              <w:top w:val="nil"/>
              <w:left w:val="nil"/>
              <w:bottom w:val="single" w:color="000000" w:sz="4" w:space="0"/>
              <w:right w:val="single" w:color="000000" w:sz="4" w:space="0"/>
            </w:tcBorders>
            <w:shd w:val="clear" w:color="auto" w:fill="auto"/>
            <w:noWrap/>
            <w:vAlign w:val="center"/>
          </w:tcPr>
          <w:p w14:paraId="1E89709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0A998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19DF25E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0F1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103D2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47DBDA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31E06F8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2,637,389.60</w:t>
            </w:r>
          </w:p>
        </w:tc>
        <w:tc>
          <w:tcPr>
            <w:tcW w:w="313" w:type="pct"/>
            <w:tcBorders>
              <w:top w:val="nil"/>
              <w:left w:val="nil"/>
              <w:bottom w:val="single" w:color="000000" w:sz="4" w:space="0"/>
              <w:right w:val="single" w:color="000000" w:sz="4" w:space="0"/>
            </w:tcBorders>
            <w:shd w:val="clear" w:color="auto" w:fill="auto"/>
            <w:noWrap/>
            <w:vAlign w:val="center"/>
          </w:tcPr>
          <w:p w14:paraId="16B076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4D72752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57F1291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642,990.62</w:t>
            </w:r>
          </w:p>
        </w:tc>
        <w:tc>
          <w:tcPr>
            <w:tcW w:w="390" w:type="pct"/>
            <w:tcBorders>
              <w:top w:val="nil"/>
              <w:left w:val="nil"/>
              <w:bottom w:val="single" w:color="000000" w:sz="4" w:space="0"/>
              <w:right w:val="single" w:color="000000" w:sz="4" w:space="0"/>
            </w:tcBorders>
            <w:shd w:val="clear" w:color="auto" w:fill="auto"/>
            <w:noWrap/>
            <w:vAlign w:val="center"/>
          </w:tcPr>
          <w:p w14:paraId="57C3A3F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4FD14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34EC8F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BEE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1001C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1A1260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098A5E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456,341.12</w:t>
            </w:r>
          </w:p>
        </w:tc>
        <w:tc>
          <w:tcPr>
            <w:tcW w:w="313" w:type="pct"/>
            <w:tcBorders>
              <w:top w:val="nil"/>
              <w:left w:val="nil"/>
              <w:bottom w:val="single" w:color="000000" w:sz="4" w:space="0"/>
              <w:right w:val="single" w:color="000000" w:sz="4" w:space="0"/>
            </w:tcBorders>
            <w:shd w:val="clear" w:color="auto" w:fill="auto"/>
            <w:noWrap/>
            <w:vAlign w:val="center"/>
          </w:tcPr>
          <w:p w14:paraId="3A65ED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769720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5580A2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1,092,208.68</w:t>
            </w:r>
          </w:p>
        </w:tc>
        <w:tc>
          <w:tcPr>
            <w:tcW w:w="390" w:type="pct"/>
            <w:tcBorders>
              <w:top w:val="nil"/>
              <w:left w:val="nil"/>
              <w:bottom w:val="single" w:color="000000" w:sz="4" w:space="0"/>
              <w:right w:val="single" w:color="000000" w:sz="4" w:space="0"/>
            </w:tcBorders>
            <w:shd w:val="clear" w:color="auto" w:fill="auto"/>
            <w:noWrap/>
            <w:vAlign w:val="center"/>
          </w:tcPr>
          <w:p w14:paraId="5A5EA05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5D8C43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1BA48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D6E2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23CFC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47489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66DC57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93,617.72</w:t>
            </w:r>
          </w:p>
        </w:tc>
        <w:tc>
          <w:tcPr>
            <w:tcW w:w="313" w:type="pct"/>
            <w:tcBorders>
              <w:top w:val="nil"/>
              <w:left w:val="nil"/>
              <w:bottom w:val="single" w:color="000000" w:sz="4" w:space="0"/>
              <w:right w:val="single" w:color="000000" w:sz="4" w:space="0"/>
            </w:tcBorders>
            <w:shd w:val="clear" w:color="auto" w:fill="auto"/>
            <w:noWrap/>
            <w:vAlign w:val="center"/>
          </w:tcPr>
          <w:p w14:paraId="50F7024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38871F9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062653C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16,974.42</w:t>
            </w:r>
          </w:p>
        </w:tc>
        <w:tc>
          <w:tcPr>
            <w:tcW w:w="390" w:type="pct"/>
            <w:tcBorders>
              <w:top w:val="nil"/>
              <w:left w:val="nil"/>
              <w:bottom w:val="single" w:color="000000" w:sz="4" w:space="0"/>
              <w:right w:val="single" w:color="000000" w:sz="4" w:space="0"/>
            </w:tcBorders>
            <w:shd w:val="clear" w:color="auto" w:fill="auto"/>
            <w:noWrap/>
            <w:vAlign w:val="center"/>
          </w:tcPr>
          <w:p w14:paraId="2C1A30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483B9E4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39B4EB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8E8E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AE813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5575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18B866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13,873,845.00</w:t>
            </w:r>
          </w:p>
        </w:tc>
        <w:tc>
          <w:tcPr>
            <w:tcW w:w="313" w:type="pct"/>
            <w:tcBorders>
              <w:top w:val="nil"/>
              <w:left w:val="nil"/>
              <w:bottom w:val="single" w:color="000000" w:sz="4" w:space="0"/>
              <w:right w:val="single" w:color="000000" w:sz="4" w:space="0"/>
            </w:tcBorders>
            <w:shd w:val="clear" w:color="auto" w:fill="auto"/>
            <w:noWrap/>
            <w:vAlign w:val="center"/>
          </w:tcPr>
          <w:p w14:paraId="2F3A2E4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2715D5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12B6ADE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BC86D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586F40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43CBDAA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C69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AEB8F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6EB9FE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72C276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32,720.00</w:t>
            </w:r>
          </w:p>
        </w:tc>
        <w:tc>
          <w:tcPr>
            <w:tcW w:w="313" w:type="pct"/>
            <w:tcBorders>
              <w:top w:val="nil"/>
              <w:left w:val="nil"/>
              <w:bottom w:val="single" w:color="000000" w:sz="4" w:space="0"/>
              <w:right w:val="single" w:color="000000" w:sz="4" w:space="0"/>
            </w:tcBorders>
            <w:shd w:val="clear" w:color="auto" w:fill="auto"/>
            <w:noWrap/>
            <w:vAlign w:val="center"/>
          </w:tcPr>
          <w:p w14:paraId="41A52C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4F3B178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4D3303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148,666.23</w:t>
            </w:r>
          </w:p>
        </w:tc>
        <w:tc>
          <w:tcPr>
            <w:tcW w:w="390" w:type="pct"/>
            <w:tcBorders>
              <w:top w:val="nil"/>
              <w:left w:val="nil"/>
              <w:bottom w:val="single" w:color="000000" w:sz="4" w:space="0"/>
              <w:right w:val="single" w:color="000000" w:sz="4" w:space="0"/>
            </w:tcBorders>
            <w:shd w:val="clear" w:color="auto" w:fill="auto"/>
            <w:noWrap/>
            <w:vAlign w:val="center"/>
          </w:tcPr>
          <w:p w14:paraId="6F618B2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0AAFB94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C086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5133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D56AAB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1DA0F74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753B03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50,367.00</w:t>
            </w:r>
          </w:p>
        </w:tc>
        <w:tc>
          <w:tcPr>
            <w:tcW w:w="313" w:type="pct"/>
            <w:tcBorders>
              <w:top w:val="nil"/>
              <w:left w:val="nil"/>
              <w:bottom w:val="single" w:color="000000" w:sz="4" w:space="0"/>
              <w:right w:val="single" w:color="000000" w:sz="4" w:space="0"/>
            </w:tcBorders>
            <w:shd w:val="clear" w:color="auto" w:fill="auto"/>
            <w:noWrap/>
            <w:vAlign w:val="center"/>
          </w:tcPr>
          <w:p w14:paraId="38CC2F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0E5E19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133986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360,468.88</w:t>
            </w:r>
          </w:p>
        </w:tc>
        <w:tc>
          <w:tcPr>
            <w:tcW w:w="390" w:type="pct"/>
            <w:tcBorders>
              <w:top w:val="nil"/>
              <w:left w:val="nil"/>
              <w:bottom w:val="single" w:color="000000" w:sz="4" w:space="0"/>
              <w:right w:val="single" w:color="000000" w:sz="4" w:space="0"/>
            </w:tcBorders>
            <w:shd w:val="clear" w:color="auto" w:fill="auto"/>
            <w:noWrap/>
            <w:vAlign w:val="center"/>
          </w:tcPr>
          <w:p w14:paraId="3363DE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362006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63C036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BCB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57E561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13FFB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C5D3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1,096,732.14</w:t>
            </w:r>
          </w:p>
        </w:tc>
        <w:tc>
          <w:tcPr>
            <w:tcW w:w="313" w:type="pct"/>
            <w:tcBorders>
              <w:top w:val="nil"/>
              <w:left w:val="nil"/>
              <w:bottom w:val="single" w:color="000000" w:sz="4" w:space="0"/>
              <w:right w:val="single" w:color="000000" w:sz="4" w:space="0"/>
            </w:tcBorders>
            <w:shd w:val="clear" w:color="auto" w:fill="auto"/>
            <w:noWrap/>
            <w:vAlign w:val="center"/>
          </w:tcPr>
          <w:p w14:paraId="04AF00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703D53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780649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0BCB7A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704A85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C71A3D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B9E7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0E83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013774E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62A45D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208,273.86</w:t>
            </w:r>
          </w:p>
        </w:tc>
        <w:tc>
          <w:tcPr>
            <w:tcW w:w="313" w:type="pct"/>
            <w:tcBorders>
              <w:top w:val="nil"/>
              <w:left w:val="nil"/>
              <w:bottom w:val="single" w:color="000000" w:sz="4" w:space="0"/>
              <w:right w:val="single" w:color="000000" w:sz="4" w:space="0"/>
            </w:tcBorders>
            <w:shd w:val="clear" w:color="auto" w:fill="auto"/>
            <w:noWrap/>
            <w:vAlign w:val="center"/>
          </w:tcPr>
          <w:p w14:paraId="37976C7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78FB5B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5029A9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7,090.00</w:t>
            </w:r>
          </w:p>
        </w:tc>
        <w:tc>
          <w:tcPr>
            <w:tcW w:w="390" w:type="pct"/>
            <w:tcBorders>
              <w:top w:val="nil"/>
              <w:left w:val="nil"/>
              <w:bottom w:val="single" w:color="000000" w:sz="4" w:space="0"/>
              <w:right w:val="single" w:color="000000" w:sz="4" w:space="0"/>
            </w:tcBorders>
            <w:shd w:val="clear" w:color="auto" w:fill="auto"/>
            <w:noWrap/>
            <w:vAlign w:val="center"/>
          </w:tcPr>
          <w:p w14:paraId="73B81F4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1E6E8D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3B44E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C23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49E34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5676E98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03835F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718,278.98</w:t>
            </w:r>
          </w:p>
        </w:tc>
        <w:tc>
          <w:tcPr>
            <w:tcW w:w="313" w:type="pct"/>
            <w:tcBorders>
              <w:top w:val="nil"/>
              <w:left w:val="nil"/>
              <w:bottom w:val="single" w:color="000000" w:sz="4" w:space="0"/>
              <w:right w:val="single" w:color="000000" w:sz="4" w:space="0"/>
            </w:tcBorders>
            <w:shd w:val="clear" w:color="auto" w:fill="auto"/>
            <w:noWrap/>
            <w:vAlign w:val="center"/>
          </w:tcPr>
          <w:p w14:paraId="149DE3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7894A1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3732C1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C127D1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6A7C90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637B6F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10BB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04EB9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A6799B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998A7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90DA6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6BFD72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147AC2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283.50</w:t>
            </w:r>
          </w:p>
        </w:tc>
        <w:tc>
          <w:tcPr>
            <w:tcW w:w="390" w:type="pct"/>
            <w:tcBorders>
              <w:top w:val="nil"/>
              <w:left w:val="nil"/>
              <w:bottom w:val="single" w:color="000000" w:sz="4" w:space="0"/>
              <w:right w:val="single" w:color="000000" w:sz="4" w:space="0"/>
            </w:tcBorders>
            <w:shd w:val="clear" w:color="auto" w:fill="auto"/>
            <w:noWrap/>
            <w:vAlign w:val="center"/>
          </w:tcPr>
          <w:p w14:paraId="788C52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5DF0FC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48C78E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5FD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70CEA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10860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526B144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DBBDE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202E28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60F44B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ACF1AA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5AEB107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04C825E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5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697873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403AA6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7FA0BFD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84D34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FFB72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147ED1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4A78F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7638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49BC4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6EFF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54B1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E9A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330A61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9B2C1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4E9D5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6A75774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AF83E0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708A65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570438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144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749A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7041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5A86C2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10,634.00</w:t>
            </w:r>
          </w:p>
        </w:tc>
        <w:tc>
          <w:tcPr>
            <w:tcW w:w="313" w:type="pct"/>
            <w:tcBorders>
              <w:top w:val="nil"/>
              <w:left w:val="nil"/>
              <w:bottom w:val="single" w:color="000000" w:sz="4" w:space="0"/>
              <w:right w:val="single" w:color="000000" w:sz="4" w:space="0"/>
            </w:tcBorders>
            <w:shd w:val="clear" w:color="auto" w:fill="auto"/>
            <w:noWrap/>
            <w:vAlign w:val="center"/>
          </w:tcPr>
          <w:p w14:paraId="1313E1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7AF529F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6F9CB6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040D44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568E35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205B83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0C1B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F6E43E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7D8B1B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E4097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36935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37BC645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73B41A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494,752.04</w:t>
            </w:r>
          </w:p>
        </w:tc>
        <w:tc>
          <w:tcPr>
            <w:tcW w:w="390" w:type="pct"/>
            <w:tcBorders>
              <w:top w:val="nil"/>
              <w:left w:val="nil"/>
              <w:bottom w:val="single" w:color="000000" w:sz="4" w:space="0"/>
              <w:right w:val="single" w:color="000000" w:sz="4" w:space="0"/>
            </w:tcBorders>
            <w:shd w:val="clear" w:color="auto" w:fill="auto"/>
            <w:noWrap/>
            <w:vAlign w:val="center"/>
          </w:tcPr>
          <w:p w14:paraId="51B815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0D294C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6F9DCA7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B0C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8591AF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220907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7605AF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1,250.00</w:t>
            </w:r>
          </w:p>
        </w:tc>
        <w:tc>
          <w:tcPr>
            <w:tcW w:w="313" w:type="pct"/>
            <w:tcBorders>
              <w:top w:val="nil"/>
              <w:left w:val="nil"/>
              <w:bottom w:val="single" w:color="000000" w:sz="4" w:space="0"/>
              <w:right w:val="single" w:color="000000" w:sz="4" w:space="0"/>
            </w:tcBorders>
            <w:shd w:val="clear" w:color="auto" w:fill="auto"/>
            <w:noWrap/>
            <w:vAlign w:val="center"/>
          </w:tcPr>
          <w:p w14:paraId="363C9FE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11EA07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0F0B6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343,021.00</w:t>
            </w:r>
          </w:p>
        </w:tc>
        <w:tc>
          <w:tcPr>
            <w:tcW w:w="390" w:type="pct"/>
            <w:tcBorders>
              <w:top w:val="nil"/>
              <w:left w:val="nil"/>
              <w:bottom w:val="single" w:color="000000" w:sz="4" w:space="0"/>
              <w:right w:val="single" w:color="000000" w:sz="4" w:space="0"/>
            </w:tcBorders>
            <w:shd w:val="clear" w:color="auto" w:fill="auto"/>
            <w:noWrap/>
            <w:vAlign w:val="center"/>
          </w:tcPr>
          <w:p w14:paraId="0CE4855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249B90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7CC726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D5D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26CCB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268EA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2C28EA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ACB7F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645CE6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2A7458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234,445.83</w:t>
            </w:r>
          </w:p>
        </w:tc>
        <w:tc>
          <w:tcPr>
            <w:tcW w:w="390" w:type="pct"/>
            <w:tcBorders>
              <w:top w:val="nil"/>
              <w:left w:val="nil"/>
              <w:bottom w:val="single" w:color="000000" w:sz="4" w:space="0"/>
              <w:right w:val="single" w:color="000000" w:sz="4" w:space="0"/>
            </w:tcBorders>
            <w:shd w:val="clear" w:color="auto" w:fill="auto"/>
            <w:noWrap/>
            <w:vAlign w:val="center"/>
          </w:tcPr>
          <w:p w14:paraId="2129DB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25CC0A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230E04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835B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F21CAC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4D21BF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51ED93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7D7E0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0331482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61CEAD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1,552,470.00</w:t>
            </w:r>
          </w:p>
        </w:tc>
        <w:tc>
          <w:tcPr>
            <w:tcW w:w="390" w:type="pct"/>
            <w:tcBorders>
              <w:top w:val="nil"/>
              <w:left w:val="nil"/>
              <w:bottom w:val="single" w:color="000000" w:sz="4" w:space="0"/>
              <w:right w:val="single" w:color="000000" w:sz="4" w:space="0"/>
            </w:tcBorders>
            <w:shd w:val="clear" w:color="auto" w:fill="auto"/>
            <w:noWrap/>
            <w:vAlign w:val="center"/>
          </w:tcPr>
          <w:p w14:paraId="131D86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2DE186C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5DE8F9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E6CC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D98A6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7EEC71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47F735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158,295.30</w:t>
            </w:r>
          </w:p>
        </w:tc>
        <w:tc>
          <w:tcPr>
            <w:tcW w:w="313" w:type="pct"/>
            <w:tcBorders>
              <w:top w:val="nil"/>
              <w:left w:val="nil"/>
              <w:bottom w:val="single" w:color="000000" w:sz="4" w:space="0"/>
              <w:right w:val="single" w:color="000000" w:sz="4" w:space="0"/>
            </w:tcBorders>
            <w:shd w:val="clear" w:color="auto" w:fill="auto"/>
            <w:noWrap/>
            <w:vAlign w:val="center"/>
          </w:tcPr>
          <w:p w14:paraId="365C65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5B8806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3F69634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51,718.79</w:t>
            </w:r>
          </w:p>
        </w:tc>
        <w:tc>
          <w:tcPr>
            <w:tcW w:w="390" w:type="pct"/>
            <w:tcBorders>
              <w:top w:val="nil"/>
              <w:left w:val="nil"/>
              <w:bottom w:val="single" w:color="000000" w:sz="4" w:space="0"/>
              <w:right w:val="single" w:color="000000" w:sz="4" w:space="0"/>
            </w:tcBorders>
            <w:shd w:val="clear" w:color="auto" w:fill="auto"/>
            <w:noWrap/>
            <w:vAlign w:val="center"/>
          </w:tcPr>
          <w:p w14:paraId="30DE473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65925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CCF9E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411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B23FD1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73C771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D36494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0455DF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0CE1384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54DF02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1,170,417.00</w:t>
            </w:r>
          </w:p>
        </w:tc>
        <w:tc>
          <w:tcPr>
            <w:tcW w:w="390" w:type="pct"/>
            <w:tcBorders>
              <w:top w:val="nil"/>
              <w:left w:val="nil"/>
              <w:bottom w:val="single" w:color="000000" w:sz="4" w:space="0"/>
              <w:right w:val="single" w:color="000000" w:sz="4" w:space="0"/>
            </w:tcBorders>
            <w:shd w:val="clear" w:color="auto" w:fill="auto"/>
            <w:noWrap/>
            <w:vAlign w:val="center"/>
          </w:tcPr>
          <w:p w14:paraId="2BA178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0C3D03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4B309C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B290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B7CD1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4C42D11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E3E9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5AEA4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775249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70AF64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1BFDB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5500887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6AEC4A9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A885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B2555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6E193E0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5DD1EC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9C6B3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45E15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BDDF4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46C38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10C462F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4788E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CBF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028F62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5B36C84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E5AE5F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C6A97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42707E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08B563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14E77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30A54A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43E4B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BE1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A0579B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2E2D5A4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2530ECE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3151452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1B1632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1C657C8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2386D32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26CB8C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111B4EA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05E6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58AAF16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242475B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55,863,028.12</w:t>
            </w:r>
          </w:p>
        </w:tc>
        <w:tc>
          <w:tcPr>
            <w:tcW w:w="2710" w:type="pct"/>
            <w:gridSpan w:val="5"/>
            <w:tcBorders>
              <w:top w:val="nil"/>
              <w:left w:val="nil"/>
              <w:bottom w:val="single" w:color="000000" w:sz="4" w:space="0"/>
              <w:right w:val="single" w:color="000000" w:sz="4" w:space="0"/>
            </w:tcBorders>
            <w:shd w:val="clear" w:color="auto" w:fill="auto"/>
            <w:noWrap/>
            <w:vAlign w:val="center"/>
          </w:tcPr>
          <w:p w14:paraId="61E746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65B128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7,867,771.00</w:t>
            </w:r>
          </w:p>
        </w:tc>
      </w:tr>
      <w:tr w14:paraId="56C6D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FE43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2150692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7E6F386">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1"/>
        <w:gridCol w:w="3139"/>
        <w:gridCol w:w="1630"/>
        <w:gridCol w:w="1600"/>
        <w:gridCol w:w="1585"/>
        <w:gridCol w:w="1569"/>
        <w:gridCol w:w="1539"/>
        <w:gridCol w:w="1519"/>
      </w:tblGrid>
      <w:tr w14:paraId="13DE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57" w:type="pct"/>
            <w:gridSpan w:val="7"/>
            <w:tcBorders>
              <w:top w:val="nil"/>
              <w:left w:val="nil"/>
              <w:bottom w:val="nil"/>
              <w:right w:val="nil"/>
            </w:tcBorders>
            <w:shd w:val="clear" w:color="auto" w:fill="auto"/>
            <w:noWrap/>
            <w:vAlign w:val="bottom"/>
          </w:tcPr>
          <w:p w14:paraId="1721CFB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天津市东丽区市场监督管理局 </w:t>
            </w:r>
          </w:p>
        </w:tc>
        <w:tc>
          <w:tcPr>
            <w:tcW w:w="542" w:type="pct"/>
            <w:tcBorders>
              <w:top w:val="nil"/>
              <w:left w:val="nil"/>
              <w:bottom w:val="nil"/>
              <w:right w:val="nil"/>
            </w:tcBorders>
            <w:shd w:val="clear" w:color="auto" w:fill="auto"/>
            <w:noWrap/>
            <w:vAlign w:val="bottom"/>
          </w:tcPr>
          <w:p w14:paraId="3EF7D13A">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150E0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B84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82" w:type="pct"/>
            <w:vMerge w:val="restart"/>
            <w:tcBorders>
              <w:top w:val="single" w:color="000000" w:sz="4" w:space="0"/>
              <w:left w:val="nil"/>
              <w:bottom w:val="single" w:color="000000" w:sz="4" w:space="0"/>
              <w:right w:val="single" w:color="000000" w:sz="4" w:space="0"/>
            </w:tcBorders>
            <w:shd w:val="clear" w:color="auto" w:fill="auto"/>
            <w:noWrap/>
            <w:vAlign w:val="center"/>
          </w:tcPr>
          <w:p w14:paraId="353A052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71" w:type="pct"/>
            <w:vMerge w:val="restart"/>
            <w:tcBorders>
              <w:top w:val="single" w:color="000000" w:sz="4" w:space="0"/>
              <w:left w:val="nil"/>
              <w:bottom w:val="single" w:color="000000" w:sz="4" w:space="0"/>
              <w:right w:val="single" w:color="000000" w:sz="4" w:space="0"/>
            </w:tcBorders>
            <w:shd w:val="clear" w:color="auto" w:fill="auto"/>
            <w:noWrap/>
            <w:vAlign w:val="center"/>
          </w:tcPr>
          <w:p w14:paraId="310652F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77" w:type="pct"/>
            <w:gridSpan w:val="3"/>
            <w:tcBorders>
              <w:top w:val="single" w:color="000000" w:sz="4" w:space="0"/>
              <w:left w:val="nil"/>
              <w:bottom w:val="single" w:color="000000" w:sz="4" w:space="0"/>
              <w:right w:val="single" w:color="000000" w:sz="4" w:space="0"/>
            </w:tcBorders>
            <w:shd w:val="clear" w:color="auto" w:fill="auto"/>
            <w:noWrap/>
            <w:vAlign w:val="center"/>
          </w:tcPr>
          <w:p w14:paraId="4FEB818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42"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CF444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058E6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4" w:type="pct"/>
            <w:tcBorders>
              <w:top w:val="nil"/>
              <w:left w:val="single" w:color="000000" w:sz="4" w:space="0"/>
              <w:bottom w:val="nil"/>
              <w:right w:val="single" w:color="000000" w:sz="4" w:space="0"/>
            </w:tcBorders>
            <w:shd w:val="clear" w:color="auto" w:fill="auto"/>
            <w:noWrap/>
            <w:vAlign w:val="center"/>
          </w:tcPr>
          <w:p w14:paraId="1F069EE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121" w:type="pct"/>
            <w:tcBorders>
              <w:top w:val="nil"/>
              <w:left w:val="nil"/>
              <w:bottom w:val="nil"/>
              <w:right w:val="single" w:color="000000" w:sz="4" w:space="0"/>
            </w:tcBorders>
            <w:shd w:val="clear" w:color="auto" w:fill="auto"/>
            <w:noWrap/>
            <w:vAlign w:val="center"/>
          </w:tcPr>
          <w:p w14:paraId="0D2418C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8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A29B63A">
            <w:pPr>
              <w:jc w:val="center"/>
              <w:rPr>
                <w:rFonts w:hint="eastAsia" w:asciiTheme="minorEastAsia" w:hAnsiTheme="minorEastAsia" w:eastAsiaTheme="minorEastAsia" w:cstheme="minorEastAsia"/>
                <w:i w:val="false"/>
                <w:iCs w:val="false"/>
                <w:color w:val="000000"/>
                <w:sz w:val="22"/>
                <w:szCs w:val="22"/>
                <w:u w:val="none"/>
              </w:rPr>
            </w:pPr>
          </w:p>
        </w:tc>
        <w:tc>
          <w:tcPr>
            <w:tcW w:w="57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301D339">
            <w:pPr>
              <w:jc w:val="center"/>
              <w:rPr>
                <w:rFonts w:hint="eastAsia" w:asciiTheme="minorEastAsia" w:hAnsiTheme="minorEastAsia" w:eastAsiaTheme="minorEastAsia" w:cstheme="minorEastAsia"/>
                <w:i w:val="false"/>
                <w:iCs w:val="false"/>
                <w:color w:val="000000"/>
                <w:sz w:val="22"/>
                <w:szCs w:val="22"/>
                <w:u w:val="none"/>
              </w:rPr>
            </w:pPr>
          </w:p>
        </w:tc>
        <w:tc>
          <w:tcPr>
            <w:tcW w:w="566" w:type="pct"/>
            <w:tcBorders>
              <w:top w:val="nil"/>
              <w:left w:val="nil"/>
              <w:bottom w:val="nil"/>
              <w:right w:val="single" w:color="000000" w:sz="4" w:space="0"/>
            </w:tcBorders>
            <w:shd w:val="clear" w:color="auto" w:fill="auto"/>
            <w:noWrap/>
            <w:vAlign w:val="center"/>
          </w:tcPr>
          <w:p w14:paraId="11C6F5B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60" w:type="pct"/>
            <w:tcBorders>
              <w:top w:val="nil"/>
              <w:left w:val="nil"/>
              <w:bottom w:val="nil"/>
              <w:right w:val="single" w:color="000000" w:sz="4" w:space="0"/>
            </w:tcBorders>
            <w:shd w:val="clear" w:color="auto" w:fill="auto"/>
            <w:noWrap/>
            <w:vAlign w:val="center"/>
          </w:tcPr>
          <w:p w14:paraId="39DCA84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49" w:type="pct"/>
            <w:tcBorders>
              <w:top w:val="nil"/>
              <w:left w:val="nil"/>
              <w:bottom w:val="nil"/>
              <w:right w:val="single" w:color="000000" w:sz="4" w:space="0"/>
            </w:tcBorders>
            <w:shd w:val="clear" w:color="auto" w:fill="auto"/>
            <w:noWrap/>
            <w:vAlign w:val="center"/>
          </w:tcPr>
          <w:p w14:paraId="7461DEC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4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51BC561">
            <w:pPr>
              <w:jc w:val="center"/>
              <w:rPr>
                <w:rFonts w:hint="eastAsia" w:asciiTheme="minorEastAsia" w:hAnsiTheme="minorEastAsia" w:eastAsiaTheme="minorEastAsia" w:cstheme="minorEastAsia"/>
                <w:i w:val="false"/>
                <w:iCs w:val="false"/>
                <w:color w:val="000000"/>
                <w:sz w:val="22"/>
                <w:szCs w:val="22"/>
                <w:u w:val="none"/>
              </w:rPr>
            </w:pPr>
          </w:p>
        </w:tc>
      </w:tr>
      <w:tr w14:paraId="6E286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078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81A2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3EB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5C25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5A47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5E4B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7B48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38E98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91DCC23">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天津市东丽区市场监督管理局</w:t>
      </w:r>
      <w:r>
        <w:rPr>
          <w:rFonts w:ascii="宋体" w:eastAsia="仿宋_GB2312"/>
          <w:b w:val="false"/>
          <w:sz w:val="30"/>
          <w:szCs w:val="30"/>
        </w:rPr>
        <w:t>2024年政府性基金预算财政拨款收入支出决算表为空表。</w:t>
      </w:r>
    </w:p>
    <w:p w14:paraId="17858C47">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5134C3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4"/>
        <w:gridCol w:w="3261"/>
        <w:gridCol w:w="1692"/>
        <w:gridCol w:w="1677"/>
        <w:gridCol w:w="1493"/>
        <w:gridCol w:w="1538"/>
        <w:gridCol w:w="1662"/>
        <w:gridCol w:w="1565"/>
      </w:tblGrid>
      <w:tr w14:paraId="047AF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40" w:type="pct"/>
            <w:gridSpan w:val="7"/>
            <w:tcBorders>
              <w:top w:val="nil"/>
              <w:left w:val="nil"/>
              <w:bottom w:val="nil"/>
              <w:right w:val="nil"/>
            </w:tcBorders>
            <w:shd w:val="clear" w:color="auto" w:fill="auto"/>
            <w:noWrap/>
            <w:vAlign w:val="bottom"/>
          </w:tcPr>
          <w:p w14:paraId="3D595151">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天津市东丽区市场监督管理局 </w:t>
            </w:r>
          </w:p>
        </w:tc>
        <w:tc>
          <w:tcPr>
            <w:tcW w:w="559" w:type="pct"/>
            <w:tcBorders>
              <w:top w:val="nil"/>
              <w:left w:val="nil"/>
              <w:bottom w:val="nil"/>
              <w:right w:val="nil"/>
            </w:tcBorders>
            <w:shd w:val="clear" w:color="auto" w:fill="auto"/>
            <w:noWrap/>
            <w:vAlign w:val="bottom"/>
          </w:tcPr>
          <w:p w14:paraId="110EB63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6375E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A2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7F5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E1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C52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3DD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4A496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9B8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14B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6633">
            <w:pPr>
              <w:jc w:val="center"/>
              <w:rPr>
                <w:rFonts w:hint="eastAsia" w:asciiTheme="minorEastAsia" w:hAnsiTheme="minorEastAsia" w:eastAsiaTheme="minorEastAsia" w:cstheme="minorEastAsia"/>
                <w:i w:val="false"/>
                <w:iCs w:val="false"/>
                <w:color w:val="000000"/>
                <w:sz w:val="22"/>
                <w:szCs w:val="22"/>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DC47">
            <w:pPr>
              <w:jc w:val="center"/>
              <w:rPr>
                <w:rFonts w:hint="eastAsia" w:asciiTheme="minorEastAsia" w:hAnsiTheme="minorEastAsia" w:eastAsiaTheme="minorEastAsia" w:cstheme="minorEastAsia"/>
                <w:i w:val="false"/>
                <w:iCs w:val="false"/>
                <w:color w:val="000000"/>
                <w:sz w:val="22"/>
                <w:szCs w:val="22"/>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33A7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E4A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85E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B22D">
            <w:pPr>
              <w:jc w:val="center"/>
              <w:rPr>
                <w:rFonts w:hint="eastAsia" w:asciiTheme="minorEastAsia" w:hAnsiTheme="minorEastAsia" w:eastAsiaTheme="minorEastAsia" w:cstheme="minorEastAsia"/>
                <w:i w:val="false"/>
                <w:iCs w:val="false"/>
                <w:color w:val="000000"/>
                <w:sz w:val="22"/>
                <w:szCs w:val="22"/>
                <w:u w:val="none"/>
              </w:rPr>
            </w:pPr>
          </w:p>
        </w:tc>
      </w:tr>
      <w:tr w14:paraId="6E39F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5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499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99A0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21D4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8302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E1D0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C65F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3A34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5151F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142CF9FE">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天津市东丽区市场监督管理局</w:t>
      </w:r>
      <w:r>
        <w:rPr>
          <w:rFonts w:ascii="宋体" w:eastAsia="仿宋_GB2312"/>
          <w:b w:val="false"/>
          <w:sz w:val="30"/>
          <w:szCs w:val="30"/>
        </w:rPr>
        <w:t>2024年国有资本经营预算财政拨款收入支出决算表为空表。</w:t>
      </w:r>
    </w:p>
    <w:p w14:paraId="30AAA41C">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800ECAD">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6608B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7C0B811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部门（单位）：天津市东丽区市场监督管理局 </w:t>
            </w:r>
          </w:p>
        </w:tc>
        <w:tc>
          <w:tcPr>
            <w:tcW w:w="2146" w:type="dxa"/>
            <w:tcBorders>
              <w:top w:val="nil"/>
              <w:left w:val="nil"/>
              <w:bottom w:val="nil"/>
              <w:right w:val="nil"/>
            </w:tcBorders>
            <w:shd w:val="clear" w:color="auto" w:fill="auto"/>
            <w:noWrap/>
            <w:vAlign w:val="bottom"/>
          </w:tcPr>
          <w:p w14:paraId="4F2CB78B">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4C19C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780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0F31115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1F4378E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445523D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428BE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CC79D">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800499D">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28334AF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39595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04F6F91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35EF4C4">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3D750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9DA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432,370.67</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93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FA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432,370.67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4A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194,600.00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BE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237,770.67</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90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B53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472328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14:paraId="00CCA1DB">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DC58E62">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16"/>
        <w:gridCol w:w="1769"/>
        <w:gridCol w:w="1631"/>
        <w:gridCol w:w="1692"/>
        <w:gridCol w:w="1646"/>
        <w:gridCol w:w="1693"/>
        <w:gridCol w:w="1635"/>
      </w:tblGrid>
      <w:tr w14:paraId="078F5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16" w:type="pct"/>
            <w:gridSpan w:val="7"/>
            <w:tcBorders>
              <w:top w:val="nil"/>
              <w:left w:val="nil"/>
              <w:bottom w:val="nil"/>
              <w:right w:val="nil"/>
            </w:tcBorders>
            <w:shd w:val="clear" w:color="auto" w:fill="auto"/>
            <w:noWrap/>
            <w:vAlign w:val="bottom"/>
          </w:tcPr>
          <w:p w14:paraId="7C78D3B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部门（单位）：天津市东丽区市场监督管理局 </w:t>
            </w:r>
          </w:p>
        </w:tc>
        <w:tc>
          <w:tcPr>
            <w:tcW w:w="583" w:type="pct"/>
            <w:tcBorders>
              <w:top w:val="nil"/>
              <w:left w:val="nil"/>
              <w:bottom w:val="nil"/>
              <w:right w:val="nil"/>
            </w:tcBorders>
            <w:shd w:val="clear" w:color="auto" w:fill="auto"/>
            <w:noWrap/>
            <w:vAlign w:val="bottom"/>
          </w:tcPr>
          <w:p w14:paraId="7EE3BA05">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887E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B7B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06" w:type="pct"/>
            <w:vMerge w:val="restart"/>
            <w:tcBorders>
              <w:top w:val="single" w:color="000000" w:sz="4" w:space="0"/>
              <w:left w:val="nil"/>
              <w:bottom w:val="single" w:color="000000" w:sz="4" w:space="0"/>
              <w:right w:val="single" w:color="000000" w:sz="4" w:space="0"/>
            </w:tcBorders>
            <w:shd w:val="clear" w:color="auto" w:fill="auto"/>
            <w:noWrap/>
            <w:vAlign w:val="center"/>
          </w:tcPr>
          <w:p w14:paraId="4A693A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3596" w:type="pct"/>
            <w:gridSpan w:val="6"/>
            <w:tcBorders>
              <w:top w:val="single" w:color="000000" w:sz="4" w:space="0"/>
              <w:left w:val="nil"/>
              <w:bottom w:val="single" w:color="000000" w:sz="4" w:space="0"/>
              <w:right w:val="single" w:color="000000" w:sz="4" w:space="0"/>
            </w:tcBorders>
            <w:shd w:val="clear" w:color="auto" w:fill="auto"/>
            <w:noWrap/>
            <w:vAlign w:val="center"/>
          </w:tcPr>
          <w:p w14:paraId="7C3EC47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8A98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3C0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00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689D60">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32" w:type="pct"/>
            <w:tcBorders>
              <w:top w:val="nil"/>
              <w:left w:val="nil"/>
              <w:bottom w:val="nil"/>
              <w:right w:val="single" w:color="000000" w:sz="4" w:space="0"/>
            </w:tcBorders>
            <w:shd w:val="clear" w:color="auto" w:fill="auto"/>
            <w:noWrap/>
            <w:vAlign w:val="center"/>
          </w:tcPr>
          <w:p w14:paraId="6376C0F6">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  计</w:t>
            </w:r>
          </w:p>
        </w:tc>
        <w:tc>
          <w:tcPr>
            <w:tcW w:w="582" w:type="pct"/>
            <w:tcBorders>
              <w:top w:val="nil"/>
              <w:left w:val="nil"/>
              <w:bottom w:val="nil"/>
              <w:right w:val="single" w:color="000000" w:sz="4" w:space="0"/>
            </w:tcBorders>
            <w:shd w:val="clear" w:color="auto" w:fill="auto"/>
            <w:noWrap/>
            <w:vAlign w:val="center"/>
          </w:tcPr>
          <w:p w14:paraId="3C4874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4" w:type="pct"/>
            <w:tcBorders>
              <w:top w:val="nil"/>
              <w:left w:val="nil"/>
              <w:bottom w:val="nil"/>
              <w:right w:val="single" w:color="000000" w:sz="4" w:space="0"/>
            </w:tcBorders>
            <w:shd w:val="clear" w:color="auto" w:fill="auto"/>
            <w:noWrap/>
            <w:vAlign w:val="center"/>
          </w:tcPr>
          <w:p w14:paraId="0C610DE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588" w:type="pct"/>
            <w:tcBorders>
              <w:top w:val="nil"/>
              <w:left w:val="nil"/>
              <w:bottom w:val="nil"/>
              <w:right w:val="single" w:color="000000" w:sz="4" w:space="0"/>
            </w:tcBorders>
            <w:shd w:val="clear" w:color="auto" w:fill="auto"/>
            <w:noWrap/>
            <w:vAlign w:val="center"/>
          </w:tcPr>
          <w:p w14:paraId="0CD8353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604" w:type="pct"/>
            <w:tcBorders>
              <w:top w:val="nil"/>
              <w:left w:val="nil"/>
              <w:bottom w:val="nil"/>
              <w:right w:val="single" w:color="000000" w:sz="4" w:space="0"/>
            </w:tcBorders>
            <w:shd w:val="clear" w:color="auto" w:fill="auto"/>
            <w:noWrap/>
            <w:vAlign w:val="center"/>
          </w:tcPr>
          <w:p w14:paraId="51A70CD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83" w:type="pct"/>
            <w:tcBorders>
              <w:top w:val="nil"/>
              <w:left w:val="nil"/>
              <w:bottom w:val="nil"/>
              <w:right w:val="single" w:color="000000" w:sz="4" w:space="0"/>
            </w:tcBorders>
            <w:shd w:val="clear" w:color="auto" w:fill="auto"/>
            <w:noWrap/>
            <w:vAlign w:val="center"/>
          </w:tcPr>
          <w:p w14:paraId="0E84EC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0048B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4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49E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E46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6,318,817.40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D44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6,318,817.40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9D7B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C2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12A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275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一般公共服务支出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6,318,817.40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6,318,817.40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20114</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知识产权事务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480,000.00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480,000.00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2011499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其他知识产权事务支出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480,000.00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480,000.00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市场监督管理事务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5,838,817.40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5,838,817.40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2013802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一般行政管理事务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2,004,788.36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2,004,788.36</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2013812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药品事务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237,000.00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237,000.00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2013815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质量安全监管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440,000.00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440,000.00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2013816</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食品安全监管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1,949,374.20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1,949,374.20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2013899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其他市场监督管理事务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1,207,654.84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1,207,654.84</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57FE4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176E43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14:paraId="372ABFDD">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3E3FC924">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天津市东丽区市场监督管理局</w:t>
      </w:r>
      <w:r>
        <w:rPr>
          <w:rFonts w:ascii="Times New Roman" w:eastAsia="仿宋_GB2312"/>
          <w:b w:val="false"/>
          <w:sz w:val="30"/>
          <w:szCs w:val="30"/>
        </w:rPr>
        <w:t>2024年度收入、支出决算总计</w:t>
      </w:r>
      <w:r>
        <w:rPr>
          <w:rFonts w:ascii="Times New Roman" w:eastAsia="仿宋_GB2312"/>
          <w:b w:val="false"/>
          <w:sz w:val="30"/>
          <w:szCs w:val="30"/>
        </w:rPr>
        <w:t>69,983,013.90</w:t>
      </w:r>
      <w:r>
        <w:rPr>
          <w:rFonts w:ascii="Times New Roman" w:eastAsia="仿宋_GB2312"/>
          <w:b w:val="false"/>
          <w:sz w:val="30"/>
          <w:szCs w:val="30"/>
        </w:rPr>
        <w:t>元。与2023年度相比，收、支总计各</w:t>
      </w:r>
      <w:r>
        <w:rPr>
          <w:rFonts w:ascii="Times New Roman" w:eastAsia="仿宋_GB2312"/>
          <w:b w:val="false"/>
          <w:sz w:val="30"/>
          <w:szCs w:val="30"/>
        </w:rPr>
        <w:t>减少</w:t>
      </w:r>
      <w:r>
        <w:rPr>
          <w:rFonts w:ascii="Times New Roman" w:eastAsia="仿宋_GB2312"/>
          <w:b w:val="false"/>
          <w:sz w:val="30"/>
          <w:szCs w:val="30"/>
        </w:rPr>
        <w:t>7,139,921.30</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9.258</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一是节约经费开支，项目支出减少；二是人员变动导致支出变动</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一般公共预算财政拨款收入70,669,749.02元、事业单位经营收入336,212.11元、其他收入18,406.45元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一般公共服务支出46,899,007.20元、社会保障和就业支出6,329,615.11元、卫生健康支出3,140,499.05元、住房保障支出13,873,845.00元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天津市东丽区市场监督管理局</w:t>
      </w:r>
      <w:r>
        <w:rPr>
          <w:rFonts w:ascii="Times New Roman" w:eastAsia="仿宋_GB2312"/>
          <w:b w:val="false"/>
          <w:sz w:val="30"/>
          <w:szCs w:val="30"/>
        </w:rPr>
        <w:t>2024年度本年收入合计</w:t>
      </w:r>
      <w:r>
        <w:rPr>
          <w:rFonts w:ascii="Times New Roman" w:eastAsia="仿宋_GB2312"/>
          <w:b w:val="false"/>
          <w:sz w:val="30"/>
          <w:szCs w:val="30"/>
        </w:rPr>
        <w:t>71,024,367.58</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6,517,677.45</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一是节约经费开支，项目支出减少；二是人员变动导致支出变动</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一般公共预算财政拨款收入70,669,749.02元，占99.501%；事业单位经营收入336,212.11元，占0.473%；其他收入18,406.45元，占0.026%</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天津市东丽区市场监督管理局</w:t>
      </w:r>
      <w:r>
        <w:rPr>
          <w:rFonts w:ascii="Times New Roman" w:eastAsia="仿宋_GB2312"/>
          <w:b w:val="false"/>
          <w:sz w:val="30"/>
          <w:szCs w:val="30"/>
        </w:rPr>
        <w:t>2024年度本年支出合计</w:t>
      </w:r>
      <w:r>
        <w:rPr>
          <w:rFonts w:ascii="Times New Roman" w:eastAsia="仿宋_GB2312"/>
          <w:b w:val="false"/>
          <w:sz w:val="30"/>
          <w:szCs w:val="30"/>
        </w:rPr>
        <w:t>70,242,966.36</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7,460,928.75</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一是节约经费开支，项目支出减少；二是人员变动导致支出变动</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基本支出63,731,860.60元，占90.731%；项目支出6,318,817.40元，占8.996%；经营支出192,288.36元，占0.274%</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天津市东丽区市场监督管理局</w:t>
      </w:r>
      <w:r>
        <w:rPr>
          <w:rFonts w:ascii="Times New Roman" w:eastAsia="仿宋_GB2312"/>
          <w:b w:val="false"/>
          <w:sz w:val="30"/>
          <w:szCs w:val="30"/>
        </w:rPr>
        <w:t>2024年度财政拨款收入、支出决算总计</w:t>
      </w:r>
      <w:r>
        <w:rPr>
          <w:rFonts w:ascii="Times New Roman" w:eastAsia="仿宋_GB2312"/>
          <w:b w:val="false"/>
          <w:sz w:val="30"/>
          <w:szCs w:val="30"/>
        </w:rPr>
        <w:t>70,673,677.73</w:t>
      </w:r>
      <w:r>
        <w:rPr>
          <w:rFonts w:ascii="Times New Roman" w:eastAsia="仿宋_GB2312"/>
          <w:b w:val="false"/>
          <w:sz w:val="30"/>
          <w:szCs w:val="30"/>
        </w:rPr>
        <w:t>元。与2023年度相比，财政拨款收、支总计各</w:t>
      </w:r>
      <w:r>
        <w:rPr>
          <w:rFonts w:ascii="Times New Roman" w:eastAsia="仿宋_GB2312"/>
          <w:b w:val="false"/>
          <w:sz w:val="30"/>
          <w:szCs w:val="30"/>
        </w:rPr>
        <w:t>减少</w:t>
      </w:r>
      <w:r>
        <w:rPr>
          <w:rFonts w:ascii="Times New Roman" w:eastAsia="仿宋_GB2312"/>
          <w:b w:val="false"/>
          <w:sz w:val="30"/>
          <w:szCs w:val="30"/>
        </w:rPr>
        <w:t>7,079,298.43</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9.105</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一是节约经费开支，项目支出减少；二是人员变动导致支出变动</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一般公共预算财政拨款70,669,749.02元</w:t>
      </w:r>
      <w:r>
        <w:rPr>
          <w:rFonts w:ascii="Times New Roman" w:eastAsia="仿宋_GB2312"/>
          <w:b w:val="false"/>
          <w:sz w:val="30"/>
          <w:szCs w:val="30"/>
        </w:rPr>
        <w:t>、年初财政拨款结转和结余</w:t>
      </w:r>
      <w:r>
        <w:rPr>
          <w:rFonts w:ascii="Times New Roman" w:eastAsia="仿宋_GB2312"/>
          <w:b w:val="false"/>
          <w:sz w:val="30"/>
          <w:szCs w:val="30"/>
        </w:rPr>
        <w:t>3,928.71</w:t>
      </w:r>
      <w:r>
        <w:rPr>
          <w:rFonts w:ascii="Times New Roman" w:eastAsia="仿宋_GB2312"/>
          <w:b w:val="false"/>
          <w:sz w:val="30"/>
          <w:szCs w:val="30"/>
        </w:rPr>
        <w:t>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一般公共服务支出46,705,657.36元、社会保障和就业支出6,329,615.11元、卫生健康支出3,140,499.05元、住房保障支出13,873,845.00元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天津市东丽区市场监督管理局</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70,049,616.52</w:t>
      </w:r>
      <w:r>
        <w:rPr>
          <w:rFonts w:ascii="Times New Roman" w:eastAsia="仿宋_GB2312"/>
          <w:b w:val="false"/>
          <w:sz w:val="30"/>
          <w:szCs w:val="30"/>
        </w:rPr>
        <w:t>元，占本年支出合计的</w:t>
      </w:r>
      <w:r>
        <w:rPr>
          <w:rFonts w:ascii="Times New Roman" w:eastAsia="仿宋_GB2312"/>
          <w:b w:val="false"/>
          <w:sz w:val="30"/>
          <w:szCs w:val="30"/>
        </w:rPr>
        <w:t>99.725</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7,327,036.10</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9.469</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一是节约经费开支，项目支出减少；二是人员变动导致支出变动</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70,049,616.52</w:t>
      </w:r>
      <w:r>
        <w:rPr>
          <w:rFonts w:ascii="Times New Roman" w:eastAsia="仿宋_GB2312"/>
          <w:b w:val="false"/>
          <w:sz w:val="30"/>
          <w:szCs w:val="30"/>
        </w:rPr>
        <w:t>元，主要用于以下方面：</w:t>
      </w:r>
      <w:r>
        <w:rPr>
          <w:rFonts w:ascii="Times New Roman" w:eastAsia="仿宋_GB2312"/>
          <w:b w:val="false"/>
          <w:sz w:val="30"/>
          <w:szCs w:val="30"/>
        </w:rPr>
        <w:t>一般公共服务支出（类）46,705,657.36元，占66.675%；社会保障和就业支出（类）6,329,615.11元，占9.036%；卫生健康支出（类）3,140,499.05元，占4.483%；住房保障支出（类）13,873,845.00元，占19.806%</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63,587,600.00</w:t>
      </w:r>
      <w:r>
        <w:rPr>
          <w:rFonts w:ascii="Times New Roman" w:eastAsia="仿宋_GB2312"/>
          <w:b w:val="false"/>
          <w:sz w:val="30"/>
          <w:szCs w:val="30"/>
        </w:rPr>
        <w:t>元，支出决算为</w:t>
      </w:r>
      <w:r>
        <w:rPr>
          <w:rFonts w:ascii="Times New Roman" w:eastAsia="仿宋_GB2312"/>
          <w:b w:val="false"/>
          <w:sz w:val="30"/>
          <w:szCs w:val="30"/>
        </w:rPr>
        <w:t>70,049,616.52</w:t>
      </w:r>
      <w:r>
        <w:rPr>
          <w:rFonts w:ascii="Times New Roman" w:eastAsia="仿宋_GB2312"/>
          <w:b w:val="false"/>
          <w:sz w:val="30"/>
          <w:szCs w:val="30"/>
        </w:rPr>
        <w:t>元，完成年初预算的</w:t>
      </w:r>
      <w:r>
        <w:rPr>
          <w:rFonts w:ascii="Times New Roman" w:eastAsia="仿宋_GB2312"/>
          <w:b w:val="false"/>
          <w:sz w:val="30"/>
          <w:szCs w:val="30"/>
        </w:rPr>
        <w:t>110.162</w:t>
      </w:r>
      <w:r>
        <w:rPr>
          <w:rFonts w:ascii="Times New Roman" w:eastAsia="仿宋_GB2312"/>
          <w:b w:val="false"/>
          <w:sz w:val="30"/>
          <w:szCs w:val="30"/>
        </w:rPr>
        <w:t>%。其中： </w:t>
      </w:r>
    </w:p>
    <w:p w14:paraId="54F92415">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知识产权事务</w:t>
      </w:r>
      <w:r>
        <w:rPr>
          <w:rFonts w:ascii="Times New Roman" w:eastAsia="仿宋_GB2312"/>
          <w:b w:val="false"/>
          <w:sz w:val="30"/>
          <w:szCs w:val="30"/>
        </w:rPr>
        <w:t>(款)</w:t>
      </w:r>
      <w:r>
        <w:rPr>
          <w:rFonts w:ascii="Times New Roman" w:eastAsia="仿宋_GB2312"/>
          <w:b w:val="false"/>
          <w:sz w:val="30"/>
          <w:szCs w:val="30"/>
        </w:rPr>
        <w:t>其他知识产权事务支出</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480,000.00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年中调整预算，新增项目用于开展知识产权各项目等</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市场监督管理事务</w:t>
      </w:r>
      <w:r>
        <w:rPr>
          <w:rFonts w:ascii="Times New Roman" w:eastAsia="仿宋_GB2312"/>
          <w:b w:val="false"/>
          <w:sz w:val="30"/>
          <w:szCs w:val="30"/>
        </w:rPr>
        <w:t>(款)</w:t>
      </w:r>
      <w:r>
        <w:rPr>
          <w:rFonts w:ascii="Times New Roman" w:eastAsia="仿宋_GB2312"/>
          <w:b w:val="false"/>
          <w:sz w:val="30"/>
          <w:szCs w:val="30"/>
        </w:rPr>
        <w:t>行政运行</w:t>
      </w:r>
      <w:r>
        <w:rPr>
          <w:rFonts w:ascii="Times New Roman" w:eastAsia="仿宋_GB2312"/>
          <w:b w:val="false"/>
          <w:sz w:val="30"/>
          <w:szCs w:val="30"/>
        </w:rPr>
        <w:t>(项)年初预算为</w:t>
      </w:r>
      <w:r>
        <w:rPr>
          <w:rFonts w:ascii="Times New Roman" w:eastAsia="仿宋_GB2312"/>
          <w:b w:val="false"/>
          <w:sz w:val="30"/>
          <w:szCs w:val="30"/>
        </w:rPr>
        <w:t>34,183,500.00</w:t>
      </w:r>
      <w:r>
        <w:rPr>
          <w:rFonts w:ascii="Times New Roman" w:eastAsia="仿宋_GB2312"/>
          <w:b w:val="false"/>
          <w:sz w:val="30"/>
          <w:szCs w:val="30"/>
        </w:rPr>
        <w:t>元，支出决算为</w:t>
      </w:r>
      <w:r>
        <w:rPr>
          <w:rFonts w:ascii="Times New Roman" w:eastAsia="仿宋_GB2312"/>
          <w:b w:val="false"/>
          <w:sz w:val="30"/>
          <w:szCs w:val="30"/>
        </w:rPr>
        <w:t>35,236,301.90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103.080</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一是支付2023年部分欠付资金；二是将原来纳入项目的物业费调整到基本支出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市场监督管理事务</w:t>
      </w:r>
      <w:r>
        <w:rPr>
          <w:rFonts w:ascii="Times New Roman" w:eastAsia="仿宋_GB2312"/>
          <w:b w:val="false"/>
          <w:sz w:val="30"/>
          <w:szCs w:val="30"/>
        </w:rPr>
        <w:t>(款)</w:t>
      </w:r>
      <w:r>
        <w:rPr>
          <w:rFonts w:ascii="Times New Roman" w:eastAsia="仿宋_GB2312"/>
          <w:b w:val="false"/>
          <w:sz w:val="30"/>
          <w:szCs w:val="30"/>
        </w:rPr>
        <w:t>一般行政管理事务</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2,004,788.36</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年中调整预算，新增项目用于支付抚恤金和公益岗人员工资</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市场监督管理事务</w:t>
      </w:r>
      <w:r>
        <w:rPr>
          <w:rFonts w:ascii="Times New Roman" w:eastAsia="仿宋_GB2312"/>
          <w:b w:val="false"/>
          <w:sz w:val="30"/>
          <w:szCs w:val="30"/>
        </w:rPr>
        <w:t>(款)</w:t>
      </w:r>
      <w:r>
        <w:rPr>
          <w:rFonts w:ascii="Times New Roman" w:eastAsia="仿宋_GB2312"/>
          <w:b w:val="false"/>
          <w:sz w:val="30"/>
          <w:szCs w:val="30"/>
        </w:rPr>
        <w:t>药品事务</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237,000.00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年中调整预算，新增项目用于开展药品抽检等</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市场监督管理事务</w:t>
      </w:r>
      <w:r>
        <w:rPr>
          <w:rFonts w:ascii="Times New Roman" w:eastAsia="仿宋_GB2312"/>
          <w:b w:val="false"/>
          <w:sz w:val="30"/>
          <w:szCs w:val="30"/>
        </w:rPr>
        <w:t>(款)</w:t>
      </w:r>
      <w:r>
        <w:rPr>
          <w:rFonts w:ascii="Times New Roman" w:eastAsia="仿宋_GB2312"/>
          <w:b w:val="false"/>
          <w:sz w:val="30"/>
          <w:szCs w:val="30"/>
        </w:rPr>
        <w:t>质量安全监管</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440,000.00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年中调整预算，新增项目用于开展产商品抽检等</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6.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市场监督管理事务</w:t>
      </w:r>
      <w:r>
        <w:rPr>
          <w:rFonts w:ascii="Times New Roman" w:eastAsia="仿宋_GB2312"/>
          <w:b w:val="false"/>
          <w:sz w:val="30"/>
          <w:szCs w:val="30"/>
        </w:rPr>
        <w:t>(款)</w:t>
      </w:r>
      <w:r>
        <w:rPr>
          <w:rFonts w:ascii="Times New Roman" w:eastAsia="仿宋_GB2312"/>
          <w:b w:val="false"/>
          <w:sz w:val="30"/>
          <w:szCs w:val="30"/>
        </w:rPr>
        <w:t>食品安全监管</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1,949,374.20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年中调整预算，新增项目用于开展食品抽检等</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7.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市场监督管理事务</w:t>
      </w:r>
      <w:r>
        <w:rPr>
          <w:rFonts w:ascii="Times New Roman" w:eastAsia="仿宋_GB2312"/>
          <w:b w:val="false"/>
          <w:sz w:val="30"/>
          <w:szCs w:val="30"/>
        </w:rPr>
        <w:t>(款)</w:t>
      </w:r>
      <w:r>
        <w:rPr>
          <w:rFonts w:ascii="Times New Roman" w:eastAsia="仿宋_GB2312"/>
          <w:b w:val="false"/>
          <w:sz w:val="30"/>
          <w:szCs w:val="30"/>
        </w:rPr>
        <w:t>事业运行</w:t>
      </w:r>
      <w:r>
        <w:rPr>
          <w:rFonts w:ascii="Times New Roman" w:eastAsia="仿宋_GB2312"/>
          <w:b w:val="false"/>
          <w:sz w:val="30"/>
          <w:szCs w:val="30"/>
        </w:rPr>
        <w:t>(项)年初预算为</w:t>
      </w:r>
      <w:r>
        <w:rPr>
          <w:rFonts w:ascii="Times New Roman" w:eastAsia="仿宋_GB2312"/>
          <w:b w:val="false"/>
          <w:sz w:val="30"/>
          <w:szCs w:val="30"/>
        </w:rPr>
        <w:t>5,323,500.00</w:t>
      </w:r>
      <w:r>
        <w:rPr>
          <w:rFonts w:ascii="Times New Roman" w:eastAsia="仿宋_GB2312"/>
          <w:b w:val="false"/>
          <w:sz w:val="30"/>
          <w:szCs w:val="30"/>
        </w:rPr>
        <w:t>元，支出决算为</w:t>
      </w:r>
      <w:r>
        <w:rPr>
          <w:rFonts w:ascii="Times New Roman" w:eastAsia="仿宋_GB2312"/>
          <w:b w:val="false"/>
          <w:sz w:val="30"/>
          <w:szCs w:val="30"/>
        </w:rPr>
        <w:t>5,150,538.06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96.751</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人员变动导致支出变动</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8.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市场监督管理事务</w:t>
      </w:r>
      <w:r>
        <w:rPr>
          <w:rFonts w:ascii="Times New Roman" w:eastAsia="仿宋_GB2312"/>
          <w:b w:val="false"/>
          <w:sz w:val="30"/>
          <w:szCs w:val="30"/>
        </w:rPr>
        <w:t>(款)</w:t>
      </w:r>
      <w:r>
        <w:rPr>
          <w:rFonts w:ascii="Times New Roman" w:eastAsia="仿宋_GB2312"/>
          <w:b w:val="false"/>
          <w:sz w:val="30"/>
          <w:szCs w:val="30"/>
        </w:rPr>
        <w:t>其他市场监督管理事务</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1,207,654.84</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年中调整预算，新增项目，用于开展还迁房电梯保险、购置执法车辆等</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9.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4,402,900.00</w:t>
      </w:r>
      <w:r>
        <w:rPr>
          <w:rFonts w:ascii="Times New Roman" w:eastAsia="仿宋_GB2312"/>
          <w:b w:val="false"/>
          <w:sz w:val="30"/>
          <w:szCs w:val="30"/>
        </w:rPr>
        <w:t>元，支出决算为</w:t>
      </w:r>
      <w:r>
        <w:rPr>
          <w:rFonts w:ascii="Times New Roman" w:eastAsia="仿宋_GB2312"/>
          <w:b w:val="false"/>
          <w:sz w:val="30"/>
          <w:szCs w:val="30"/>
        </w:rPr>
        <w:t>4,219,844.15</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95.842</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人员变动导致支出变动</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10.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2,201,400.00</w:t>
      </w:r>
      <w:r>
        <w:rPr>
          <w:rFonts w:ascii="Times New Roman" w:eastAsia="仿宋_GB2312"/>
          <w:b w:val="false"/>
          <w:sz w:val="30"/>
          <w:szCs w:val="30"/>
        </w:rPr>
        <w:t>元，支出决算为</w:t>
      </w:r>
      <w:r>
        <w:rPr>
          <w:rFonts w:ascii="Times New Roman" w:eastAsia="仿宋_GB2312"/>
          <w:b w:val="false"/>
          <w:sz w:val="30"/>
          <w:szCs w:val="30"/>
        </w:rPr>
        <w:t>2,109,770.96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95.838</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人员变动导致支出变动</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11.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行政单位医疗</w:t>
      </w:r>
      <w:r>
        <w:rPr>
          <w:rFonts w:ascii="Times New Roman" w:eastAsia="仿宋_GB2312"/>
          <w:b w:val="false"/>
          <w:sz w:val="30"/>
          <w:szCs w:val="30"/>
        </w:rPr>
        <w:t>(项)年初预算为</w:t>
      </w:r>
      <w:r>
        <w:rPr>
          <w:rFonts w:ascii="Times New Roman" w:eastAsia="仿宋_GB2312"/>
          <w:b w:val="false"/>
          <w:sz w:val="30"/>
          <w:szCs w:val="30"/>
        </w:rPr>
        <w:t>2,386,700.00</w:t>
      </w:r>
      <w:r>
        <w:rPr>
          <w:rFonts w:ascii="Times New Roman" w:eastAsia="仿宋_GB2312"/>
          <w:b w:val="false"/>
          <w:sz w:val="30"/>
          <w:szCs w:val="30"/>
        </w:rPr>
        <w:t>元，支出决算为</w:t>
      </w:r>
      <w:r>
        <w:rPr>
          <w:rFonts w:ascii="Times New Roman" w:eastAsia="仿宋_GB2312"/>
          <w:b w:val="false"/>
          <w:sz w:val="30"/>
          <w:szCs w:val="30"/>
        </w:rPr>
        <w:t>2,286,194.02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95.789</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人员变动导致支出变动</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12.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409,600.00</w:t>
      </w:r>
      <w:r>
        <w:rPr>
          <w:rFonts w:ascii="Times New Roman" w:eastAsia="仿宋_GB2312"/>
          <w:b w:val="false"/>
          <w:sz w:val="30"/>
          <w:szCs w:val="30"/>
        </w:rPr>
        <w:t>元，支出决算为</w:t>
      </w:r>
      <w:r>
        <w:rPr>
          <w:rFonts w:ascii="Times New Roman" w:eastAsia="仿宋_GB2312"/>
          <w:b w:val="false"/>
          <w:sz w:val="30"/>
          <w:szCs w:val="30"/>
        </w:rPr>
        <w:t>398,865.05</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97.379</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人员变动导致支出变动</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13.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公务员医疗补助</w:t>
      </w:r>
      <w:r>
        <w:rPr>
          <w:rFonts w:ascii="Times New Roman" w:eastAsia="仿宋_GB2312"/>
          <w:b w:val="false"/>
          <w:sz w:val="30"/>
          <w:szCs w:val="30"/>
        </w:rPr>
        <w:t>(项)年初预算为</w:t>
      </w:r>
      <w:r>
        <w:rPr>
          <w:rFonts w:ascii="Times New Roman" w:eastAsia="仿宋_GB2312"/>
          <w:b w:val="false"/>
          <w:sz w:val="30"/>
          <w:szCs w:val="30"/>
        </w:rPr>
        <w:t>477,300.00</w:t>
      </w:r>
      <w:r>
        <w:rPr>
          <w:rFonts w:ascii="Times New Roman" w:eastAsia="仿宋_GB2312"/>
          <w:b w:val="false"/>
          <w:sz w:val="30"/>
          <w:szCs w:val="30"/>
        </w:rPr>
        <w:t>元，支出决算为</w:t>
      </w:r>
      <w:r>
        <w:rPr>
          <w:rFonts w:ascii="Times New Roman" w:eastAsia="仿宋_GB2312"/>
          <w:b w:val="false"/>
          <w:sz w:val="30"/>
          <w:szCs w:val="30"/>
        </w:rPr>
        <w:t>455,439.98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95.420</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人员变动导致支出变动</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14.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14,202,700.00</w:t>
      </w:r>
      <w:r>
        <w:rPr>
          <w:rFonts w:ascii="Times New Roman" w:eastAsia="仿宋_GB2312"/>
          <w:b w:val="false"/>
          <w:sz w:val="30"/>
          <w:szCs w:val="30"/>
        </w:rPr>
        <w:t>元，支出决算为</w:t>
      </w:r>
      <w:r>
        <w:rPr>
          <w:rFonts w:ascii="Times New Roman" w:eastAsia="仿宋_GB2312"/>
          <w:b w:val="false"/>
          <w:sz w:val="30"/>
          <w:szCs w:val="30"/>
        </w:rPr>
        <w:t>13,873,845.00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97.685</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人员变动导致支出变动</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天津市东丽区市场监督管理局</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63,730,799.12</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1,976,472.52</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一是节约经费开支；二是人员变动导致支出变动</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55,863,028.12</w:t>
      </w:r>
      <w:r>
        <w:rPr>
          <w:rFonts w:ascii="Times New Roman" w:eastAsia="仿宋_GB2312"/>
          <w:b w:val="false"/>
          <w:sz w:val="30"/>
          <w:szCs w:val="30"/>
        </w:rPr>
        <w:t>元，主要包括</w:t>
      </w:r>
      <w:r>
        <w:rPr>
          <w:rFonts w:ascii="Times New Roman" w:eastAsia="仿宋_GB2312"/>
          <w:b w:val="false"/>
          <w:sz w:val="30"/>
          <w:szCs w:val="30"/>
        </w:rPr>
        <w:t>基本工资、津贴补贴、奖金、绩效工资、机关事业单位基本养老保险缴费、职业年金缴费、职工基本医疗保险缴费、公务员医疗补助缴费、其他社会保障缴费、住房公积金、医疗费、其他工资福利支出、离休费、退休费、医疗费补助、奖励金和其他对个人和家庭的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7,867,771.00</w:t>
      </w:r>
      <w:r>
        <w:rPr>
          <w:rFonts w:ascii="Times New Roman" w:eastAsia="仿宋_GB2312"/>
          <w:b w:val="false"/>
          <w:sz w:val="30"/>
          <w:szCs w:val="30"/>
        </w:rPr>
        <w:t>元，主要包括</w:t>
      </w:r>
      <w:r>
        <w:rPr>
          <w:rFonts w:ascii="Times New Roman" w:eastAsia="仿宋_GB2312"/>
          <w:b w:val="false"/>
          <w:sz w:val="30"/>
          <w:szCs w:val="30"/>
        </w:rPr>
        <w:t>办公费、手续费、水费、电费、邮电费、取暖费、物业管理费、差旅费、维修(护)费、租赁费、培训费、专用材料费、工会经费、福利费、公务用车运行维护费、其他交通费用、税金及附加费用、其他商品和服务支出和办公设备购置</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天津市东丽区市场监督管理局</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天津市东丽区市场监督管理局</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432,370.67</w:t>
      </w:r>
      <w:r>
        <w:rPr>
          <w:rFonts w:ascii="Times New Roman" w:eastAsia="仿宋_GB2312"/>
          <w:b w:val="false"/>
          <w:sz w:val="30"/>
          <w:szCs w:val="30"/>
        </w:rPr>
        <w:t>元，支出决算</w:t>
      </w:r>
      <w:r>
        <w:rPr>
          <w:rFonts w:ascii="Times New Roman" w:eastAsia="仿宋_GB2312"/>
          <w:b w:val="false"/>
          <w:sz w:val="30"/>
          <w:szCs w:val="30"/>
        </w:rPr>
        <w:t>432,370.67</w:t>
      </w:r>
      <w:r>
        <w:rPr>
          <w:rFonts w:ascii="Times New Roman" w:eastAsia="仿宋_GB2312"/>
          <w:b w:val="false"/>
          <w:sz w:val="30"/>
          <w:szCs w:val="30"/>
        </w:rPr>
        <w:t>元，与2024年预算相比</w:t>
      </w:r>
      <w:r>
        <w:rPr>
          <w:rFonts w:ascii="Times New Roman" w:eastAsia="仿宋_GB2312"/>
          <w:b w:val="false"/>
          <w:sz w:val="30"/>
          <w:szCs w:val="30"/>
        </w:rPr>
        <w:t>持平，完成预算的100.000%；</w:t>
      </w:r>
      <w:r>
        <w:rPr>
          <w:rFonts w:ascii="Times New Roman" w:eastAsia="仿宋_GB2312"/>
          <w:b w:val="false"/>
          <w:sz w:val="30"/>
          <w:szCs w:val="30"/>
        </w:rPr>
        <w:t>支出决算较上年</w:t>
      </w:r>
      <w:r>
        <w:rPr>
          <w:rFonts w:ascii="Times New Roman" w:eastAsia="仿宋_GB2312"/>
          <w:b w:val="false"/>
          <w:sz w:val="30"/>
          <w:szCs w:val="30"/>
        </w:rPr>
        <w:t>增加</w:t>
      </w:r>
      <w:r>
        <w:rPr>
          <w:rFonts w:ascii="Times New Roman" w:eastAsia="仿宋_GB2312"/>
          <w:b w:val="false"/>
          <w:sz w:val="30"/>
          <w:szCs w:val="30"/>
        </w:rPr>
        <w:t>61,511.68</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16.586</w:t>
      </w:r>
      <w:r>
        <w:rPr>
          <w:rFonts w:ascii="Times New Roman" w:eastAsia="仿宋_GB2312"/>
          <w:b w:val="false"/>
          <w:sz w:val="30"/>
          <w:szCs w:val="30"/>
        </w:rPr>
        <w:t>%。</w:t>
      </w:r>
      <w:r>
        <w:rPr>
          <w:rFonts w:ascii="Times New Roman" w:eastAsia="仿宋_GB2312"/>
          <w:b w:val="false"/>
          <w:sz w:val="30"/>
          <w:szCs w:val="30"/>
        </w:rPr>
        <w:t>决算数与预算数持平的主要原因是</w:t>
      </w:r>
      <w:r>
        <w:rPr>
          <w:rFonts w:ascii="Times New Roman" w:eastAsia="仿宋_GB2312"/>
          <w:b w:val="false"/>
          <w:sz w:val="30"/>
          <w:szCs w:val="30"/>
        </w:rPr>
        <w:t>​本年严格按照预算执行​</w:t>
      </w:r>
      <w:r>
        <w:rPr>
          <w:rFonts w:ascii="Times New Roman" w:eastAsia="仿宋_GB2312"/>
          <w:b w:val="false"/>
          <w:sz w:val="30"/>
          <w:szCs w:val="30"/>
        </w:rPr>
        <w:t>；</w:t>
      </w:r>
      <w:r>
        <w:rPr>
          <w:rFonts w:ascii="Times New Roman" w:eastAsia="仿宋_GB2312"/>
          <w:b w:val="false"/>
          <w:sz w:val="30"/>
          <w:szCs w:val="30"/>
        </w:rPr>
        <w:t>决算数较上年增加的主要原因是</w:t>
      </w:r>
      <w:r>
        <w:rPr>
          <w:rFonts w:ascii="Times New Roman" w:eastAsia="仿宋_GB2312"/>
          <w:b w:val="false"/>
          <w:sz w:val="30"/>
          <w:szCs w:val="30"/>
        </w:rPr>
        <w:t>新增车辆购置2辆</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432,370.67</w:t>
      </w:r>
      <w:r>
        <w:rPr>
          <w:rFonts w:ascii="Times New Roman" w:eastAsia="仿宋_GB2312"/>
          <w:b w:val="false"/>
          <w:sz w:val="30"/>
          <w:szCs w:val="30"/>
        </w:rPr>
        <w:t>元，支出决算</w:t>
      </w:r>
      <w:r>
        <w:rPr>
          <w:rFonts w:ascii="Times New Roman" w:eastAsia="仿宋_GB2312"/>
          <w:b w:val="false"/>
          <w:sz w:val="30"/>
          <w:szCs w:val="30"/>
        </w:rPr>
        <w:t>432,370.67</w:t>
      </w:r>
      <w:r>
        <w:rPr>
          <w:rFonts w:ascii="Times New Roman" w:eastAsia="仿宋_GB2312"/>
          <w:b w:val="false"/>
          <w:sz w:val="30"/>
          <w:szCs w:val="30"/>
        </w:rPr>
        <w:t>元，与预算相比</w:t>
      </w:r>
      <w:r>
        <w:rPr>
          <w:rFonts w:ascii="Times New Roman" w:eastAsia="仿宋_GB2312"/>
          <w:b w:val="false"/>
          <w:sz w:val="30"/>
          <w:szCs w:val="30"/>
        </w:rPr>
        <w:t>持平，完成预算的100.000%；</w:t>
      </w:r>
      <w:r>
        <w:rPr>
          <w:rFonts w:ascii="Times New Roman" w:eastAsia="仿宋_GB2312"/>
          <w:b w:val="false"/>
          <w:sz w:val="30"/>
          <w:szCs w:val="30"/>
        </w:rPr>
        <w:t>支出决算较上年</w:t>
      </w:r>
      <w:r>
        <w:rPr>
          <w:rFonts w:ascii="Times New Roman" w:eastAsia="仿宋_GB2312"/>
          <w:b w:val="false"/>
          <w:sz w:val="30"/>
          <w:szCs w:val="30"/>
        </w:rPr>
        <w:t>增加</w:t>
      </w:r>
      <w:r>
        <w:rPr>
          <w:rFonts w:ascii="Times New Roman" w:eastAsia="仿宋_GB2312"/>
          <w:b w:val="false"/>
          <w:sz w:val="30"/>
          <w:szCs w:val="30"/>
        </w:rPr>
        <w:t>61,511.68</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16.586</w:t>
      </w:r>
      <w:r>
        <w:rPr>
          <w:rFonts w:ascii="Times New Roman" w:eastAsia="仿宋_GB2312"/>
          <w:b w:val="false"/>
          <w:sz w:val="30"/>
          <w:szCs w:val="30"/>
        </w:rPr>
        <w:t>%。</w:t>
      </w:r>
      <w:r>
        <w:rPr>
          <w:rFonts w:ascii="Times New Roman" w:eastAsia="仿宋_GB2312"/>
          <w:b w:val="false"/>
          <w:sz w:val="30"/>
          <w:szCs w:val="30"/>
        </w:rPr>
        <w:t>决算数与预算数持平的主要原因是</w:t>
      </w:r>
      <w:r>
        <w:rPr>
          <w:rFonts w:ascii="Times New Roman" w:eastAsia="仿宋_GB2312"/>
          <w:b w:val="false"/>
          <w:sz w:val="30"/>
          <w:szCs w:val="30"/>
        </w:rPr>
        <w:t>本年严格按照预算执行​</w:t>
      </w:r>
      <w:r>
        <w:rPr>
          <w:rFonts w:ascii="Times New Roman" w:eastAsia="仿宋_GB2312"/>
          <w:b w:val="false"/>
          <w:sz w:val="30"/>
          <w:szCs w:val="30"/>
        </w:rPr>
        <w:t>； </w:t>
      </w:r>
      <w:r>
        <w:rPr>
          <w:rFonts w:ascii="Times New Roman" w:eastAsia="仿宋_GB2312"/>
          <w:b w:val="false"/>
          <w:sz w:val="30"/>
          <w:szCs w:val="30"/>
        </w:rPr>
        <w:t>决算数较上年增加的主要原因是</w:t>
      </w:r>
      <w:r>
        <w:rPr>
          <w:rFonts w:ascii="Times New Roman" w:eastAsia="仿宋_GB2312"/>
          <w:b w:val="false"/>
          <w:sz w:val="30"/>
          <w:szCs w:val="30"/>
        </w:rPr>
        <w:t>新增车辆购置2辆</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237,770.67</w:t>
      </w:r>
      <w:r>
        <w:rPr>
          <w:rFonts w:ascii="Times New Roman" w:eastAsia="仿宋_GB2312"/>
          <w:b w:val="false"/>
          <w:sz w:val="30"/>
          <w:szCs w:val="30"/>
        </w:rPr>
        <w:t>元，支出决算</w:t>
      </w:r>
      <w:r>
        <w:rPr>
          <w:rFonts w:ascii="Times New Roman" w:eastAsia="仿宋_GB2312"/>
          <w:b w:val="false"/>
          <w:sz w:val="30"/>
          <w:szCs w:val="30"/>
        </w:rPr>
        <w:t>237,770.67</w:t>
      </w:r>
      <w:r>
        <w:rPr>
          <w:rFonts w:ascii="Times New Roman" w:eastAsia="仿宋_GB2312"/>
          <w:b w:val="false"/>
          <w:sz w:val="30"/>
          <w:szCs w:val="30"/>
        </w:rPr>
        <w:t>元，与预算相比</w:t>
      </w:r>
      <w:r>
        <w:rPr>
          <w:rFonts w:ascii="Times New Roman" w:eastAsia="仿宋_GB2312"/>
          <w:b w:val="false"/>
          <w:sz w:val="30"/>
          <w:szCs w:val="30"/>
        </w:rPr>
        <w:t>持平，完成预算的100.000%；</w:t>
      </w:r>
      <w:r>
        <w:rPr>
          <w:rFonts w:ascii="Times New Roman" w:eastAsia="仿宋_GB2312"/>
          <w:b w:val="false"/>
          <w:sz w:val="30"/>
          <w:szCs w:val="30"/>
        </w:rPr>
        <w:t>支出决算较上年</w:t>
      </w:r>
      <w:r>
        <w:rPr>
          <w:rFonts w:ascii="Times New Roman" w:eastAsia="仿宋_GB2312"/>
          <w:b w:val="false"/>
          <w:sz w:val="30"/>
          <w:szCs w:val="30"/>
        </w:rPr>
        <w:t>增加</w:t>
      </w:r>
      <w:r>
        <w:rPr>
          <w:rFonts w:ascii="Times New Roman" w:eastAsia="仿宋_GB2312"/>
          <w:b w:val="false"/>
          <w:sz w:val="30"/>
          <w:szCs w:val="30"/>
        </w:rPr>
        <w:t>98,511.68</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70.740</w:t>
      </w:r>
      <w:r>
        <w:rPr>
          <w:rFonts w:ascii="Times New Roman" w:eastAsia="仿宋_GB2312"/>
          <w:b w:val="false"/>
          <w:sz w:val="30"/>
          <w:szCs w:val="30"/>
        </w:rPr>
        <w:t>%。</w:t>
      </w:r>
      <w:r>
        <w:rPr>
          <w:rFonts w:ascii="Times New Roman" w:eastAsia="仿宋_GB2312"/>
          <w:b w:val="false"/>
          <w:sz w:val="30"/>
          <w:szCs w:val="30"/>
        </w:rPr>
        <w:t>决算数与预算数持平的主要原因是</w:t>
      </w:r>
      <w:r>
        <w:rPr>
          <w:rFonts w:ascii="Times New Roman" w:eastAsia="仿宋_GB2312"/>
          <w:b w:val="false"/>
          <w:sz w:val="30"/>
          <w:szCs w:val="30"/>
        </w:rPr>
        <w:t>本年严格按照预算执行​</w:t>
      </w:r>
      <w:r>
        <w:rPr>
          <w:rFonts w:ascii="Times New Roman" w:eastAsia="仿宋_GB2312"/>
          <w:b w:val="false"/>
          <w:sz w:val="30"/>
          <w:szCs w:val="30"/>
        </w:rPr>
        <w:t>； </w:t>
      </w:r>
      <w:r>
        <w:rPr>
          <w:rFonts w:ascii="Times New Roman" w:eastAsia="仿宋_GB2312"/>
          <w:b w:val="false"/>
          <w:sz w:val="30"/>
          <w:szCs w:val="30"/>
        </w:rPr>
        <w:t>决算数较上年增加的主要原因是</w:t>
      </w:r>
      <w:r>
        <w:rPr>
          <w:rFonts w:ascii="Times New Roman" w:eastAsia="仿宋_GB2312"/>
          <w:b w:val="false"/>
          <w:sz w:val="30"/>
          <w:szCs w:val="30"/>
        </w:rPr>
        <w:t>新增车辆购置2辆</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36</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194,600.00</w:t>
      </w:r>
      <w:r>
        <w:rPr>
          <w:rFonts w:ascii="Times New Roman" w:eastAsia="仿宋_GB2312"/>
          <w:b w:val="false"/>
          <w:sz w:val="30"/>
          <w:szCs w:val="30"/>
        </w:rPr>
        <w:t>元，支出决算</w:t>
      </w:r>
      <w:r>
        <w:rPr>
          <w:rFonts w:ascii="Times New Roman" w:eastAsia="仿宋_GB2312"/>
          <w:b w:val="false"/>
          <w:sz w:val="30"/>
          <w:szCs w:val="30"/>
        </w:rPr>
        <w:t>194,600.00</w:t>
      </w:r>
      <w:r>
        <w:rPr>
          <w:rFonts w:ascii="Times New Roman" w:eastAsia="仿宋_GB2312"/>
          <w:b w:val="false"/>
          <w:sz w:val="30"/>
          <w:szCs w:val="30"/>
        </w:rPr>
        <w:t>元，与预算相比</w:t>
      </w:r>
      <w:r>
        <w:rPr>
          <w:rFonts w:ascii="Times New Roman" w:eastAsia="仿宋_GB2312"/>
          <w:b w:val="false"/>
          <w:sz w:val="30"/>
          <w:szCs w:val="30"/>
        </w:rPr>
        <w:t>持平，完成预算的100.000%；</w:t>
      </w:r>
      <w:r>
        <w:rPr>
          <w:rFonts w:ascii="Times New Roman" w:eastAsia="仿宋_GB2312"/>
          <w:b w:val="false"/>
          <w:sz w:val="30"/>
          <w:szCs w:val="30"/>
        </w:rPr>
        <w:t>支出决算较上年</w:t>
      </w:r>
      <w:r>
        <w:rPr>
          <w:rFonts w:ascii="Times New Roman" w:eastAsia="仿宋_GB2312"/>
          <w:b w:val="false"/>
          <w:sz w:val="30"/>
          <w:szCs w:val="30"/>
        </w:rPr>
        <w:t>减少</w:t>
      </w:r>
      <w:r>
        <w:rPr>
          <w:rFonts w:ascii="Times New Roman" w:eastAsia="仿宋_GB2312"/>
          <w:b w:val="false"/>
          <w:sz w:val="30"/>
          <w:szCs w:val="30"/>
        </w:rPr>
        <w:t>37,000.00</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15.976</w:t>
      </w:r>
      <w:r>
        <w:rPr>
          <w:rFonts w:ascii="Times New Roman" w:eastAsia="仿宋_GB2312"/>
          <w:b w:val="false"/>
          <w:sz w:val="30"/>
          <w:szCs w:val="30"/>
        </w:rPr>
        <w:t>%。</w:t>
      </w:r>
      <w:r>
        <w:rPr>
          <w:rFonts w:ascii="Times New Roman" w:eastAsia="仿宋_GB2312"/>
          <w:b w:val="false"/>
          <w:sz w:val="30"/>
          <w:szCs w:val="30"/>
        </w:rPr>
        <w:t>决算数与预算数持平的主要原因是</w:t>
      </w:r>
      <w:r>
        <w:rPr>
          <w:rFonts w:ascii="Times New Roman" w:eastAsia="仿宋_GB2312"/>
          <w:b w:val="false"/>
          <w:sz w:val="30"/>
          <w:szCs w:val="30"/>
        </w:rPr>
        <w:t>本年严格按照预算执行</w:t>
      </w:r>
      <w:r>
        <w:rPr>
          <w:rFonts w:ascii="Times New Roman" w:eastAsia="仿宋_GB2312"/>
          <w:b w:val="false"/>
          <w:sz w:val="30"/>
          <w:szCs w:val="30"/>
        </w:rPr>
        <w:t>； </w:t>
      </w:r>
      <w:r>
        <w:rPr>
          <w:rFonts w:ascii="Times New Roman" w:eastAsia="仿宋_GB2312"/>
          <w:b w:val="false"/>
          <w:sz w:val="30"/>
          <w:szCs w:val="30"/>
        </w:rPr>
        <w:t>决算数较上年减少的主要原因是</w:t>
      </w:r>
      <w:r>
        <w:rPr>
          <w:rFonts w:ascii="Times New Roman" w:eastAsia="仿宋_GB2312"/>
          <w:b w:val="false"/>
          <w:sz w:val="30"/>
          <w:szCs w:val="30"/>
        </w:rPr>
        <w:t>节约经费开支</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2</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机关运行经费是指行政单位和参照公务员法管理的事业单位使用财政拨款安排的基本支出中的日常公用经费支出，</w:t>
      </w:r>
      <w:r>
        <w:rPr>
          <w:rFonts w:ascii="Times New Roman" w:eastAsia="仿宋_GB2312"/>
          <w:b w:val="false"/>
          <w:sz w:val="30"/>
          <w:szCs w:val="30"/>
        </w:rPr>
        <w:t>天津市东丽区市场监督管理局</w:t>
      </w:r>
      <w:r>
        <w:rPr>
          <w:rFonts w:ascii="Times New Roman" w:eastAsia="仿宋_GB2312"/>
          <w:b w:val="false"/>
          <w:sz w:val="30"/>
          <w:szCs w:val="30"/>
        </w:rPr>
        <w:t>2024年度机关运行经费年初预算</w:t>
      </w:r>
      <w:r>
        <w:rPr>
          <w:rFonts w:ascii="Times New Roman" w:eastAsia="仿宋_GB2312"/>
          <w:b w:val="false"/>
          <w:sz w:val="30"/>
          <w:szCs w:val="30"/>
        </w:rPr>
        <w:t>8,255,829.03</w:t>
      </w:r>
      <w:r>
        <w:rPr>
          <w:rFonts w:ascii="Times New Roman" w:eastAsia="仿宋_GB2312"/>
          <w:b w:val="false"/>
          <w:sz w:val="30"/>
          <w:szCs w:val="30"/>
        </w:rPr>
        <w:t>元，决算数</w:t>
      </w:r>
      <w:r>
        <w:rPr>
          <w:rFonts w:ascii="Times New Roman" w:eastAsia="仿宋_GB2312"/>
          <w:b w:val="false"/>
          <w:sz w:val="30"/>
          <w:szCs w:val="30"/>
        </w:rPr>
        <w:t>7,294,870.71</w:t>
      </w:r>
      <w:r>
        <w:rPr>
          <w:rFonts w:ascii="Times New Roman" w:eastAsia="仿宋_GB2312"/>
          <w:b w:val="false"/>
          <w:sz w:val="30"/>
          <w:szCs w:val="30"/>
        </w:rPr>
        <w:t>元，与年初预算相比</w:t>
      </w:r>
      <w:r>
        <w:rPr>
          <w:rFonts w:ascii="Times New Roman" w:eastAsia="仿宋_GB2312"/>
          <w:b w:val="false"/>
          <w:sz w:val="30"/>
          <w:szCs w:val="30"/>
        </w:rPr>
        <w:t>减少</w:t>
      </w:r>
      <w:r>
        <w:rPr>
          <w:rFonts w:ascii="Times New Roman" w:eastAsia="仿宋_GB2312"/>
          <w:b w:val="false"/>
          <w:sz w:val="30"/>
          <w:szCs w:val="30"/>
        </w:rPr>
        <w:t>960,958.32</w:t>
      </w:r>
      <w:r>
        <w:rPr>
          <w:rFonts w:ascii="Times New Roman" w:eastAsia="仿宋_GB2312"/>
          <w:b w:val="false"/>
          <w:sz w:val="30"/>
          <w:szCs w:val="30"/>
        </w:rPr>
        <w:t>元，完成年初预算的</w:t>
      </w:r>
      <w:r>
        <w:rPr>
          <w:rFonts w:ascii="Times New Roman" w:eastAsia="仿宋_GB2312"/>
          <w:b w:val="false"/>
          <w:sz w:val="30"/>
          <w:szCs w:val="30"/>
        </w:rPr>
        <w:t>88.360</w:t>
      </w:r>
      <w:r>
        <w:rPr>
          <w:rFonts w:ascii="Times New Roman" w:eastAsia="仿宋_GB2312"/>
          <w:b w:val="false"/>
          <w:sz w:val="30"/>
          <w:szCs w:val="30"/>
        </w:rPr>
        <w:t>%；比2023年</w:t>
      </w:r>
      <w:r>
        <w:rPr>
          <w:rFonts w:ascii="Times New Roman" w:eastAsia="仿宋_GB2312"/>
          <w:b w:val="false"/>
          <w:sz w:val="30"/>
          <w:szCs w:val="30"/>
        </w:rPr>
        <w:t>增加</w:t>
      </w:r>
      <w:r>
        <w:rPr>
          <w:rFonts w:ascii="Times New Roman" w:eastAsia="仿宋_GB2312"/>
          <w:b w:val="false"/>
          <w:sz w:val="30"/>
          <w:szCs w:val="30"/>
        </w:rPr>
        <w:t>1,493,155.05</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25.736</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一是支付2023年部分欠付资金；二是将原来纳入项目的物业费调整到基本支出</w:t>
      </w:r>
      <w:r>
        <w:rPr>
          <w:rFonts w:ascii="Times New Roman" w:eastAsia="仿宋_GB2312"/>
          <w:b w:val="false"/>
          <w:sz w:val="30"/>
          <w:szCs w:val="30"/>
        </w:rPr>
        <w:t> 。</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天津市东丽区市场监督管理局</w:t>
      </w:r>
      <w:r>
        <w:rPr>
          <w:rFonts w:ascii="Times New Roman" w:eastAsia="仿宋_GB2312"/>
          <w:b w:val="false"/>
          <w:sz w:val="30"/>
          <w:szCs w:val="30"/>
        </w:rPr>
        <w:t>2024年政府采购支出总额</w:t>
      </w:r>
      <w:r>
        <w:rPr>
          <w:rFonts w:ascii="Times New Roman" w:eastAsia="仿宋_GB2312"/>
          <w:b w:val="false"/>
          <w:sz w:val="30"/>
          <w:szCs w:val="30"/>
        </w:rPr>
        <w:t>4,282,316.96</w:t>
      </w:r>
      <w:r>
        <w:rPr>
          <w:rFonts w:ascii="Times New Roman" w:eastAsia="仿宋_GB2312"/>
          <w:b w:val="false"/>
          <w:sz w:val="30"/>
          <w:szCs w:val="30"/>
        </w:rPr>
        <w:t>元，其中：政府采购货物支出</w:t>
      </w:r>
      <w:r>
        <w:rPr>
          <w:rFonts w:ascii="Times New Roman" w:eastAsia="仿宋_GB2312"/>
          <w:b w:val="false"/>
          <w:sz w:val="30"/>
          <w:szCs w:val="30"/>
        </w:rPr>
        <w:t>156,836.40</w:t>
      </w:r>
      <w:r>
        <w:rPr>
          <w:rFonts w:ascii="Times New Roman" w:eastAsia="仿宋_GB2312"/>
          <w:b w:val="false"/>
          <w:sz w:val="30"/>
          <w:szCs w:val="30"/>
        </w:rPr>
        <w:t>元、政府采购工程支出</w:t>
      </w:r>
      <w:r>
        <w:rPr>
          <w:rFonts w:ascii="Times New Roman" w:eastAsia="仿宋_GB2312"/>
          <w:b w:val="false"/>
          <w:sz w:val="30"/>
          <w:szCs w:val="30"/>
        </w:rPr>
        <w:t>0.00</w:t>
      </w:r>
      <w:r>
        <w:rPr>
          <w:rFonts w:ascii="Times New Roman" w:eastAsia="仿宋_GB2312"/>
          <w:b w:val="false"/>
          <w:sz w:val="30"/>
          <w:szCs w:val="30"/>
        </w:rPr>
        <w:t>元、政府采购服务支出</w:t>
      </w:r>
      <w:r>
        <w:rPr>
          <w:rFonts w:ascii="Times New Roman" w:eastAsia="仿宋_GB2312"/>
          <w:b w:val="false"/>
          <w:sz w:val="30"/>
          <w:szCs w:val="30"/>
        </w:rPr>
        <w:t>4,125,480.56</w:t>
      </w:r>
      <w:r>
        <w:rPr>
          <w:rFonts w:ascii="Times New Roman" w:eastAsia="仿宋_GB2312"/>
          <w:b w:val="false"/>
          <w:sz w:val="30"/>
          <w:szCs w:val="30"/>
        </w:rPr>
        <w:t>元。</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授予中小企业合同金额</w:t>
      </w:r>
      <w:r>
        <w:rPr>
          <w:rFonts w:ascii="Times New Roman" w:eastAsia="仿宋_GB2312"/>
          <w:b w:val="false"/>
          <w:sz w:val="30"/>
          <w:szCs w:val="30"/>
        </w:rPr>
        <w:t>4,282,316.96</w:t>
      </w:r>
      <w:r>
        <w:rPr>
          <w:rFonts w:ascii="Times New Roman" w:eastAsia="仿宋_GB2312"/>
          <w:b w:val="false"/>
          <w:sz w:val="30"/>
          <w:szCs w:val="30"/>
        </w:rPr>
        <w:t>元，占政府采购支出总额的</w:t>
      </w:r>
      <w:r>
        <w:rPr>
          <w:rFonts w:ascii="Times New Roman" w:eastAsia="仿宋_GB2312"/>
          <w:b w:val="false"/>
          <w:sz w:val="30"/>
          <w:szCs w:val="30"/>
        </w:rPr>
        <w:t>100.000</w:t>
      </w:r>
      <w:r>
        <w:rPr>
          <w:rFonts w:ascii="Times New Roman" w:eastAsia="仿宋_GB2312"/>
          <w:b w:val="false"/>
          <w:sz w:val="30"/>
          <w:szCs w:val="30"/>
        </w:rPr>
        <w:t>%，其中：授予小微企业合同金额</w:t>
      </w:r>
      <w:r>
        <w:rPr>
          <w:rFonts w:ascii="Times New Roman" w:eastAsia="仿宋_GB2312"/>
          <w:b w:val="false"/>
          <w:sz w:val="30"/>
          <w:szCs w:val="30"/>
        </w:rPr>
        <w:t>3,842,316.96</w:t>
      </w:r>
      <w:r>
        <w:rPr>
          <w:rFonts w:ascii="Times New Roman" w:eastAsia="仿宋_GB2312"/>
          <w:b w:val="false"/>
          <w:sz w:val="30"/>
          <w:szCs w:val="30"/>
        </w:rPr>
        <w:t>元，占政府采购支出总额的</w:t>
      </w:r>
      <w:r>
        <w:rPr>
          <w:rFonts w:ascii="Times New Roman" w:eastAsia="仿宋_GB2312"/>
          <w:b w:val="false"/>
          <w:sz w:val="30"/>
          <w:szCs w:val="30"/>
        </w:rPr>
        <w:t>89.725</w:t>
      </w:r>
      <w:r>
        <w:rPr>
          <w:rFonts w:ascii="Times New Roman" w:eastAsia="仿宋_GB2312"/>
          <w:b w:val="false"/>
          <w:sz w:val="30"/>
          <w:szCs w:val="30"/>
        </w:rPr>
        <w:t>%；货物采购授予中小企业合同金额占货物支出金额的</w:t>
      </w:r>
      <w:r>
        <w:rPr>
          <w:rFonts w:ascii="Times New Roman" w:eastAsia="仿宋_GB2312"/>
          <w:b w:val="false"/>
          <w:sz w:val="30"/>
          <w:szCs w:val="30"/>
        </w:rPr>
        <w:t>100.000</w:t>
      </w:r>
      <w:r>
        <w:rPr>
          <w:rFonts w:ascii="Times New Roman" w:eastAsia="仿宋_GB2312"/>
          <w:b w:val="false"/>
          <w:sz w:val="30"/>
          <w:szCs w:val="30"/>
        </w:rPr>
        <w:t>%；工程采购授予中小企业合同金额占工程支出金额的</w:t>
      </w:r>
      <w:r>
        <w:rPr>
          <w:rFonts w:ascii="Times New Roman" w:eastAsia="仿宋_GB2312"/>
          <w:b w:val="false"/>
          <w:sz w:val="30"/>
          <w:szCs w:val="30"/>
        </w:rPr>
        <w:t>0.000</w:t>
      </w:r>
      <w:r>
        <w:rPr>
          <w:rFonts w:ascii="Times New Roman" w:eastAsia="仿宋_GB2312"/>
          <w:b w:val="false"/>
          <w:sz w:val="30"/>
          <w:szCs w:val="30"/>
        </w:rPr>
        <w:t>%；服务采购授予中小企业合同金额占服务支出金额的</w:t>
      </w:r>
      <w:r>
        <w:rPr>
          <w:rFonts w:ascii="Times New Roman" w:eastAsia="仿宋_GB2312"/>
          <w:b w:val="false"/>
          <w:sz w:val="30"/>
          <w:szCs w:val="30"/>
        </w:rPr>
        <w:t>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w:t>
      </w:r>
      <w:r>
        <w:rPr>
          <w:rFonts w:ascii="Times New Roman" w:eastAsia="仿宋_GB2312"/>
          <w:b w:val="false"/>
          <w:sz w:val="30"/>
          <w:szCs w:val="30"/>
        </w:rPr>
        <w:t>天津市东丽区市场监督管理局</w:t>
      </w:r>
      <w:r>
        <w:rPr>
          <w:rFonts w:ascii="Times New Roman" w:eastAsia="仿宋_GB2312"/>
          <w:b w:val="false"/>
          <w:sz w:val="30"/>
          <w:szCs w:val="30"/>
        </w:rPr>
        <w:t>共有车辆</w:t>
      </w:r>
      <w:r>
        <w:rPr>
          <w:rFonts w:ascii="Times New Roman" w:eastAsia="仿宋_GB2312"/>
          <w:b w:val="false"/>
          <w:sz w:val="30"/>
          <w:szCs w:val="30"/>
        </w:rPr>
        <w:t>36</w:t>
      </w:r>
      <w:r>
        <w:rPr>
          <w:rFonts w:ascii="Times New Roman" w:eastAsia="仿宋_GB2312"/>
          <w:b w:val="false"/>
          <w:sz w:val="30"/>
          <w:szCs w:val="30"/>
        </w:rPr>
        <w:t>辆，其中：</w:t>
      </w:r>
      <w:r>
        <w:rPr>
          <w:rFonts w:ascii="Times New Roman" w:eastAsia="仿宋_GB2312"/>
          <w:b w:val="false"/>
          <w:sz w:val="30"/>
          <w:szCs w:val="30"/>
        </w:rPr>
        <w:t>执法执勤用车</w:t>
      </w:r>
      <w:r>
        <w:rPr>
          <w:rFonts w:ascii="Times New Roman" w:eastAsia="仿宋_GB2312"/>
          <w:b w:val="false"/>
          <w:sz w:val="30"/>
          <w:szCs w:val="30"/>
        </w:rPr>
        <w:t>26</w:t>
      </w:r>
      <w:r>
        <w:rPr>
          <w:rFonts w:ascii="Times New Roman" w:eastAsia="仿宋_GB2312"/>
          <w:b w:val="false"/>
          <w:sz w:val="30"/>
          <w:szCs w:val="30"/>
        </w:rPr>
        <w:t>辆</w:t>
      </w:r>
      <w:r>
        <w:rPr>
          <w:rFonts w:ascii="Times New Roman" w:eastAsia="仿宋_GB2312"/>
          <w:b w:val="false"/>
          <w:sz w:val="30"/>
          <w:szCs w:val="30"/>
        </w:rPr>
        <w:t>、</w:t>
      </w:r>
      <w:r>
        <w:rPr>
          <w:rFonts w:ascii="Times New Roman" w:eastAsia="仿宋_GB2312"/>
          <w:b w:val="false"/>
          <w:sz w:val="30"/>
          <w:szCs w:val="30"/>
        </w:rPr>
        <w:t>特种专业技术用车</w:t>
      </w:r>
      <w:r>
        <w:rPr>
          <w:rFonts w:ascii="Times New Roman" w:eastAsia="仿宋_GB2312"/>
          <w:b w:val="false"/>
          <w:sz w:val="30"/>
          <w:szCs w:val="30"/>
        </w:rPr>
        <w:t>1</w:t>
      </w:r>
      <w:r>
        <w:rPr>
          <w:rFonts w:ascii="Times New Roman" w:eastAsia="仿宋_GB2312"/>
          <w:b w:val="false"/>
          <w:sz w:val="30"/>
          <w:szCs w:val="30"/>
        </w:rPr>
        <w:t>辆</w:t>
      </w:r>
      <w:r>
        <w:rPr>
          <w:rFonts w:ascii="Times New Roman" w:eastAsia="仿宋_GB2312"/>
          <w:b w:val="false"/>
          <w:sz w:val="30"/>
          <w:szCs w:val="30"/>
        </w:rPr>
        <w:t>、</w:t>
      </w:r>
      <w:r>
        <w:rPr>
          <w:rFonts w:ascii="Times New Roman" w:eastAsia="仿宋_GB2312"/>
          <w:b w:val="false"/>
          <w:sz w:val="30"/>
          <w:szCs w:val="30"/>
        </w:rPr>
        <w:t>离退休干部服务用车</w:t>
      </w:r>
      <w:r>
        <w:rPr>
          <w:rFonts w:ascii="Times New Roman" w:eastAsia="仿宋_GB2312"/>
          <w:b w:val="false"/>
          <w:sz w:val="30"/>
          <w:szCs w:val="30"/>
        </w:rPr>
        <w:t>2</w:t>
      </w:r>
      <w:r>
        <w:rPr>
          <w:rFonts w:ascii="Times New Roman" w:eastAsia="仿宋_GB2312"/>
          <w:b w:val="false"/>
          <w:sz w:val="30"/>
          <w:szCs w:val="30"/>
        </w:rPr>
        <w:t>辆</w:t>
      </w:r>
      <w:r>
        <w:rPr>
          <w:rFonts w:ascii="Times New Roman" w:eastAsia="仿宋_GB2312"/>
          <w:b w:val="false"/>
          <w:sz w:val="30"/>
          <w:szCs w:val="30"/>
        </w:rPr>
        <w:t>、</w:t>
      </w:r>
      <w:r>
        <w:rPr>
          <w:rFonts w:ascii="Times New Roman" w:eastAsia="仿宋_GB2312"/>
          <w:b w:val="false"/>
          <w:sz w:val="30"/>
          <w:szCs w:val="30"/>
        </w:rPr>
        <w:t>其他用车</w:t>
      </w:r>
      <w:r>
        <w:rPr>
          <w:rFonts w:ascii="Times New Roman" w:eastAsia="仿宋_GB2312"/>
          <w:b w:val="false"/>
          <w:sz w:val="30"/>
          <w:szCs w:val="30"/>
        </w:rPr>
        <w:t>7</w:t>
      </w:r>
      <w:r>
        <w:rPr>
          <w:rFonts w:ascii="Times New Roman" w:eastAsia="仿宋_GB2312"/>
          <w:b w:val="false"/>
          <w:sz w:val="30"/>
          <w:szCs w:val="30"/>
        </w:rPr>
        <w:t>辆</w:t>
      </w:r>
      <w:r>
        <w:rPr>
          <w:rFonts w:ascii="Times New Roman" w:eastAsia="仿宋_GB2312"/>
          <w:b w:val="false"/>
          <w:sz w:val="30"/>
          <w:szCs w:val="30"/>
        </w:rPr>
        <w:t>，其他用车主要包括</w:t>
      </w:r>
      <w:r>
        <w:rPr>
          <w:rFonts w:ascii="Times New Roman" w:eastAsia="仿宋_GB2312"/>
          <w:b w:val="false"/>
          <w:sz w:val="30"/>
          <w:szCs w:val="30"/>
        </w:rPr>
        <w:t>检验检测车</w:t>
      </w:r>
      <w:r>
        <w:rPr>
          <w:rFonts w:ascii="Times New Roman" w:eastAsia="仿宋_GB2312"/>
          <w:b w:val="false"/>
          <w:sz w:val="30"/>
          <w:szCs w:val="30"/>
        </w:rPr>
        <w:t>。</w:t>
      </w:r>
      <w:r>
        <w:rPr>
          <w:rFonts w:ascii="Times New Roman" w:eastAsia="仿宋_GB2312"/>
          <w:b w:val="false"/>
          <w:sz w:val="30"/>
          <w:szCs w:val="30"/>
        </w:rPr>
        <w:t>单价100万元以上的设备</w:t>
      </w:r>
      <w:r>
        <w:rPr>
          <w:rFonts w:ascii="Times New Roman" w:eastAsia="仿宋_GB2312"/>
          <w:b w:val="false"/>
          <w:sz w:val="30"/>
          <w:szCs w:val="30"/>
        </w:rPr>
        <w:t>2</w:t>
      </w:r>
      <w:r>
        <w:rPr>
          <w:rFonts w:ascii="Times New Roman" w:eastAsia="仿宋_GB2312"/>
          <w:b w:val="false"/>
          <w:sz w:val="30"/>
          <w:szCs w:val="30"/>
        </w:rPr>
        <w:t>台（套）。</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根据预算绩效管理要求，天津市东丽区市场监督管理局2024年度已对18个项目开展绩效自评，涉及金额6,318,817.40元，自评结果已随部门决算一并公开。本部门2024年度未开展部门评价。</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天津市东丽区市场监督管理局（本级）不属于乡、镇、街级单位，不涉及公开2024年度教育、医疗卫生、社会保障和就业、住房保障、涉农补贴等民生支出情况。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1FE27B72">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19A4F51-3E8E-49D6-9264-C6418EF9BF8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1F371C6E-A316-45FC-AB03-BA5E2FD43334}"/>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96F3829D-4185-4D21-8DED-084B9ADFDF0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B2FDC">
    <w:pPr>
      <w:pStyle w:val="8"/>
      <w:jc w:val="center"/>
    </w:pPr>
  </w:p>
  <w:p w14:paraId="5C6DBC45">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96E66">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F48B0">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5521B6"/>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6A5262"/>
    <w:rsid w:val="0C9F7900"/>
    <w:rsid w:val="0CB23317"/>
    <w:rsid w:val="0D101068"/>
    <w:rsid w:val="0D4E13BE"/>
    <w:rsid w:val="0D7557DF"/>
    <w:rsid w:val="0D853E34"/>
    <w:rsid w:val="0D9C2A57"/>
    <w:rsid w:val="0DC3019B"/>
    <w:rsid w:val="0DFA5D82"/>
    <w:rsid w:val="0E1E52CE"/>
    <w:rsid w:val="0E866524"/>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5E11DC0"/>
    <w:rsid w:val="16457D9F"/>
    <w:rsid w:val="17223EFF"/>
    <w:rsid w:val="178833B6"/>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D21FF2"/>
    <w:rsid w:val="2A3E2317"/>
    <w:rsid w:val="2A611B0F"/>
    <w:rsid w:val="2AC1762B"/>
    <w:rsid w:val="2AE845D0"/>
    <w:rsid w:val="2B043E5C"/>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D7ECED1"/>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145DDE"/>
    <w:rsid w:val="36330424"/>
    <w:rsid w:val="36FE3ABA"/>
    <w:rsid w:val="37072BDE"/>
    <w:rsid w:val="37455334"/>
    <w:rsid w:val="37527C32"/>
    <w:rsid w:val="376F0A96"/>
    <w:rsid w:val="37731921"/>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C46D08"/>
    <w:rsid w:val="3BD30423"/>
    <w:rsid w:val="3BDF4895"/>
    <w:rsid w:val="3C6C0B58"/>
    <w:rsid w:val="3CBE41D5"/>
    <w:rsid w:val="3D446B0E"/>
    <w:rsid w:val="3D745844"/>
    <w:rsid w:val="3D953A6B"/>
    <w:rsid w:val="3DBB5979"/>
    <w:rsid w:val="3DD56F21"/>
    <w:rsid w:val="3DEF6699"/>
    <w:rsid w:val="3E1057AF"/>
    <w:rsid w:val="3E6C0DFA"/>
    <w:rsid w:val="3E740322"/>
    <w:rsid w:val="3E7F4380"/>
    <w:rsid w:val="3E8D171B"/>
    <w:rsid w:val="3EA5630D"/>
    <w:rsid w:val="3EBA731B"/>
    <w:rsid w:val="3EE33949"/>
    <w:rsid w:val="3EEACD73"/>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021C2"/>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357B6A"/>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24043A"/>
    <w:rsid w:val="483820D2"/>
    <w:rsid w:val="48692CD0"/>
    <w:rsid w:val="48AE3D01"/>
    <w:rsid w:val="48B06F92"/>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DF5563"/>
    <w:rsid w:val="4CFB2214"/>
    <w:rsid w:val="4D2C4D26"/>
    <w:rsid w:val="4D335E0E"/>
    <w:rsid w:val="4D4E4EA3"/>
    <w:rsid w:val="4D9A5B1B"/>
    <w:rsid w:val="4DA55D85"/>
    <w:rsid w:val="4DBB20DB"/>
    <w:rsid w:val="4DDC3F22"/>
    <w:rsid w:val="4DE66FB2"/>
    <w:rsid w:val="4DEC6CB8"/>
    <w:rsid w:val="4E1040C7"/>
    <w:rsid w:val="4E1760BF"/>
    <w:rsid w:val="4E30647F"/>
    <w:rsid w:val="4E5F3FC0"/>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4FC4714D"/>
    <w:rsid w:val="503D1C79"/>
    <w:rsid w:val="507A6406"/>
    <w:rsid w:val="50853863"/>
    <w:rsid w:val="508A4590"/>
    <w:rsid w:val="50F1461D"/>
    <w:rsid w:val="50FE5411"/>
    <w:rsid w:val="510B072E"/>
    <w:rsid w:val="511B0BF4"/>
    <w:rsid w:val="51264306"/>
    <w:rsid w:val="512A18AC"/>
    <w:rsid w:val="514E62C9"/>
    <w:rsid w:val="516123CE"/>
    <w:rsid w:val="517624D8"/>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C1326E"/>
    <w:rsid w:val="54D26583"/>
    <w:rsid w:val="55363E67"/>
    <w:rsid w:val="556E6DF7"/>
    <w:rsid w:val="55965CE3"/>
    <w:rsid w:val="559D47CE"/>
    <w:rsid w:val="55BE1959"/>
    <w:rsid w:val="55D02382"/>
    <w:rsid w:val="56232437"/>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41EC4"/>
    <w:rsid w:val="5C8E5C5A"/>
    <w:rsid w:val="5C965E61"/>
    <w:rsid w:val="5CF0089C"/>
    <w:rsid w:val="5CF5796F"/>
    <w:rsid w:val="5D242A11"/>
    <w:rsid w:val="5D9217C2"/>
    <w:rsid w:val="5DAD06BF"/>
    <w:rsid w:val="5DBBFF12"/>
    <w:rsid w:val="5DC92CE9"/>
    <w:rsid w:val="5DE23CB3"/>
    <w:rsid w:val="5DE97EEC"/>
    <w:rsid w:val="5DFA5EB0"/>
    <w:rsid w:val="5E000E4D"/>
    <w:rsid w:val="5E0B583E"/>
    <w:rsid w:val="5E201A7B"/>
    <w:rsid w:val="5EA45884"/>
    <w:rsid w:val="5EBD0484"/>
    <w:rsid w:val="5F2C5C7C"/>
    <w:rsid w:val="5F36141C"/>
    <w:rsid w:val="5FC5273F"/>
    <w:rsid w:val="5FDD0C57"/>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AB223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5D716AA"/>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5AB798"/>
    <w:rsid w:val="6FA14A81"/>
    <w:rsid w:val="6FA3261F"/>
    <w:rsid w:val="6FA59283"/>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3177841"/>
    <w:rsid w:val="733774FE"/>
    <w:rsid w:val="734E594C"/>
    <w:rsid w:val="73617E1B"/>
    <w:rsid w:val="736D7653"/>
    <w:rsid w:val="738035CB"/>
    <w:rsid w:val="73852C46"/>
    <w:rsid w:val="7396335C"/>
    <w:rsid w:val="73F46595"/>
    <w:rsid w:val="73FBB56E"/>
    <w:rsid w:val="74283FA2"/>
    <w:rsid w:val="742C135B"/>
    <w:rsid w:val="74463733"/>
    <w:rsid w:val="748A2F40"/>
    <w:rsid w:val="74D84FF7"/>
    <w:rsid w:val="74F35FB8"/>
    <w:rsid w:val="74F85778"/>
    <w:rsid w:val="75272439"/>
    <w:rsid w:val="758F1E9B"/>
    <w:rsid w:val="75CE266B"/>
    <w:rsid w:val="75D7ECB3"/>
    <w:rsid w:val="76120141"/>
    <w:rsid w:val="766A4299"/>
    <w:rsid w:val="768216BE"/>
    <w:rsid w:val="76C23B43"/>
    <w:rsid w:val="76FD6F97"/>
    <w:rsid w:val="770218E8"/>
    <w:rsid w:val="77472401"/>
    <w:rsid w:val="779469CE"/>
    <w:rsid w:val="77C875A5"/>
    <w:rsid w:val="78A27DF6"/>
    <w:rsid w:val="79285B3A"/>
    <w:rsid w:val="79490B03"/>
    <w:rsid w:val="79625CA9"/>
    <w:rsid w:val="79A91196"/>
    <w:rsid w:val="7A0B32D3"/>
    <w:rsid w:val="7AC13CD3"/>
    <w:rsid w:val="7AE10264"/>
    <w:rsid w:val="7AE4248E"/>
    <w:rsid w:val="7AF47613"/>
    <w:rsid w:val="7B4A207F"/>
    <w:rsid w:val="7B936F45"/>
    <w:rsid w:val="7BA47419"/>
    <w:rsid w:val="7BB10D45"/>
    <w:rsid w:val="7BB44151"/>
    <w:rsid w:val="7BBD3A54"/>
    <w:rsid w:val="7C656A39"/>
    <w:rsid w:val="7CB93996"/>
    <w:rsid w:val="7CBE0F99"/>
    <w:rsid w:val="7D093576"/>
    <w:rsid w:val="7D4E45F1"/>
    <w:rsid w:val="7DFB6D82"/>
    <w:rsid w:val="7DFED4AA"/>
    <w:rsid w:val="7E1D71D1"/>
    <w:rsid w:val="7E246254"/>
    <w:rsid w:val="7E553215"/>
    <w:rsid w:val="7E6D090F"/>
    <w:rsid w:val="7ECC66B2"/>
    <w:rsid w:val="7EEB9CA9"/>
    <w:rsid w:val="7F2914C3"/>
    <w:rsid w:val="7F5F2ED6"/>
    <w:rsid w:val="7F7BD542"/>
    <w:rsid w:val="7FA837EF"/>
    <w:rsid w:val="7FBC9352"/>
    <w:rsid w:val="7FC11EF6"/>
    <w:rsid w:val="7FC36955"/>
    <w:rsid w:val="7FE903A0"/>
    <w:rsid w:val="7FF07065"/>
    <w:rsid w:val="7FF97946"/>
    <w:rsid w:val="7FFE7888"/>
    <w:rsid w:val="8E7B9B6B"/>
    <w:rsid w:val="AFFFAB52"/>
    <w:rsid w:val="BDDD45B9"/>
    <w:rsid w:val="BDDF7127"/>
    <w:rsid w:val="BFA54E51"/>
    <w:rsid w:val="CDF70E8B"/>
    <w:rsid w:val="D3E60E83"/>
    <w:rsid w:val="DB4FE050"/>
    <w:rsid w:val="DFBD6FEF"/>
    <w:rsid w:val="DFDB6FA4"/>
    <w:rsid w:val="E1CFCBEA"/>
    <w:rsid w:val="E1EF5B3B"/>
    <w:rsid w:val="E2DE949D"/>
    <w:rsid w:val="E4C8A119"/>
    <w:rsid w:val="E9EF6F43"/>
    <w:rsid w:val="EDFFE889"/>
    <w:rsid w:val="EEE74D43"/>
    <w:rsid w:val="EF7BA4A3"/>
    <w:rsid w:val="F4B59182"/>
    <w:rsid w:val="F997E54E"/>
    <w:rsid w:val="FB4C53D1"/>
    <w:rsid w:val="FBEF8F85"/>
    <w:rsid w:val="FCE5F63C"/>
    <w:rsid w:val="FD6FC958"/>
    <w:rsid w:val="FFFA960E"/>
    <w:rsid w:val="FFFED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0</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