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天津市东丽区市场监督管理局（本级）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一）负责市场综合监督管理。贯彻执行市场监督管理、药品、医疗器械和化妆品监管以及知识产权方面法律、法规、规章和政策、标准，组织实施质量强国战略、国家知识产权战略、质量立市战略和食品安全战略、标准化战略，拟订并组织实施有关市场监管、药品、医疗器械和化妆品监管以及知识产权规划、计划，规范和维护市场秩序，营造诚实守信、公平竞争的市场环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二）负责本区市场主体统一登记注册。负责本区各类企业、农民专业合作社和从事经营活动的单位、个体工商户，以及外国（地区）企业常驻代表机构等市场主体的登记注册、行政许可和监督管理工作。负责本区法人和其他组织统一社会信用代码相关工作。建立市场主体信息公示和共享机制，依法公示和共享有关信息，加强信用监管，推动市场主体信用体系建设。（三）负责药品零售、医疗器械经营的许可、检查和处罚，以及化妆品经营和药品、医疗器械使用环节质量的检查和处罚。</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（四）负责组织实施和指导本区市场监管综合执法工作。负责区市场监管综合执法队伍建设，推动实行统一的市场监管。组织查处重大违法案件。规范市场监管行政执法行为。</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五）负责监督管理市场秩序。依法监督管理市场交易、网络商品交易及有关服务的行为。依法实施合同、拍卖行为监督管理，管理动产抵押物登记工作。负责依法对价格活动进行监督检查，规范市场价格秩序。对违反价格管理的违法违规行为进行处罚。处理价格举报和投诉。贯彻落实公平竞争审查制度。组织指导查处不正当竞争、违法直销、传销、侵犯商标专利知识产权和制售假冒伪劣行为。指导广告业发展，监督管理广告活动。组织查处无照生产经营和相关无证生产经营行为。</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六）负责消费者维权工作。组织开展本行政区域内商品和相关服务领域消费维权工作，负责查处侵害消费者权益违法行为，依法处置产品质量投诉举报，承担消费者咨询、投诉、举报的受理处理和网络体系建设等工作。承担消费教育引导，推动经营者自律。指导区消费者协会开展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（七）负责宏观质量管理。拟订并组织实施本区质量发展的制度措施。拟定并组织实施本区质量提升活动的制度措施。组织实施质量激励制度，推动品牌建设，推广先进质量管理方法，组织产品质量状况分析。</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八）负责产品、药品、医疗器械和化妆品质量安全监督管理。管理产品、药品、医疗器械和化妆品质量安全风险监控、监督抽检工作。组织实施质量分级制度、质量安全追溯制度。负责工业产品生产许可管理并实施监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（九）负责特种设备安全监督管理。综合管理特种设备安全监察、监督工作，监督检查高耗能特种设备节能标准的执行情况。</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负责食品安全监督管理综合协调。组织落实本市食品安全重大政策。负责食品安全应急体系建设，组织和指导重大食品安全事件应急处置和调查处理工作。建立健全食品安全重要信息直报制度。承担区食品安全委员会日常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一）负责食品、药品、医疗器械和化妆品安全监督管理。建立本区覆盖食品、药品、医疗器械和化妆品生产（药品、医疗器械和化妆品除外）、流通、消费全过程的监督检查制度和隐患排查治理机制并组织实施，防范区域性、系统性安全风险。推动建立生产经营者落实主体责任的机制，健全食品、药品、医疗器械和化妆品安全追溯体系。组织开展食品、药品、医疗器械和化妆品安全监督抽检、风险监测、检查处置工作，定期发布相关信息。组织实施特殊食品、药品、医疗器械和化妆品备案和监督管理。负责食盐生产及经营的质量安全监督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二）负责统一管理计量工作。推行法定计量单位和国家计量制度，执行地方计量检定规程和计量技术规范，依法管理计量器具及量值传递和比对工作，规范、监督商品量和市场计量行为。依法负责查处计量违法行为。</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三）负责统一管理标准化工作。负责组织国家标准、行业标准和地方标准的贯彻和实施。实行团体标准、企业标准自我声明公开和监督制度。积极推动企业参与国际标准、国家标准、行业标准和地方标准的制修订。组织开展标准示范试点工作。负责组织协调商品条码工作。配合有关部门实施国家基本药物制度。</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（十四）负责本区检验检测机构资质监督管理工作。组织推进检验检测机构改革，规范检验检测市场，完善检验检测体系，指导协调本区检验检测行业发展。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（十五）负责统一管理、监督和综合协调全区认证认可工作。负责组织实施认证认可监督管理工作。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六）负责制定市场监督管理的科技发展和信息化建设规划并组织实施。负责本区市场监督管理、药品、医疗器械、化妆品和知识产权相关的新闻宣传、教育培训、对外合作交流和信息发布工作。按规定承担技术性贸易措施有关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（十七）负责本领域安全生产监督管理工作。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（十八）负责本领域人才队伍建设。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（十九）配合有关部门推动招商引资工作。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（二十）承办区委、区政府交办的其他事项。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w:t>
      </w:r>
      <w:r>
        <w:rPr>
          <w:rFonts w:ascii="Times New Roman" w:eastAsia="仿宋_GB2312"/>
          <w:b w:val="false"/>
          <w:sz w:val="30"/>
          <w:szCs w:val="30"/>
        </w:rPr>
        <w:t>内设</w:t>
      </w:r>
      <w:r>
        <w:rPr>
          <w:rFonts w:ascii="Times New Roman" w:eastAsia="仿宋_GB2312"/>
          <w:b w:val="false"/>
          <w:sz w:val="30"/>
          <w:szCs w:val="30"/>
        </w:rPr>
        <w:t>21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天津市东丽区市场监督管理局（本级）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天津市东丽区市场监督管理局（本级）</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61,644,256.56</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40,906,180.78</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5,476,395.67</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2,741,634.00</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2,234.69</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11,957,012.00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61,646,491.25</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61,081,222.45</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30,421.33</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595,690.13</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30,421.33</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61,676,912.58</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61,676,912.58</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61,646,491.25</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61,644,256.56</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2,234.69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40,907,353.99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40,905,119.30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2,234.69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知识产权事务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2011499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其他知识产权事务支出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市场监督管理事务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40,427,353.99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40,425,119.30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2,234.69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35,238,536.59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35,236,301.90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2,234.69</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一般行政管理事务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2,004,788.36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2,004,788.36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药品事务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237,000.00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237,000.00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2013815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质量安全监管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2013816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食品安全监管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1,949,374.20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1,949,374.20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其他市场监督管理事务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557,654.84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557,654.84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5,691,813.96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5,691,813.96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5,691,813.96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5,691,813.96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3,794,542.64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3,794,542.64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1,897,271.32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1,897,271.32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2,773,934.30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2,773,934.30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2,773,934.30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2,773,934.30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2,318,494.32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2,318,494.32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455,439.98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455,439.98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12,273,389.00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12,273,389.00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12,273,389.00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12,273,389.00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12,273,389.00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12,273,389.00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部门（单位）：天津市东丽区市场监督管理局（本级）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61,676,912.58</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61,646,491.25</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61,644,256.56</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2,234.69</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30,421.33</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30,421.33</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30,421.33</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355101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天津市东丽区市场监督管理局（本级）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61,676,912.58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61,646,491.25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61,644,256.56</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2,234.69</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30,421.33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30,421.33</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30,421.33</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61,081,222.45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55,412,405.05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5,668,817.40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40,906,180.78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35,237,363.38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5,668,817.40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知识产权事务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2011499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其他知识产权事务支出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40,426,180.78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35,237,363.38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5,188,817.40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35,237,363.38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35,237,363.38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2,004,788.36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2,004,788.36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药品事务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237,000.00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237,000.00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质量安全监管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食品安全监管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1,949,374.20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1,949,374.20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557,654.84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557,654.84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5,476,395.67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5,476,395.67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5,476,395.67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5,476,395.67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3,651,031.19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3,651,031.19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1,825,364.48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1,825,364.48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2,741,634.00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2,741,634.00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2,741,634.00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2,741,634.00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2,286,194.02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2,286,194.02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455,439.98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455,439.98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11,957,012.00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11,957,012.00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11,957,012.00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11,957,012.00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11,957,012.00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11,957,012.00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61,644,256.56</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40,905,119.30</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40,905,119.30</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5,476,395.67</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5,476,395.67</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2,741,634.00</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2,741,634.00</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11,957,012.00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11,957,012.00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61,644,256.56</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61,080,160.97</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61,080,160.97</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564,095.59</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564,095.59</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61,644,256.56</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61,644,256.56</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61,644,256.56</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天津市东丽区市场监督管理局（本级）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61,080,160.97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55,411,343.57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48,116,472.86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7,294,870.71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5,668,817.40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40,905,119.30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35,236,301.90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27,941,431.19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7,294,870.71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5,668,817.40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知识产权事务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2011499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其他知识产权事务支出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市场监督管理事务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40,425,119.30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35,236,301.90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27,941,431.19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7,294,870.71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5,188,817.40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35,236,301.90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35,236,301.90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27,941,431.19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7,294,870.71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一般行政管理事务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2,004,788.36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2,004,788.36</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2013812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药品事务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237,000.00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237,000.00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2013815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质量安全监管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2013816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食品安全监管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1,949,374.20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1,949,374.20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其他市场监督管理事务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557,654.84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557,654.84</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5,476,395.67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5,476,395.67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5,476,395.67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5,476,395.67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5,476,395.67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5,476,395.67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3,651,031.19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3,651,031.19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3,651,031.19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1,825,364.48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1,825,364.48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1,825,364.48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2,741,634.00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2,741,634.00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2,741,634.00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2,741,634.00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2,741,634.00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2,741,634.00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2,286,194.02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2,286,194.02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2,286,194.02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455,439.98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455,439.98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455,439.98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11,957,012.00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11,957,012.00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11,957,012.00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11,957,012.00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11,957,012.00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11,957,012.00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11,957,012.00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11,957,012.00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11,957,012.00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47,115,999.22</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7,290,993.71</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8,374,934.26</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943,042.62</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10,843,193.85</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3,877.00</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2,367,126.00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3,877.00</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5,277,600.00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44,936.80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3,651,031.19</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484,446.06</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1,825,364.48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117,226.00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2,281,878.55</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642,990.62</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456,341.12</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1,092,208.68</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68,455.77</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16,638.42</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11,957,012.00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137,585.80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13,062.00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360,468.88</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1,000,473.64</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208,273.86</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4,500.00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646,059.48</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414,898.83</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294,381.00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205,000.00</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1,552,470.00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145,295.30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48,116,472.86</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7,294,870.71</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天津市东丽区市场监督管理局（本级）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天津市东丽区市场监督管理局（本级）</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天津市东丽区市场监督管理局（本级）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天津市东丽区市场监督管理局（本级）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402,924.84</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402,924.84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194,600.00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208,324.84</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5,668,817.40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5,668,817.40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5,668,817.40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5,668,817.40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知识产权事务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2011499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其他知识产权事务支出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2011499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知识产权专项经费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市场监督管理事务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5,188,817.40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5,188,817.40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一般行政管理事务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2,004,788.36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2,004,788.36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抚恤金（第八批）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165,344.00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165,344.00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抚恤金第六批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266,322.00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266,322.00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抚恤金（第二批）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174,722.00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174,722.00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抚恤金第五批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164,082.00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164,082.00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公益性岗位补贴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834,154.36</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834,154.36</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抚恤金第七批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400,164.00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400,164.00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药品事务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237,000.00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237,000.00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药品器械抽检经费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237,000.00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237,000.00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质量安全监管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质量安全工作经费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食品安全监管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1,949,374.20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1,949,374.20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食品安全工作经费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食品安全监管经费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859,374.20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859,374.20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食品安全工作经费（第一批）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其他市场监督管理事务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557,654.84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557,654.84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执法车辆购置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197,924.84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197,924.84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行政和执法专项经费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359,730.00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359,730.00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w:t>
      </w:r>
      <w:r>
        <w:rPr>
          <w:rFonts w:ascii="Times New Roman" w:eastAsia="仿宋_GB2312"/>
          <w:b w:val="false"/>
          <w:sz w:val="30"/>
          <w:szCs w:val="30"/>
        </w:rPr>
        <w:t>2024年度收入、支出决算总计</w:t>
      </w:r>
      <w:r>
        <w:rPr>
          <w:rFonts w:ascii="Times New Roman" w:eastAsia="仿宋_GB2312"/>
          <w:b w:val="false"/>
          <w:sz w:val="30"/>
          <w:szCs w:val="30"/>
        </w:rPr>
        <w:t>61,676,912.58</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6,804,781.00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9.937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一是节约经费开支，项目支出减少；二是人员变动导致支出变动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一般公共预算财政拨款收入61,644,256.56元、其他收入2,234.69元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一般公共服务支出40,906,180.78元、社会保障和就业支出5,476,395.67元、卫生健康支出2,741,634.00元、住房保障支出11,957,012.00元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w:t>
      </w:r>
      <w:r>
        <w:rPr>
          <w:rFonts w:ascii="Times New Roman" w:eastAsia="仿宋_GB2312"/>
          <w:b w:val="false"/>
          <w:sz w:val="30"/>
          <w:szCs w:val="30"/>
        </w:rPr>
        <w:t>2024年度本年收入合计</w:t>
      </w:r>
      <w:r>
        <w:rPr>
          <w:rFonts w:ascii="Times New Roman" w:eastAsia="仿宋_GB2312"/>
          <w:b w:val="false"/>
          <w:sz w:val="30"/>
          <w:szCs w:val="30"/>
        </w:rPr>
        <w:t>61,646,491.25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6,435,365.18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一是节约经费开支，项目支出减少；二是人员变动导致支出变动</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一般公共预算财政拨款收入61,644,256.56元，占99.996%；其他收入2,234.69元，占0.004%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w:t>
      </w:r>
      <w:r>
        <w:rPr>
          <w:rFonts w:ascii="Times New Roman" w:eastAsia="仿宋_GB2312"/>
          <w:b w:val="false"/>
          <w:sz w:val="30"/>
          <w:szCs w:val="30"/>
        </w:rPr>
        <w:t>2024年度本年支出合计</w:t>
      </w:r>
      <w:r>
        <w:rPr>
          <w:rFonts w:ascii="Times New Roman" w:eastAsia="仿宋_GB2312"/>
          <w:b w:val="false"/>
          <w:sz w:val="30"/>
          <w:szCs w:val="30"/>
        </w:rPr>
        <w:t>61,081,222.45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7,008,590.79</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一是节约经费开支，项目支出减少；二是人员变动导致支出变动</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基本支出55,412,405.05元，占90.719%；项目支出5,668,817.40元，占9.281%</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w:t>
      </w:r>
      <w:r>
        <w:rPr>
          <w:rFonts w:ascii="Times New Roman" w:eastAsia="仿宋_GB2312"/>
          <w:b w:val="false"/>
          <w:sz w:val="30"/>
          <w:szCs w:val="30"/>
        </w:rPr>
        <w:t>2024年度财政拨款收入、支出决算总计</w:t>
      </w:r>
      <w:r>
        <w:rPr>
          <w:rFonts w:ascii="Times New Roman" w:eastAsia="仿宋_GB2312"/>
          <w:b w:val="false"/>
          <w:sz w:val="30"/>
          <w:szCs w:val="30"/>
        </w:rPr>
        <w:t>61,644,256.56</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6,804,936.27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9.942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一是节约经费开支，项目支出减少；二是人员变动导致支出变动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一般公共预算财政拨款61,644,256.56元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一般公共服务支出40,905,119.30元、社会保障和就业支出5,476,395.67元、卫生健康支出2,741,634.00元、住房保障支出11,957,012.00元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61,080,160.97</w:t>
      </w:r>
      <w:r>
        <w:rPr>
          <w:rFonts w:ascii="Times New Roman" w:eastAsia="仿宋_GB2312"/>
          <w:b w:val="false"/>
          <w:sz w:val="30"/>
          <w:szCs w:val="30"/>
        </w:rPr>
        <w:t>元，占本年支出合计的</w:t>
      </w:r>
      <w:r>
        <w:rPr>
          <w:rFonts w:ascii="Times New Roman" w:eastAsia="仿宋_GB2312"/>
          <w:b w:val="false"/>
          <w:sz w:val="30"/>
          <w:szCs w:val="30"/>
        </w:rPr>
        <w:t>99.998</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7,007,572.85</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10.292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一是节约经费开支，项目支出减少；二是人员变动导致支出变动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61,080,160.97</w:t>
      </w:r>
      <w:r>
        <w:rPr>
          <w:rFonts w:ascii="Times New Roman" w:eastAsia="仿宋_GB2312"/>
          <w:b w:val="false"/>
          <w:sz w:val="30"/>
          <w:szCs w:val="30"/>
        </w:rPr>
        <w:t>元，主要用于以下方面：</w:t>
      </w:r>
      <w:r>
        <w:rPr>
          <w:rFonts w:ascii="Times New Roman" w:eastAsia="仿宋_GB2312"/>
          <w:b w:val="false"/>
          <w:sz w:val="30"/>
          <w:szCs w:val="30"/>
        </w:rPr>
        <w:t>一般公共服务支出（类）40,905,119.30元，占66.970%；社会保障和就业支出（类）5,476,395.67元，占8.966%；卫生健康支出（类）2,741,634.00元，占4.489%；住房保障支出（类）11,957,012.00元，占19.576%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55,040,900.00</w:t>
      </w:r>
      <w:r>
        <w:rPr>
          <w:rFonts w:ascii="Times New Roman" w:eastAsia="仿宋_GB2312"/>
          <w:b w:val="false"/>
          <w:sz w:val="30"/>
          <w:szCs w:val="30"/>
        </w:rPr>
        <w:t>元，支出决算为</w:t>
      </w:r>
      <w:r>
        <w:rPr>
          <w:rFonts w:ascii="Times New Roman" w:eastAsia="仿宋_GB2312"/>
          <w:b w:val="false"/>
          <w:sz w:val="30"/>
          <w:szCs w:val="30"/>
        </w:rPr>
        <w:t>61,080,160.97</w:t>
      </w:r>
      <w:r>
        <w:rPr>
          <w:rFonts w:ascii="Times New Roman" w:eastAsia="仿宋_GB2312"/>
          <w:b w:val="false"/>
          <w:sz w:val="30"/>
          <w:szCs w:val="30"/>
        </w:rPr>
        <w:t>元，完成年初预算的</w:t>
      </w:r>
      <w:r>
        <w:rPr>
          <w:rFonts w:ascii="Times New Roman" w:eastAsia="仿宋_GB2312"/>
          <w:b w:val="false"/>
          <w:sz w:val="30"/>
          <w:szCs w:val="30"/>
        </w:rPr>
        <w:t>110.972</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知识产权事务</w:t>
      </w:r>
      <w:r>
        <w:rPr>
          <w:rFonts w:ascii="Times New Roman" w:eastAsia="仿宋_GB2312"/>
          <w:b w:val="false"/>
          <w:sz w:val="30"/>
          <w:szCs w:val="30"/>
        </w:rPr>
        <w:t>(款)</w:t>
      </w:r>
      <w:r>
        <w:rPr>
          <w:rFonts w:ascii="Times New Roman" w:eastAsia="仿宋_GB2312"/>
          <w:b w:val="false"/>
          <w:sz w:val="30"/>
          <w:szCs w:val="30"/>
        </w:rPr>
        <w:t>其他知识产权事务支出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480,000.00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年中调整预算，新增项目用于开展各项知识产权事务</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34,183,500.00</w:t>
      </w:r>
      <w:r>
        <w:rPr>
          <w:rFonts w:ascii="Times New Roman" w:eastAsia="仿宋_GB2312"/>
          <w:b w:val="false"/>
          <w:sz w:val="30"/>
          <w:szCs w:val="30"/>
        </w:rPr>
        <w:t>元，支出决算为</w:t>
      </w:r>
      <w:r>
        <w:rPr>
          <w:rFonts w:ascii="Times New Roman" w:eastAsia="仿宋_GB2312"/>
          <w:b w:val="false"/>
          <w:sz w:val="30"/>
          <w:szCs w:val="30"/>
        </w:rPr>
        <w:t>35,236,301.90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103.080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一是节约经费开支；二是人员变动导致支出变动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一般行政管理事务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2,004,788.36</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年中调整预算，新增项目用于支付抚恤金和公益岗人员工资</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药品事务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237,000.00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年中调整预算，新增项目用于开展药品抽检等</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质量安全监管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440,000.00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年中调整预算，新增项目用于开展产商品抽检等</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食品安全监管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1,949,374.20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年中调整预算，新增项目用于开展食品抽检等</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其他市场监督管理事务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557,654.84</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年中调整预算，新增项目用于支付还迁房电梯保险和购置执法车辆等</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3,818,600.00</w:t>
      </w:r>
      <w:r>
        <w:rPr>
          <w:rFonts w:ascii="Times New Roman" w:eastAsia="仿宋_GB2312"/>
          <w:b w:val="false"/>
          <w:sz w:val="30"/>
          <w:szCs w:val="30"/>
        </w:rPr>
        <w:t>元，支出决算为</w:t>
      </w:r>
      <w:r>
        <w:rPr>
          <w:rFonts w:ascii="Times New Roman" w:eastAsia="仿宋_GB2312"/>
          <w:b w:val="false"/>
          <w:sz w:val="30"/>
          <w:szCs w:val="30"/>
        </w:rPr>
        <w:t>3,651,031.19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95.612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1,909,300.00</w:t>
      </w:r>
      <w:r>
        <w:rPr>
          <w:rFonts w:ascii="Times New Roman" w:eastAsia="仿宋_GB2312"/>
          <w:b w:val="false"/>
          <w:sz w:val="30"/>
          <w:szCs w:val="30"/>
        </w:rPr>
        <w:t>元，支出决算为</w:t>
      </w:r>
      <w:r>
        <w:rPr>
          <w:rFonts w:ascii="Times New Roman" w:eastAsia="仿宋_GB2312"/>
          <w:b w:val="false"/>
          <w:sz w:val="30"/>
          <w:szCs w:val="30"/>
        </w:rPr>
        <w:t>1,825,364.48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95.604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10.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2,386,700.00</w:t>
      </w:r>
      <w:r>
        <w:rPr>
          <w:rFonts w:ascii="Times New Roman" w:eastAsia="仿宋_GB2312"/>
          <w:b w:val="false"/>
          <w:sz w:val="30"/>
          <w:szCs w:val="30"/>
        </w:rPr>
        <w:t>元，支出决算为</w:t>
      </w:r>
      <w:r>
        <w:rPr>
          <w:rFonts w:ascii="Times New Roman" w:eastAsia="仿宋_GB2312"/>
          <w:b w:val="false"/>
          <w:sz w:val="30"/>
          <w:szCs w:val="30"/>
        </w:rPr>
        <w:t>2,286,194.02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95.789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11.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477,300.00</w:t>
      </w:r>
      <w:r>
        <w:rPr>
          <w:rFonts w:ascii="Times New Roman" w:eastAsia="仿宋_GB2312"/>
          <w:b w:val="false"/>
          <w:sz w:val="30"/>
          <w:szCs w:val="30"/>
        </w:rPr>
        <w:t>元，支出决算为</w:t>
      </w:r>
      <w:r>
        <w:rPr>
          <w:rFonts w:ascii="Times New Roman" w:eastAsia="仿宋_GB2312"/>
          <w:b w:val="false"/>
          <w:sz w:val="30"/>
          <w:szCs w:val="30"/>
        </w:rPr>
        <w:t>455,439.98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95.420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12.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12,265,500.00</w:t>
      </w:r>
      <w:r>
        <w:rPr>
          <w:rFonts w:ascii="Times New Roman" w:eastAsia="仿宋_GB2312"/>
          <w:b w:val="false"/>
          <w:sz w:val="30"/>
          <w:szCs w:val="30"/>
        </w:rPr>
        <w:t>元，支出决算为</w:t>
      </w:r>
      <w:r>
        <w:rPr>
          <w:rFonts w:ascii="Times New Roman" w:eastAsia="仿宋_GB2312"/>
          <w:b w:val="false"/>
          <w:sz w:val="30"/>
          <w:szCs w:val="30"/>
        </w:rPr>
        <w:t>11,957,012.00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97.485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人员变动，基数调整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55,411,343.57</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1,400,534.27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人员变动导致支出变动</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48,116,472.86</w:t>
      </w:r>
      <w:r>
        <w:rPr>
          <w:rFonts w:ascii="Times New Roman" w:eastAsia="仿宋_GB2312"/>
          <w:b w:val="false"/>
          <w:sz w:val="30"/>
          <w:szCs w:val="30"/>
        </w:rPr>
        <w:t>元，主要包括</w:t>
      </w:r>
      <w:r>
        <w:rPr>
          <w:rFonts w:ascii="Times New Roman" w:eastAsia="仿宋_GB2312"/>
          <w:b w:val="false"/>
          <w:sz w:val="30"/>
          <w:szCs w:val="30"/>
        </w:rPr>
        <w:t>基本工资、津贴补贴、奖金、绩效工资、机关事业单位基本养老保险缴费、职业年金缴费、职工基本医疗保险缴费、公务员医疗补助缴费、其他社会保障缴费、住房公积金、其他工资福利支出、离休费、退休费、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7,294,870.71</w:t>
      </w:r>
      <w:r>
        <w:rPr>
          <w:rFonts w:ascii="Times New Roman" w:eastAsia="仿宋_GB2312"/>
          <w:b w:val="false"/>
          <w:sz w:val="30"/>
          <w:szCs w:val="30"/>
        </w:rPr>
        <w:t>元，主要包括</w:t>
      </w:r>
      <w:r>
        <w:rPr>
          <w:rFonts w:ascii="Times New Roman" w:eastAsia="仿宋_GB2312"/>
          <w:b w:val="false"/>
          <w:sz w:val="30"/>
          <w:szCs w:val="30"/>
        </w:rPr>
        <w:t>办公费、手续费、水费、电费、邮电费、取暖费、物业管理费、差旅费、维修(护)费、租赁费、培训费、工会经费、福利费、公务用车运行维护费、其他交通费用、其他商品和服务支出和办公设备购置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402,924.84</w:t>
      </w:r>
      <w:r>
        <w:rPr>
          <w:rFonts w:ascii="Times New Roman" w:eastAsia="仿宋_GB2312"/>
          <w:b w:val="false"/>
          <w:sz w:val="30"/>
          <w:szCs w:val="30"/>
        </w:rPr>
        <w:t>元，支出决算</w:t>
      </w:r>
      <w:r>
        <w:rPr>
          <w:rFonts w:ascii="Times New Roman" w:eastAsia="仿宋_GB2312"/>
          <w:b w:val="false"/>
          <w:sz w:val="30"/>
          <w:szCs w:val="30"/>
        </w:rPr>
        <w:t>402,924.84</w:t>
      </w:r>
      <w:r>
        <w:rPr>
          <w:rFonts w:ascii="Times New Roman" w:eastAsia="仿宋_GB2312"/>
          <w:b w:val="false"/>
          <w:sz w:val="30"/>
          <w:szCs w:val="30"/>
        </w:rPr>
        <w:t>元，与2024年预算相比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73,499.60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22.311</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调整预算，新增车辆购置2辆</w:t>
      </w:r>
      <w:r>
        <w:rPr>
          <w:rFonts w:ascii="Times New Roman" w:eastAsia="仿宋_GB2312"/>
          <w:b w:val="false"/>
          <w:sz w:val="30"/>
          <w:szCs w:val="30"/>
        </w:rPr>
        <w:t>；</w:t>
      </w:r>
      <w:r>
        <w:rPr>
          <w:rFonts w:ascii="Times New Roman" w:eastAsia="仿宋_GB2312"/>
          <w:b w:val="false"/>
          <w:sz w:val="30"/>
          <w:szCs w:val="30"/>
        </w:rPr>
        <w:t>决算数较上年增加的主要原因是</w:t>
      </w:r>
      <w:r>
        <w:rPr>
          <w:rFonts w:ascii="Times New Roman" w:eastAsia="仿宋_GB2312"/>
          <w:b w:val="false"/>
          <w:sz w:val="30"/>
          <w:szCs w:val="30"/>
        </w:rPr>
        <w:t>新增车辆购置2辆</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402,924.84</w:t>
      </w:r>
      <w:r>
        <w:rPr>
          <w:rFonts w:ascii="Times New Roman" w:eastAsia="仿宋_GB2312"/>
          <w:b w:val="false"/>
          <w:sz w:val="30"/>
          <w:szCs w:val="30"/>
        </w:rPr>
        <w:t>元，支出决算</w:t>
      </w:r>
      <w:r>
        <w:rPr>
          <w:rFonts w:ascii="Times New Roman" w:eastAsia="仿宋_GB2312"/>
          <w:b w:val="false"/>
          <w:sz w:val="30"/>
          <w:szCs w:val="30"/>
        </w:rPr>
        <w:t>402,924.84</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73,499.60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22.311</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决算数较上年增加的主要原因是</w:t>
      </w:r>
      <w:r>
        <w:rPr>
          <w:rFonts w:ascii="Times New Roman" w:eastAsia="仿宋_GB2312"/>
          <w:b w:val="false"/>
          <w:sz w:val="30"/>
          <w:szCs w:val="30"/>
        </w:rPr>
        <w:t>新增车辆购置2辆</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208,324.84</w:t>
      </w:r>
      <w:r>
        <w:rPr>
          <w:rFonts w:ascii="Times New Roman" w:eastAsia="仿宋_GB2312"/>
          <w:b w:val="false"/>
          <w:sz w:val="30"/>
          <w:szCs w:val="30"/>
        </w:rPr>
        <w:t>元，支出决算</w:t>
      </w:r>
      <w:r>
        <w:rPr>
          <w:rFonts w:ascii="Times New Roman" w:eastAsia="仿宋_GB2312"/>
          <w:b w:val="false"/>
          <w:sz w:val="30"/>
          <w:szCs w:val="30"/>
        </w:rPr>
        <w:t>208,324.84</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110,499.60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112.956</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决算数较上年增加的主要原因是</w:t>
      </w:r>
      <w:r>
        <w:rPr>
          <w:rFonts w:ascii="Times New Roman" w:eastAsia="仿宋_GB2312"/>
          <w:b w:val="false"/>
          <w:sz w:val="30"/>
          <w:szCs w:val="30"/>
        </w:rPr>
        <w:t>新增车辆购置2辆</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29</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194,600.00</w:t>
      </w:r>
      <w:r>
        <w:rPr>
          <w:rFonts w:ascii="Times New Roman" w:eastAsia="仿宋_GB2312"/>
          <w:b w:val="false"/>
          <w:sz w:val="30"/>
          <w:szCs w:val="30"/>
        </w:rPr>
        <w:t>元，支出决算</w:t>
      </w:r>
      <w:r>
        <w:rPr>
          <w:rFonts w:ascii="Times New Roman" w:eastAsia="仿宋_GB2312"/>
          <w:b w:val="false"/>
          <w:sz w:val="30"/>
          <w:szCs w:val="30"/>
        </w:rPr>
        <w:t>194,600.00</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37,000.00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15.976</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节约经费开支</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2</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天津市东丽区市场监督管理局（本级）</w:t>
      </w:r>
      <w:r>
        <w:rPr>
          <w:rFonts w:ascii="Times New Roman" w:eastAsia="仿宋_GB2312"/>
          <w:b w:val="false"/>
          <w:sz w:val="30"/>
          <w:szCs w:val="30"/>
        </w:rPr>
        <w:t>2024年度机关运行经费年初预算</w:t>
      </w:r>
      <w:r>
        <w:rPr>
          <w:rFonts w:ascii="Times New Roman" w:eastAsia="仿宋_GB2312"/>
          <w:b w:val="false"/>
          <w:sz w:val="30"/>
          <w:szCs w:val="30"/>
        </w:rPr>
        <w:t>8,255,829.03</w:t>
      </w:r>
      <w:r>
        <w:rPr>
          <w:rFonts w:ascii="Times New Roman" w:eastAsia="仿宋_GB2312"/>
          <w:b w:val="false"/>
          <w:sz w:val="30"/>
          <w:szCs w:val="30"/>
        </w:rPr>
        <w:t>元，决算数</w:t>
      </w:r>
      <w:r>
        <w:rPr>
          <w:rFonts w:ascii="Times New Roman" w:eastAsia="仿宋_GB2312"/>
          <w:b w:val="false"/>
          <w:sz w:val="30"/>
          <w:szCs w:val="30"/>
        </w:rPr>
        <w:t>7,294,870.71</w:t>
      </w:r>
      <w:r>
        <w:rPr>
          <w:rFonts w:ascii="Times New Roman" w:eastAsia="仿宋_GB2312"/>
          <w:b w:val="false"/>
          <w:sz w:val="30"/>
          <w:szCs w:val="30"/>
        </w:rPr>
        <w:t>元，与年初预算相比</w:t>
      </w:r>
      <w:r>
        <w:rPr>
          <w:rFonts w:ascii="Times New Roman" w:eastAsia="仿宋_GB2312"/>
          <w:b w:val="false"/>
          <w:sz w:val="30"/>
          <w:szCs w:val="30"/>
        </w:rPr>
        <w:t>减少</w:t>
      </w:r>
      <w:r>
        <w:rPr>
          <w:rFonts w:ascii="Times New Roman" w:eastAsia="仿宋_GB2312"/>
          <w:b w:val="false"/>
          <w:sz w:val="30"/>
          <w:szCs w:val="30"/>
        </w:rPr>
        <w:t>960,958.32</w:t>
      </w:r>
      <w:r>
        <w:rPr>
          <w:rFonts w:ascii="Times New Roman" w:eastAsia="仿宋_GB2312"/>
          <w:b w:val="false"/>
          <w:sz w:val="30"/>
          <w:szCs w:val="30"/>
        </w:rPr>
        <w:t>元，完成年初预算的</w:t>
      </w:r>
      <w:r>
        <w:rPr>
          <w:rFonts w:ascii="Times New Roman" w:eastAsia="仿宋_GB2312"/>
          <w:b w:val="false"/>
          <w:sz w:val="30"/>
          <w:szCs w:val="30"/>
        </w:rPr>
        <w:t>88.360</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1,493,155.05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25.736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一是支付2023年部分欠付资金；二是将原来纳入项目的物业费调整到基本支出</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w:t>
      </w:r>
      <w:r>
        <w:rPr>
          <w:rFonts w:ascii="Times New Roman" w:eastAsia="仿宋_GB2312"/>
          <w:b w:val="false"/>
          <w:sz w:val="30"/>
          <w:szCs w:val="30"/>
        </w:rPr>
        <w:t>2024年政府采购支出总额</w:t>
      </w:r>
      <w:r>
        <w:rPr>
          <w:rFonts w:ascii="Times New Roman" w:eastAsia="仿宋_GB2312"/>
          <w:b w:val="false"/>
          <w:sz w:val="30"/>
          <w:szCs w:val="30"/>
        </w:rPr>
        <w:t>4,274,230.56</w:t>
      </w:r>
      <w:r>
        <w:rPr>
          <w:rFonts w:ascii="Times New Roman" w:eastAsia="仿宋_GB2312"/>
          <w:b w:val="false"/>
          <w:sz w:val="30"/>
          <w:szCs w:val="30"/>
        </w:rPr>
        <w:t>元，其中：政府采购货物支出</w:t>
      </w:r>
      <w:r>
        <w:rPr>
          <w:rFonts w:ascii="Times New Roman" w:eastAsia="仿宋_GB2312"/>
          <w:b w:val="false"/>
          <w:sz w:val="30"/>
          <w:szCs w:val="30"/>
        </w:rPr>
        <w:t>148,750.00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4,125,480.56</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4,274,230.56</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3,834,230.56</w:t>
      </w:r>
      <w:r>
        <w:rPr>
          <w:rFonts w:ascii="Times New Roman" w:eastAsia="仿宋_GB2312"/>
          <w:b w:val="false"/>
          <w:sz w:val="30"/>
          <w:szCs w:val="30"/>
        </w:rPr>
        <w:t>元，占政府采购支出总额的</w:t>
      </w:r>
      <w:r>
        <w:rPr>
          <w:rFonts w:ascii="Times New Roman" w:eastAsia="仿宋_GB2312"/>
          <w:b w:val="false"/>
          <w:sz w:val="30"/>
          <w:szCs w:val="30"/>
        </w:rPr>
        <w:t>89.706</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天津市东丽区市场监督管理局（本级）</w:t>
      </w:r>
      <w:r>
        <w:rPr>
          <w:rFonts w:ascii="Times New Roman" w:eastAsia="仿宋_GB2312"/>
          <w:b w:val="false"/>
          <w:sz w:val="30"/>
          <w:szCs w:val="30"/>
        </w:rPr>
        <w:t>共有车辆</w:t>
      </w:r>
      <w:r>
        <w:rPr>
          <w:rFonts w:ascii="Times New Roman" w:eastAsia="仿宋_GB2312"/>
          <w:b w:val="false"/>
          <w:sz w:val="30"/>
          <w:szCs w:val="30"/>
        </w:rPr>
        <w:t>29</w:t>
      </w:r>
      <w:r>
        <w:rPr>
          <w:rFonts w:ascii="Times New Roman" w:eastAsia="仿宋_GB2312"/>
          <w:b w:val="false"/>
          <w:sz w:val="30"/>
          <w:szCs w:val="30"/>
        </w:rPr>
        <w:t>辆，其中：</w:t>
      </w:r>
      <w:r>
        <w:rPr>
          <w:rFonts w:ascii="Times New Roman" w:eastAsia="仿宋_GB2312"/>
          <w:b w:val="false"/>
          <w:sz w:val="30"/>
          <w:szCs w:val="30"/>
        </w:rPr>
        <w:t>执法执勤用车</w:t>
      </w:r>
      <w:r>
        <w:rPr>
          <w:rFonts w:ascii="Times New Roman" w:eastAsia="仿宋_GB2312"/>
          <w:b w:val="false"/>
          <w:sz w:val="30"/>
          <w:szCs w:val="30"/>
        </w:rPr>
        <w:t>26</w:t>
      </w:r>
      <w:r>
        <w:rPr>
          <w:rFonts w:ascii="Times New Roman" w:eastAsia="仿宋_GB2312"/>
          <w:b w:val="false"/>
          <w:sz w:val="30"/>
          <w:szCs w:val="30"/>
        </w:rPr>
        <w:t>辆</w:t>
      </w:r>
      <w:r>
        <w:rPr>
          <w:rFonts w:ascii="Times New Roman" w:eastAsia="仿宋_GB2312"/>
          <w:b w:val="false"/>
          <w:sz w:val="30"/>
          <w:szCs w:val="30"/>
        </w:rPr>
        <w:t>、</w:t>
      </w:r>
      <w:r>
        <w:rPr>
          <w:rFonts w:ascii="Times New Roman" w:eastAsia="仿宋_GB2312"/>
          <w:b w:val="false"/>
          <w:sz w:val="30"/>
          <w:szCs w:val="30"/>
        </w:rPr>
        <w:t>离退休干部服务用车</w:t>
      </w:r>
      <w:r>
        <w:rPr>
          <w:rFonts w:ascii="Times New Roman" w:eastAsia="仿宋_GB2312"/>
          <w:b w:val="false"/>
          <w:sz w:val="30"/>
          <w:szCs w:val="30"/>
        </w:rPr>
        <w:t>2</w:t>
      </w:r>
      <w:r>
        <w:rPr>
          <w:rFonts w:ascii="Times New Roman" w:eastAsia="仿宋_GB2312"/>
          <w:b w:val="false"/>
          <w:sz w:val="30"/>
          <w:szCs w:val="30"/>
        </w:rPr>
        <w:t>辆</w:t>
      </w:r>
      <w:r>
        <w:rPr>
          <w:rFonts w:ascii="Times New Roman" w:eastAsia="仿宋_GB2312"/>
          <w:b w:val="false"/>
          <w:sz w:val="30"/>
          <w:szCs w:val="30"/>
        </w:rPr>
        <w:t>、</w:t>
      </w:r>
      <w:r>
        <w:rPr>
          <w:rFonts w:ascii="Times New Roman" w:eastAsia="仿宋_GB2312"/>
          <w:b w:val="false"/>
          <w:sz w:val="30"/>
          <w:szCs w:val="30"/>
        </w:rPr>
        <w:t>其他用车</w:t>
      </w:r>
      <w:r>
        <w:rPr>
          <w:rFonts w:ascii="Times New Roman" w:eastAsia="仿宋_GB2312"/>
          <w:b w:val="false"/>
          <w:sz w:val="30"/>
          <w:szCs w:val="30"/>
        </w:rPr>
        <w:t>1</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检验检测车</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根据预算绩效管理要求，天津市东丽区市场监督管理局（本级）2024年度已对15个项目开展绩效自评，涉及金额5668817.4元，自评结果已随部门决算一并公开。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