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cs="方正小标宋简体"/>
          <w:b/>
          <w:color w:val="000000"/>
          <w:sz w:val="44"/>
          <w:szCs w:val="44"/>
        </w:rPr>
      </w:pPr>
      <w:r>
        <w:rPr>
          <w:rFonts w:hint="eastAsia" w:ascii="宋体" w:hAnsi="宋体" w:cs="方正小标宋简体"/>
          <w:b/>
          <w:bCs/>
          <w:color w:val="000000"/>
          <w:sz w:val="44"/>
          <w:szCs w:val="44"/>
        </w:rPr>
        <w:t>天津市东丽区市场监督管理局</w:t>
      </w:r>
    </w:p>
    <w:p>
      <w:pPr>
        <w:spacing w:line="640" w:lineRule="exact"/>
        <w:jc w:val="center"/>
        <w:rPr>
          <w:rFonts w:ascii="宋体" w:hAnsi="宋体" w:cs="方正小标宋简体"/>
          <w:b/>
          <w:bCs/>
          <w:color w:val="000000"/>
          <w:sz w:val="44"/>
          <w:szCs w:val="44"/>
        </w:rPr>
      </w:pPr>
      <w:r>
        <w:rPr>
          <w:rFonts w:hint="eastAsia" w:ascii="宋体" w:hAnsi="宋体" w:cs="方正小标宋简体"/>
          <w:b/>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line="520" w:lineRule="exact"/>
        <w:jc w:val="center"/>
        <w:textAlignment w:val="auto"/>
        <w:rPr>
          <w:rFonts w:ascii="仿宋" w:hAnsi="仿宋" w:eastAsia="仿宋" w:cs="仿宋"/>
          <w:color w:val="000000"/>
          <w:sz w:val="32"/>
          <w:szCs w:val="32"/>
        </w:rPr>
      </w:pPr>
      <w:r>
        <w:rPr>
          <w:rFonts w:ascii="仿宋" w:hAnsi="仿宋" w:eastAsia="仿宋" w:cs="仿宋"/>
          <w:color w:val="000000"/>
          <w:sz w:val="32"/>
          <w:szCs w:val="32"/>
        </w:rPr>
        <w:pict>
          <v:shape id="_x0000_s205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仿宋" w:hAnsi="仿宋" w:eastAsia="仿宋" w:cs="仿宋"/>
          <w:color w:val="000000"/>
          <w:sz w:val="32"/>
          <w:szCs w:val="32"/>
        </w:rPr>
        <w:t>津市监丽农罚〔202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号</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当事人：天津市东丽区老蔡蔬菜经营部</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主体资格证照名称：营业执照</w:t>
      </w:r>
    </w:p>
    <w:p>
      <w:pPr>
        <w:spacing w:line="520" w:lineRule="exact"/>
        <w:ind w:firstLine="640" w:firstLineChars="200"/>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eastAsia="zh-CN"/>
        </w:rPr>
        <w:t>注册号：92120110MA06TB705N</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经营场所：天津市东丽区金钟街道赵沽里村金钟河蔬菜贸易中心中心道1号</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负责人：王文川</w:t>
      </w:r>
    </w:p>
    <w:p>
      <w:pPr>
        <w:spacing w:line="520" w:lineRule="exact"/>
        <w:ind w:firstLine="640" w:firstLineChars="200"/>
        <w:rPr>
          <w:rFonts w:hint="default" w:ascii="仿宋" w:hAnsi="仿宋" w:eastAsia="仿宋" w:cs="仿宋_GB2312"/>
          <w:bCs/>
          <w:sz w:val="32"/>
          <w:szCs w:val="32"/>
          <w:lang w:val="en-US" w:eastAsia="zh-CN"/>
        </w:rPr>
      </w:pPr>
      <w:r>
        <w:rPr>
          <w:rFonts w:hint="eastAsia" w:ascii="仿宋" w:hAnsi="仿宋" w:eastAsia="仿宋" w:cs="仿宋_GB2312"/>
          <w:bCs/>
          <w:sz w:val="32"/>
          <w:szCs w:val="32"/>
          <w:lang w:eastAsia="zh-CN"/>
        </w:rPr>
        <w:t>身份证号码：</w:t>
      </w:r>
      <w:r>
        <w:rPr>
          <w:rFonts w:hint="eastAsia" w:ascii="仿宋" w:hAnsi="仿宋" w:eastAsia="仿宋" w:cs="仿宋_GB2312"/>
          <w:bCs/>
          <w:sz w:val="32"/>
          <w:szCs w:val="32"/>
          <w:lang w:val="en-US" w:eastAsia="zh-CN"/>
        </w:rPr>
        <w:t>****</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联系电话：</w:t>
      </w:r>
      <w:r>
        <w:rPr>
          <w:rFonts w:hint="eastAsia" w:ascii="仿宋" w:hAnsi="仿宋" w:eastAsia="仿宋" w:cs="仿宋_GB2312"/>
          <w:bCs/>
          <w:sz w:val="32"/>
          <w:szCs w:val="32"/>
          <w:lang w:val="en-US" w:eastAsia="zh-CN"/>
        </w:rPr>
        <w:t>****</w:t>
      </w:r>
      <w:r>
        <w:rPr>
          <w:rFonts w:hint="eastAsia" w:ascii="仿宋" w:hAnsi="仿宋" w:eastAsia="仿宋" w:cs="仿宋_GB2312"/>
          <w:bCs/>
          <w:sz w:val="32"/>
          <w:szCs w:val="32"/>
          <w:lang w:eastAsia="zh-CN"/>
        </w:rPr>
        <w:t xml:space="preserve"> </w:t>
      </w:r>
    </w:p>
    <w:p>
      <w:pPr>
        <w:spacing w:line="520" w:lineRule="exact"/>
        <w:ind w:firstLine="640" w:firstLineChars="200"/>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eastAsia="zh-CN"/>
        </w:rPr>
        <w:t>联系地址：</w:t>
      </w:r>
      <w:r>
        <w:rPr>
          <w:rFonts w:hint="eastAsia" w:ascii="仿宋" w:hAnsi="仿宋" w:eastAsia="仿宋" w:cs="仿宋_GB2312"/>
          <w:bCs/>
          <w:sz w:val="32"/>
          <w:szCs w:val="32"/>
          <w:lang w:val="en-US" w:eastAsia="zh-CN"/>
        </w:rPr>
        <w:t>****</w:t>
      </w:r>
    </w:p>
    <w:p>
      <w:pPr>
        <w:spacing w:line="520" w:lineRule="exact"/>
        <w:ind w:firstLine="640" w:firstLineChars="200"/>
        <w:rPr>
          <w:rFonts w:hint="eastAsia" w:ascii="仿宋" w:hAnsi="仿宋" w:eastAsia="仿宋" w:cs="仿宋_GB2312"/>
          <w:bCs/>
          <w:sz w:val="32"/>
          <w:szCs w:val="32"/>
        </w:rPr>
      </w:pPr>
      <w:bookmarkStart w:id="0" w:name="_GoBack"/>
      <w:bookmarkEnd w:id="0"/>
      <w:r>
        <w:rPr>
          <w:rFonts w:hint="eastAsia" w:ascii="仿宋" w:hAnsi="仿宋" w:eastAsia="仿宋" w:cs="仿宋_GB2312"/>
          <w:bCs/>
          <w:sz w:val="32"/>
          <w:szCs w:val="32"/>
          <w:lang w:val="en-US" w:eastAsia="zh-CN"/>
        </w:rPr>
        <w:t>2023年5月29日，国家轻工业食品质量监督检测天津站在</w:t>
      </w:r>
      <w:r>
        <w:rPr>
          <w:rFonts w:hint="eastAsia" w:ascii="仿宋" w:hAnsi="仿宋" w:eastAsia="仿宋" w:cs="仿宋_GB2312"/>
          <w:bCs/>
          <w:sz w:val="32"/>
          <w:szCs w:val="32"/>
          <w:lang w:eastAsia="zh-CN"/>
        </w:rPr>
        <w:t>天津市东丽区老蔡蔬菜经营部</w:t>
      </w:r>
      <w:r>
        <w:rPr>
          <w:rFonts w:hint="eastAsia" w:ascii="仿宋" w:hAnsi="仿宋" w:eastAsia="仿宋" w:cs="仿宋_GB2312"/>
          <w:bCs/>
          <w:sz w:val="32"/>
          <w:szCs w:val="32"/>
          <w:lang w:val="en-US" w:eastAsia="zh-CN"/>
        </w:rPr>
        <w:t>对当事人销售的姜进行抽样检验，2023年6月27日，出具《检验报告》（No：LDLN523009）中被抽检</w:t>
      </w:r>
      <w:r>
        <w:rPr>
          <w:rFonts w:hint="eastAsia" w:ascii="仿宋" w:hAnsi="仿宋" w:eastAsia="仿宋" w:cs="仿宋_GB2312"/>
          <w:bCs/>
          <w:sz w:val="32"/>
          <w:szCs w:val="32"/>
          <w:lang w:eastAsia="zh-CN"/>
        </w:rPr>
        <w:t>姜</w:t>
      </w:r>
      <w:r>
        <w:rPr>
          <w:rFonts w:hint="eastAsia" w:ascii="仿宋" w:hAnsi="仿宋" w:eastAsia="仿宋" w:cs="仿宋_GB2312"/>
          <w:bCs/>
          <w:sz w:val="32"/>
          <w:szCs w:val="32"/>
          <w:lang w:val="en-US" w:eastAsia="zh-CN"/>
        </w:rPr>
        <w:t>噻虫胺项目不符合</w:t>
      </w:r>
      <w:r>
        <w:rPr>
          <w:rFonts w:hint="eastAsia" w:ascii="仿宋" w:hAnsi="仿宋" w:eastAsia="仿宋" w:cs="仿宋_GB2312"/>
          <w:bCs/>
          <w:sz w:val="32"/>
          <w:szCs w:val="32"/>
          <w:lang w:eastAsia="zh-CN"/>
        </w:rPr>
        <w:t>GB2763-20</w:t>
      </w:r>
      <w:r>
        <w:rPr>
          <w:rFonts w:hint="eastAsia" w:ascii="仿宋" w:hAnsi="仿宋" w:eastAsia="仿宋" w:cs="仿宋_GB2312"/>
          <w:bCs/>
          <w:sz w:val="32"/>
          <w:szCs w:val="32"/>
          <w:lang w:val="en-US" w:eastAsia="zh-CN"/>
        </w:rPr>
        <w:t>21</w:t>
      </w:r>
      <w:r>
        <w:rPr>
          <w:rFonts w:hint="eastAsia" w:ascii="仿宋" w:hAnsi="仿宋" w:eastAsia="仿宋" w:cs="仿宋_GB2312"/>
          <w:bCs/>
          <w:sz w:val="32"/>
          <w:szCs w:val="32"/>
          <w:lang w:eastAsia="zh-CN"/>
        </w:rPr>
        <w:t>《食品安全国家标准 食品中农药最大残留限量》要求，检验结论不合格。</w:t>
      </w:r>
      <w:r>
        <w:rPr>
          <w:rFonts w:hint="eastAsia" w:ascii="仿宋" w:hAnsi="仿宋" w:eastAsia="仿宋" w:cs="仿宋_GB2312"/>
          <w:bCs/>
          <w:sz w:val="32"/>
          <w:szCs w:val="32"/>
          <w:lang w:val="en-US" w:eastAsia="zh-CN"/>
        </w:rPr>
        <w:t>本局2023年7月3日予以立案调查，并采取现场检查、询问当事人、提取证据材料等方式对案件进行调查取证。</w:t>
      </w:r>
      <w:r>
        <w:rPr>
          <w:rFonts w:hint="eastAsia" w:ascii="仿宋" w:hAnsi="仿宋" w:eastAsia="仿宋" w:cs="仿宋_GB2312"/>
          <w:bCs/>
          <w:sz w:val="32"/>
          <w:szCs w:val="32"/>
        </w:rPr>
        <w:t xml:space="preserve">  </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经查，</w:t>
      </w:r>
      <w:r>
        <w:rPr>
          <w:rFonts w:hint="eastAsia" w:ascii="仿宋" w:hAnsi="仿宋" w:eastAsia="仿宋" w:cs="仿宋_GB2312"/>
          <w:bCs/>
          <w:color w:val="auto"/>
          <w:sz w:val="32"/>
          <w:szCs w:val="32"/>
          <w:lang w:eastAsia="zh-CN"/>
        </w:rPr>
        <w:t>202</w:t>
      </w:r>
      <w:r>
        <w:rPr>
          <w:rFonts w:hint="eastAsia" w:ascii="仿宋" w:hAnsi="仿宋" w:eastAsia="仿宋" w:cs="仿宋_GB2312"/>
          <w:bCs/>
          <w:color w:val="auto"/>
          <w:sz w:val="32"/>
          <w:szCs w:val="32"/>
          <w:lang w:val="en-US" w:eastAsia="zh-CN"/>
        </w:rPr>
        <w:t>3</w:t>
      </w:r>
      <w:r>
        <w:rPr>
          <w:rFonts w:hint="eastAsia" w:ascii="仿宋" w:hAnsi="仿宋" w:eastAsia="仿宋" w:cs="仿宋_GB2312"/>
          <w:bCs/>
          <w:color w:val="auto"/>
          <w:sz w:val="32"/>
          <w:szCs w:val="32"/>
          <w:lang w:eastAsia="zh-CN"/>
        </w:rPr>
        <w:t>年</w:t>
      </w:r>
      <w:r>
        <w:rPr>
          <w:rFonts w:hint="eastAsia" w:ascii="仿宋" w:hAnsi="仿宋" w:eastAsia="仿宋" w:cs="仿宋_GB2312"/>
          <w:bCs/>
          <w:color w:val="auto"/>
          <w:sz w:val="32"/>
          <w:szCs w:val="32"/>
          <w:lang w:val="en-US" w:eastAsia="zh-CN"/>
        </w:rPr>
        <w:t>5</w:t>
      </w:r>
      <w:r>
        <w:rPr>
          <w:rFonts w:hint="eastAsia" w:ascii="仿宋" w:hAnsi="仿宋" w:eastAsia="仿宋" w:cs="仿宋_GB2312"/>
          <w:bCs/>
          <w:color w:val="auto"/>
          <w:sz w:val="32"/>
          <w:szCs w:val="32"/>
          <w:lang w:eastAsia="zh-CN"/>
        </w:rPr>
        <w:t>月</w:t>
      </w:r>
      <w:r>
        <w:rPr>
          <w:rFonts w:hint="eastAsia" w:ascii="仿宋" w:hAnsi="仿宋" w:eastAsia="仿宋" w:cs="仿宋_GB2312"/>
          <w:bCs/>
          <w:color w:val="auto"/>
          <w:sz w:val="32"/>
          <w:szCs w:val="32"/>
          <w:lang w:val="en-US" w:eastAsia="zh-CN"/>
        </w:rPr>
        <w:t>29</w:t>
      </w:r>
      <w:r>
        <w:rPr>
          <w:rFonts w:hint="eastAsia" w:ascii="仿宋" w:hAnsi="仿宋" w:eastAsia="仿宋" w:cs="仿宋_GB2312"/>
          <w:bCs/>
          <w:color w:val="auto"/>
          <w:sz w:val="32"/>
          <w:szCs w:val="32"/>
          <w:lang w:eastAsia="zh-CN"/>
        </w:rPr>
        <w:t>日，国家轻工业食品质量监督检测天津站在天津市东丽区老蔡蔬菜经营部对当事人销售的姜进行抽样检验，《检验报告》</w:t>
      </w:r>
      <w:r>
        <w:rPr>
          <w:rFonts w:hint="eastAsia" w:ascii="仿宋" w:hAnsi="仿宋" w:eastAsia="仿宋" w:cs="仿宋_GB2312"/>
          <w:bCs/>
          <w:sz w:val="32"/>
          <w:szCs w:val="32"/>
          <w:lang w:val="en-US" w:eastAsia="zh-CN"/>
        </w:rPr>
        <w:t>（No：LDLN523009）</w:t>
      </w:r>
      <w:r>
        <w:rPr>
          <w:rFonts w:hint="eastAsia" w:ascii="仿宋" w:hAnsi="仿宋" w:eastAsia="仿宋" w:cs="仿宋_GB2312"/>
          <w:bCs/>
          <w:color w:val="auto"/>
          <w:sz w:val="32"/>
          <w:szCs w:val="32"/>
          <w:lang w:eastAsia="zh-CN"/>
        </w:rPr>
        <w:t>中被抽检姜噻虫胺项目不符合</w:t>
      </w:r>
      <w:r>
        <w:rPr>
          <w:rFonts w:hint="eastAsia" w:ascii="仿宋" w:hAnsi="仿宋" w:eastAsia="仿宋" w:cs="仿宋_GB2312"/>
          <w:bCs/>
          <w:sz w:val="32"/>
          <w:szCs w:val="32"/>
          <w:lang w:eastAsia="zh-CN"/>
        </w:rPr>
        <w:t>GB2763-20</w:t>
      </w:r>
      <w:r>
        <w:rPr>
          <w:rFonts w:hint="eastAsia" w:ascii="仿宋" w:hAnsi="仿宋" w:eastAsia="仿宋" w:cs="仿宋_GB2312"/>
          <w:bCs/>
          <w:sz w:val="32"/>
          <w:szCs w:val="32"/>
          <w:lang w:val="en-US" w:eastAsia="zh-CN"/>
        </w:rPr>
        <w:t>21</w:t>
      </w:r>
      <w:r>
        <w:rPr>
          <w:rFonts w:hint="eastAsia" w:ascii="仿宋" w:hAnsi="仿宋" w:eastAsia="仿宋" w:cs="仿宋_GB2312"/>
          <w:bCs/>
          <w:sz w:val="32"/>
          <w:szCs w:val="32"/>
          <w:lang w:eastAsia="zh-CN"/>
        </w:rPr>
        <w:t>《食品安全国家标准 食品中农药最大残留限量》要求，检验结论不合格。</w:t>
      </w:r>
      <w:r>
        <w:rPr>
          <w:rFonts w:hint="eastAsia" w:ascii="仿宋" w:hAnsi="仿宋" w:eastAsia="仿宋" w:cs="仿宋_GB2312"/>
          <w:bCs/>
          <w:color w:val="auto"/>
          <w:sz w:val="32"/>
          <w:szCs w:val="32"/>
          <w:lang w:eastAsia="zh-CN"/>
        </w:rPr>
        <w:t>当事人对检验结果无异议，在复检期内未提出附件申请。</w:t>
      </w:r>
      <w:r>
        <w:rPr>
          <w:rFonts w:hint="eastAsia" w:ascii="仿宋" w:hAnsi="仿宋" w:eastAsia="仿宋" w:cs="仿宋_GB2312"/>
          <w:bCs/>
          <w:sz w:val="32"/>
          <w:szCs w:val="32"/>
          <w:lang w:eastAsia="zh-CN"/>
        </w:rPr>
        <w:t>上述抽样检验批次的姜为当事人202</w:t>
      </w:r>
      <w:r>
        <w:rPr>
          <w:rFonts w:hint="eastAsia" w:ascii="仿宋" w:hAnsi="仿宋" w:eastAsia="仿宋" w:cs="仿宋_GB2312"/>
          <w:bCs/>
          <w:sz w:val="32"/>
          <w:szCs w:val="32"/>
          <w:lang w:val="en-US" w:eastAsia="zh-CN"/>
        </w:rPr>
        <w:t>3</w:t>
      </w:r>
      <w:r>
        <w:rPr>
          <w:rFonts w:hint="eastAsia" w:ascii="仿宋" w:hAnsi="仿宋" w:eastAsia="仿宋" w:cs="仿宋_GB2312"/>
          <w:bCs/>
          <w:sz w:val="32"/>
          <w:szCs w:val="32"/>
          <w:lang w:eastAsia="zh-CN"/>
        </w:rPr>
        <w:t>年</w:t>
      </w:r>
      <w:r>
        <w:rPr>
          <w:rFonts w:hint="eastAsia" w:ascii="仿宋" w:hAnsi="仿宋" w:eastAsia="仿宋" w:cs="仿宋_GB2312"/>
          <w:bCs/>
          <w:sz w:val="32"/>
          <w:szCs w:val="32"/>
          <w:lang w:val="en-US" w:eastAsia="zh-CN"/>
        </w:rPr>
        <w:t>5月29日</w:t>
      </w:r>
      <w:r>
        <w:rPr>
          <w:rFonts w:hint="eastAsia" w:ascii="仿宋" w:hAnsi="仿宋" w:eastAsia="仿宋" w:cs="仿宋_GB2312"/>
          <w:bCs/>
          <w:sz w:val="32"/>
          <w:szCs w:val="32"/>
          <w:lang w:eastAsia="zh-CN"/>
        </w:rPr>
        <w:t>购进，不能提供供货方，不能提供进货凭证。该批姜共购进</w:t>
      </w:r>
      <w:r>
        <w:rPr>
          <w:rFonts w:hint="eastAsia" w:ascii="仿宋" w:hAnsi="仿宋" w:eastAsia="仿宋" w:cs="仿宋_GB2312"/>
          <w:bCs/>
          <w:sz w:val="32"/>
          <w:szCs w:val="32"/>
          <w:lang w:val="en-US" w:eastAsia="zh-CN"/>
        </w:rPr>
        <w:t>10公斤，进货价格21元每公斤，共计210元。</w:t>
      </w:r>
      <w:r>
        <w:rPr>
          <w:rFonts w:hint="eastAsia" w:ascii="仿宋" w:hAnsi="仿宋" w:eastAsia="仿宋" w:cs="仿宋_GB2312"/>
          <w:bCs/>
          <w:sz w:val="32"/>
          <w:szCs w:val="32"/>
          <w:lang w:eastAsia="zh-CN"/>
        </w:rPr>
        <w:t>该批姜全部售出，销售价格</w:t>
      </w:r>
      <w:r>
        <w:rPr>
          <w:rFonts w:hint="eastAsia" w:ascii="仿宋" w:hAnsi="仿宋" w:eastAsia="仿宋" w:cs="仿宋_GB2312"/>
          <w:bCs/>
          <w:sz w:val="32"/>
          <w:szCs w:val="32"/>
          <w:lang w:val="en-US" w:eastAsia="zh-CN"/>
        </w:rPr>
        <w:t>22元每公斤，</w:t>
      </w:r>
      <w:r>
        <w:rPr>
          <w:rFonts w:hint="eastAsia" w:ascii="仿宋" w:hAnsi="仿宋" w:eastAsia="仿宋" w:cs="仿宋_GB2312"/>
          <w:bCs/>
          <w:sz w:val="32"/>
          <w:szCs w:val="32"/>
          <w:lang w:eastAsia="zh-CN"/>
        </w:rPr>
        <w:t>经营额</w:t>
      </w:r>
      <w:r>
        <w:rPr>
          <w:rFonts w:hint="eastAsia" w:ascii="仿宋" w:hAnsi="仿宋" w:eastAsia="仿宋" w:cs="仿宋_GB2312"/>
          <w:bCs/>
          <w:sz w:val="32"/>
          <w:szCs w:val="32"/>
          <w:lang w:val="en-US" w:eastAsia="zh-CN"/>
        </w:rPr>
        <w:t>220</w:t>
      </w:r>
      <w:r>
        <w:rPr>
          <w:rFonts w:hint="eastAsia" w:ascii="仿宋" w:hAnsi="仿宋" w:eastAsia="仿宋" w:cs="仿宋_GB2312"/>
          <w:bCs/>
          <w:sz w:val="32"/>
          <w:szCs w:val="32"/>
          <w:lang w:eastAsia="zh-CN"/>
        </w:rPr>
        <w:t>元，获利</w:t>
      </w:r>
      <w:r>
        <w:rPr>
          <w:rFonts w:hint="eastAsia" w:ascii="仿宋" w:hAnsi="仿宋" w:eastAsia="仿宋" w:cs="仿宋_GB2312"/>
          <w:bCs/>
          <w:sz w:val="32"/>
          <w:szCs w:val="32"/>
          <w:lang w:val="en-US" w:eastAsia="zh-CN"/>
        </w:rPr>
        <w:t>10</w:t>
      </w:r>
      <w:r>
        <w:rPr>
          <w:rFonts w:hint="eastAsia" w:ascii="仿宋" w:hAnsi="仿宋" w:eastAsia="仿宋" w:cs="仿宋_GB2312"/>
          <w:bCs/>
          <w:sz w:val="32"/>
          <w:szCs w:val="32"/>
          <w:lang w:eastAsia="zh-CN"/>
        </w:rPr>
        <w:t>元。</w:t>
      </w:r>
      <w:r>
        <w:rPr>
          <w:rFonts w:hint="eastAsia" w:ascii="仿宋" w:hAnsi="仿宋" w:eastAsia="仿宋" w:cs="仿宋_GB2312"/>
          <w:bCs/>
          <w:sz w:val="32"/>
          <w:szCs w:val="32"/>
        </w:rPr>
        <w:t>当事人能够积极配合执法人员调查。</w:t>
      </w:r>
      <w:r>
        <w:rPr>
          <w:rFonts w:hint="eastAsia" w:ascii="仿宋" w:hAnsi="仿宋" w:eastAsia="仿宋" w:cs="仿宋_GB2312"/>
          <w:bCs/>
          <w:sz w:val="32"/>
          <w:szCs w:val="32"/>
          <w:lang w:eastAsia="zh-CN"/>
        </w:rPr>
        <w:t>当事人是姜的销售者，不是农药的使用者。当事人不知道其销售的姜是农药残留超过食品安全标准限量的姜。本案货值金额</w:t>
      </w:r>
      <w:r>
        <w:rPr>
          <w:rFonts w:hint="eastAsia" w:ascii="仿宋" w:hAnsi="仿宋" w:eastAsia="仿宋" w:cs="仿宋_GB2312"/>
          <w:bCs/>
          <w:sz w:val="32"/>
          <w:szCs w:val="32"/>
          <w:lang w:val="en-US" w:eastAsia="zh-CN"/>
        </w:rPr>
        <w:t>220</w:t>
      </w:r>
      <w:r>
        <w:rPr>
          <w:rFonts w:hint="eastAsia" w:ascii="仿宋" w:hAnsi="仿宋" w:eastAsia="仿宋" w:cs="仿宋_GB2312"/>
          <w:bCs/>
          <w:sz w:val="32"/>
          <w:szCs w:val="32"/>
          <w:lang w:eastAsia="zh-CN"/>
        </w:rPr>
        <w:t>元，违法所得</w:t>
      </w:r>
      <w:r>
        <w:rPr>
          <w:rFonts w:hint="eastAsia" w:ascii="仿宋" w:hAnsi="仿宋" w:eastAsia="仿宋" w:cs="仿宋_GB2312"/>
          <w:bCs/>
          <w:sz w:val="32"/>
          <w:szCs w:val="32"/>
          <w:lang w:val="en-US" w:eastAsia="zh-CN"/>
        </w:rPr>
        <w:t>10</w:t>
      </w:r>
      <w:r>
        <w:rPr>
          <w:rFonts w:hint="eastAsia" w:ascii="仿宋" w:hAnsi="仿宋" w:eastAsia="仿宋" w:cs="仿宋_GB2312"/>
          <w:bCs/>
          <w:sz w:val="32"/>
          <w:szCs w:val="32"/>
          <w:lang w:eastAsia="zh-CN"/>
        </w:rPr>
        <w:t>元。</w:t>
      </w:r>
    </w:p>
    <w:p>
      <w:pPr>
        <w:numPr>
          <w:ilvl w:val="0"/>
          <w:numId w:val="0"/>
        </w:numPr>
        <w:spacing w:line="52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lang w:eastAsia="zh-CN"/>
        </w:rPr>
        <w:t>当事人的上述行为构成未按规定建立并遵守进货查验记录的行为，满足未按规定建立并遵守进货查验记录的构成要件，以及构成销售农药残留超过食品安全标准限量食用农产品的行为，满足经营销售农药残留超过食品安全标准限量的食用农产品的构成要件。</w:t>
      </w:r>
    </w:p>
    <w:p>
      <w:pPr>
        <w:spacing w:line="520" w:lineRule="exact"/>
        <w:ind w:firstLine="640" w:firstLineChars="200"/>
        <w:rPr>
          <w:rFonts w:hint="default" w:ascii="仿宋" w:hAnsi="仿宋" w:eastAsia="仿宋" w:cs="仿宋_GB2312"/>
          <w:bCs/>
          <w:sz w:val="32"/>
          <w:szCs w:val="32"/>
          <w:lang w:val="en-US" w:eastAsia="zh-CN"/>
        </w:rPr>
      </w:pPr>
      <w:r>
        <w:rPr>
          <w:rFonts w:hint="eastAsia" w:ascii="仿宋" w:hAnsi="仿宋" w:eastAsia="仿宋" w:cs="仿宋"/>
          <w:color w:val="000000"/>
          <w:sz w:val="32"/>
          <w:szCs w:val="32"/>
        </w:rPr>
        <w:t>上述事实，主要有以下证据证明：</w:t>
      </w:r>
      <w:r>
        <w:rPr>
          <w:rFonts w:hint="eastAsia" w:ascii="仿宋" w:hAnsi="仿宋" w:eastAsia="仿宋" w:cs="仿宋_GB2312"/>
          <w:bCs/>
          <w:sz w:val="32"/>
          <w:szCs w:val="32"/>
          <w:lang w:eastAsia="zh-CN"/>
        </w:rPr>
        <w:t>1.《食用安全抽样检验抽样单》（抽样单编号DBJ23120110110331598）、《食品安全抽样检验告知书》（抽样单编号DBJ23120110110331598）、《检验报告》（No：LDLN523009）、《食用安全抽样检验结果通知书》（</w:t>
      </w:r>
      <w:r>
        <w:rPr>
          <w:rFonts w:hint="eastAsia" w:ascii="仿宋" w:hAnsi="仿宋" w:eastAsia="仿宋" w:cs="仿宋_GB2312"/>
          <w:bCs/>
          <w:sz w:val="32"/>
          <w:szCs w:val="32"/>
          <w:lang w:val="en-US" w:eastAsia="zh-CN"/>
        </w:rPr>
        <w:t>No：</w:t>
      </w:r>
      <w:r>
        <w:rPr>
          <w:rFonts w:hint="eastAsia" w:ascii="仿宋" w:hAnsi="仿宋" w:eastAsia="仿宋" w:cs="仿宋_GB2312"/>
          <w:bCs/>
          <w:sz w:val="32"/>
          <w:szCs w:val="32"/>
          <w:lang w:eastAsia="zh-CN"/>
        </w:rPr>
        <w:t>DBJ23120110110331598）、《食品安全抽样检验复检和异议须知》。2.当事人营业执照复印件。3.当事人负责人王文川身份证复印件。4.当事人负责人王文川询问笔录。5.现场检查笔录。</w:t>
      </w:r>
      <w:r>
        <w:rPr>
          <w:rFonts w:hint="eastAsia" w:ascii="仿宋" w:hAnsi="仿宋" w:eastAsia="仿宋" w:cs="仿宋_GB2312"/>
          <w:bCs/>
          <w:sz w:val="32"/>
          <w:szCs w:val="32"/>
          <w:lang w:val="en-US" w:eastAsia="zh-CN"/>
        </w:rPr>
        <w:t>6.照片</w:t>
      </w:r>
      <w:r>
        <w:rPr>
          <w:rFonts w:hint="eastAsia" w:ascii="仿宋" w:hAnsi="仿宋" w:eastAsia="仿宋" w:cs="仿宋_GB2312"/>
          <w:bCs/>
          <w:sz w:val="32"/>
          <w:szCs w:val="32"/>
          <w:lang w:eastAsia="zh-CN"/>
        </w:rPr>
        <w:t>。</w:t>
      </w:r>
    </w:p>
    <w:p>
      <w:pPr>
        <w:numPr>
          <w:ilvl w:val="0"/>
          <w:numId w:val="0"/>
        </w:num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本局于20</w:t>
      </w:r>
      <w:r>
        <w:rPr>
          <w:rFonts w:hint="eastAsia" w:ascii="仿宋" w:hAnsi="仿宋" w:eastAsia="仿宋" w:cs="楷体_GB2312"/>
          <w:color w:val="000000"/>
          <w:sz w:val="32"/>
          <w:szCs w:val="32"/>
          <w:lang w:val="en-US" w:eastAsia="zh-CN"/>
        </w:rPr>
        <w:t>23</w:t>
      </w:r>
      <w:r>
        <w:rPr>
          <w:rFonts w:hint="eastAsia" w:ascii="仿宋" w:hAnsi="仿宋" w:eastAsia="仿宋" w:cs="楷体_GB2312"/>
          <w:color w:val="000000"/>
          <w:sz w:val="32"/>
          <w:szCs w:val="32"/>
        </w:rPr>
        <w:t>年</w:t>
      </w:r>
      <w:r>
        <w:rPr>
          <w:rFonts w:hint="eastAsia" w:ascii="仿宋" w:hAnsi="仿宋" w:eastAsia="仿宋" w:cs="楷体_GB2312"/>
          <w:color w:val="000000"/>
          <w:sz w:val="32"/>
          <w:szCs w:val="32"/>
          <w:lang w:val="en-US" w:eastAsia="zh-CN"/>
        </w:rPr>
        <w:t>7</w:t>
      </w:r>
      <w:r>
        <w:rPr>
          <w:rFonts w:hint="eastAsia" w:ascii="仿宋" w:hAnsi="仿宋" w:eastAsia="仿宋" w:cs="楷体_GB2312"/>
          <w:color w:val="000000"/>
          <w:sz w:val="32"/>
          <w:szCs w:val="32"/>
        </w:rPr>
        <w:t>月</w:t>
      </w:r>
      <w:r>
        <w:rPr>
          <w:rFonts w:hint="eastAsia" w:ascii="仿宋" w:hAnsi="仿宋" w:eastAsia="仿宋" w:cs="楷体_GB2312"/>
          <w:color w:val="000000"/>
          <w:sz w:val="32"/>
          <w:szCs w:val="32"/>
          <w:lang w:val="en-US" w:eastAsia="zh-CN"/>
        </w:rPr>
        <w:t>17</w:t>
      </w:r>
      <w:r>
        <w:rPr>
          <w:rFonts w:hint="eastAsia" w:ascii="仿宋" w:hAnsi="仿宋" w:eastAsia="仿宋" w:cs="楷体_GB2312"/>
          <w:color w:val="000000"/>
          <w:sz w:val="32"/>
          <w:szCs w:val="32"/>
        </w:rPr>
        <w:t>日向当事人送达了津市监丽农罚告〔202</w:t>
      </w:r>
      <w:r>
        <w:rPr>
          <w:rFonts w:hint="eastAsia" w:ascii="仿宋" w:hAnsi="仿宋" w:eastAsia="仿宋" w:cs="楷体_GB2312"/>
          <w:color w:val="000000"/>
          <w:sz w:val="32"/>
          <w:szCs w:val="32"/>
          <w:lang w:val="en-US" w:eastAsia="zh-CN"/>
        </w:rPr>
        <w:t>3</w:t>
      </w:r>
      <w:r>
        <w:rPr>
          <w:rFonts w:hint="eastAsia" w:ascii="仿宋" w:hAnsi="仿宋" w:eastAsia="仿宋" w:cs="楷体_GB2312"/>
          <w:color w:val="000000"/>
          <w:sz w:val="32"/>
          <w:szCs w:val="32"/>
        </w:rPr>
        <w:t>〕</w:t>
      </w:r>
      <w:r>
        <w:rPr>
          <w:rFonts w:hint="eastAsia" w:ascii="仿宋" w:hAnsi="仿宋" w:eastAsia="仿宋" w:cs="楷体_GB2312"/>
          <w:color w:val="000000"/>
          <w:sz w:val="32"/>
          <w:szCs w:val="32"/>
          <w:lang w:val="en-US" w:eastAsia="zh-CN"/>
        </w:rPr>
        <w:t>12</w:t>
      </w:r>
      <w:r>
        <w:rPr>
          <w:rFonts w:hint="eastAsia" w:ascii="仿宋" w:hAnsi="仿宋" w:eastAsia="仿宋" w:cs="楷体_GB2312"/>
          <w:color w:val="000000"/>
          <w:sz w:val="32"/>
          <w:szCs w:val="32"/>
        </w:rPr>
        <w:t>号行政处罚告知书，当事人在法定期限内未提出陈述、申辩意见。</w:t>
      </w:r>
    </w:p>
    <w:p>
      <w:pPr>
        <w:spacing w:line="520" w:lineRule="exact"/>
        <w:ind w:firstLine="640" w:firstLineChars="200"/>
        <w:rPr>
          <w:rFonts w:hint="eastAsia" w:ascii="仿宋" w:hAnsi="仿宋" w:eastAsia="仿宋" w:cs="楷体_GB2312"/>
          <w:color w:val="000000"/>
          <w:sz w:val="32"/>
          <w:szCs w:val="32"/>
          <w:lang w:eastAsia="zh-CN"/>
        </w:rPr>
      </w:pPr>
      <w:r>
        <w:rPr>
          <w:rFonts w:hint="eastAsia" w:ascii="仿宋" w:hAnsi="仿宋" w:eastAsia="仿宋" w:cs="楷体_GB2312"/>
          <w:color w:val="000000"/>
          <w:sz w:val="32"/>
          <w:szCs w:val="32"/>
          <w:lang w:eastAsia="zh-CN"/>
        </w:rPr>
        <w:t>本局认为，当事人未按规定建立并遵守进货查验记录的行为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当事人销售农药残留超过食品安全标准限量姜行为构成了《食用农产品市场销售质量安全监督管理办法》第二十五条第（二）项“禁止销售下列食用农产品：（二）致病性微生物、农药残留、兽药残留、生物毒素、重金属等污染物质以及其他危害人体健康的物质含量超过食品安全标准限量的”所指的违法行为。当事人能够积极配合执法人员调查。当事人是姜经营销售者，不是农药使用者。</w:t>
      </w:r>
      <w:r>
        <w:rPr>
          <w:rFonts w:hint="eastAsia" w:ascii="仿宋" w:hAnsi="仿宋" w:eastAsia="仿宋" w:cs="仿宋_GB2312"/>
          <w:bCs/>
          <w:sz w:val="32"/>
          <w:szCs w:val="32"/>
        </w:rPr>
        <w:t>当事人不知道其销售的</w:t>
      </w:r>
      <w:r>
        <w:rPr>
          <w:rFonts w:hint="eastAsia" w:ascii="仿宋" w:hAnsi="仿宋" w:eastAsia="仿宋" w:cs="仿宋_GB2312"/>
          <w:bCs/>
          <w:sz w:val="32"/>
          <w:szCs w:val="32"/>
          <w:lang w:eastAsia="zh-CN"/>
        </w:rPr>
        <w:t>姜</w:t>
      </w:r>
      <w:r>
        <w:rPr>
          <w:rFonts w:hint="eastAsia" w:ascii="仿宋" w:hAnsi="仿宋" w:eastAsia="仿宋" w:cs="仿宋_GB2312"/>
          <w:bCs/>
          <w:sz w:val="32"/>
          <w:szCs w:val="32"/>
        </w:rPr>
        <w:t>是农药残留超过食品安全标准限量的</w:t>
      </w:r>
      <w:r>
        <w:rPr>
          <w:rFonts w:hint="eastAsia" w:ascii="仿宋" w:hAnsi="仿宋" w:eastAsia="仿宋" w:cs="仿宋_GB2312"/>
          <w:bCs/>
          <w:sz w:val="32"/>
          <w:szCs w:val="32"/>
          <w:lang w:eastAsia="zh-CN"/>
        </w:rPr>
        <w:t>姜</w:t>
      </w:r>
      <w:r>
        <w:rPr>
          <w:rFonts w:hint="eastAsia" w:ascii="仿宋" w:hAnsi="仿宋" w:eastAsia="仿宋" w:cs="仿宋_GB2312"/>
          <w:bCs/>
          <w:sz w:val="32"/>
          <w:szCs w:val="32"/>
        </w:rPr>
        <w:t>。</w:t>
      </w:r>
      <w:r>
        <w:rPr>
          <w:rFonts w:hint="eastAsia" w:ascii="仿宋" w:hAnsi="仿宋" w:eastAsia="仿宋" w:cs="楷体_GB2312"/>
          <w:color w:val="000000"/>
          <w:sz w:val="32"/>
          <w:szCs w:val="32"/>
          <w:lang w:eastAsia="zh-CN"/>
        </w:rPr>
        <w:t>按照过罚相当、处罚与教育相结合的原则，依据《中华人民共和国行政处罚法》第五条“行政处罚遵循公正、公开的原则。设定和实施行政处罚必须以事实为依据，与违法行为的事实、性质、情节以及社会危害程度相当。对违法行为给予行政处罚的规定必须公布；未经公布的，不得作为行政处罚的依据。”和《关于规范市场监督管理行政处罚裁量权的指导意见》第十四条第（二）项“有下列情形之一的，可以依法从轻或者减轻行政处罚：（二）积极配合市场监管部门调查并主动提供证据材料的”，对当事人减轻处罚。</w:t>
      </w:r>
    </w:p>
    <w:p>
      <w:p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lang w:eastAsia="zh-CN"/>
        </w:rPr>
        <w:t>综上，当事人的上述行为违反了《中华人民共和国食品安全法》第六十五条、</w:t>
      </w:r>
      <w:r>
        <w:rPr>
          <w:rFonts w:hint="eastAsia" w:ascii="仿宋" w:hAnsi="仿宋" w:eastAsia="仿宋" w:cs="楷体_GB2312"/>
          <w:color w:val="000000"/>
          <w:sz w:val="32"/>
          <w:szCs w:val="32"/>
        </w:rPr>
        <w:t>《食用农产品市场销售质量安全监督管理办法》第二十五条第（二）项所指的违法行为。</w:t>
      </w:r>
      <w:r>
        <w:rPr>
          <w:rFonts w:hint="eastAsia" w:ascii="仿宋" w:hAnsi="仿宋" w:eastAsia="仿宋" w:cs="楷体_GB2312"/>
          <w:color w:val="000000"/>
          <w:sz w:val="32"/>
          <w:szCs w:val="32"/>
          <w:lang w:eastAsia="zh-CN"/>
        </w:rPr>
        <w:t>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及</w:t>
      </w:r>
      <w:r>
        <w:rPr>
          <w:rFonts w:hint="eastAsia" w:ascii="仿宋" w:hAnsi="仿宋" w:eastAsia="仿宋" w:cs="楷体_GB2312"/>
          <w:color w:val="000000"/>
          <w:sz w:val="32"/>
          <w:szCs w:val="32"/>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第一百二十四条第一款第（一）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w:t>
      </w:r>
      <w:r>
        <w:rPr>
          <w:rFonts w:hint="eastAsia" w:ascii="仿宋" w:hAnsi="仿宋" w:eastAsia="仿宋" w:cs="楷体_GB2312"/>
          <w:color w:val="000000"/>
          <w:sz w:val="32"/>
          <w:szCs w:val="32"/>
          <w:lang w:eastAsia="zh-CN"/>
        </w:rPr>
        <w:t>责令当事人改正违法行为，</w:t>
      </w:r>
      <w:r>
        <w:rPr>
          <w:rFonts w:hint="eastAsia" w:ascii="仿宋" w:hAnsi="仿宋" w:eastAsia="仿宋" w:cs="楷体_GB2312"/>
          <w:color w:val="000000"/>
          <w:sz w:val="32"/>
          <w:szCs w:val="32"/>
        </w:rPr>
        <w:t>对当事人给予以下行政处罚：</w:t>
      </w:r>
      <w:r>
        <w:rPr>
          <w:rFonts w:hint="eastAsia" w:ascii="仿宋" w:hAnsi="仿宋" w:eastAsia="仿宋" w:cs="楷体_GB2312"/>
          <w:color w:val="000000"/>
          <w:sz w:val="32"/>
          <w:szCs w:val="32"/>
          <w:lang w:val="en-US" w:eastAsia="zh-CN"/>
        </w:rPr>
        <w:t>1.警告。2</w:t>
      </w:r>
      <w:r>
        <w:rPr>
          <w:rFonts w:hint="eastAsia" w:ascii="仿宋" w:hAnsi="仿宋" w:eastAsia="仿宋" w:cs="仿宋_GB2312"/>
          <w:bCs/>
          <w:sz w:val="32"/>
          <w:szCs w:val="32"/>
          <w:lang w:val="en-US" w:eastAsia="zh-CN"/>
        </w:rPr>
        <w:t>.</w:t>
      </w:r>
      <w:r>
        <w:rPr>
          <w:rFonts w:hint="eastAsia" w:ascii="仿宋" w:hAnsi="仿宋" w:eastAsia="仿宋" w:cs="仿宋_GB2312"/>
          <w:bCs/>
          <w:sz w:val="32"/>
          <w:szCs w:val="32"/>
        </w:rPr>
        <w:t>没收违法所得</w:t>
      </w:r>
      <w:r>
        <w:rPr>
          <w:rFonts w:hint="eastAsia" w:ascii="仿宋" w:hAnsi="仿宋" w:eastAsia="仿宋" w:cs="仿宋_GB2312"/>
          <w:bCs/>
          <w:sz w:val="32"/>
          <w:szCs w:val="32"/>
          <w:lang w:val="en-US" w:eastAsia="zh-CN"/>
        </w:rPr>
        <w:t>10</w:t>
      </w:r>
      <w:r>
        <w:rPr>
          <w:rFonts w:hint="eastAsia" w:ascii="仿宋" w:hAnsi="仿宋" w:eastAsia="仿宋" w:cs="仿宋_GB2312"/>
          <w:bCs/>
          <w:sz w:val="32"/>
          <w:szCs w:val="32"/>
        </w:rPr>
        <w:t>元</w:t>
      </w:r>
      <w:r>
        <w:rPr>
          <w:rFonts w:hint="eastAsia" w:ascii="仿宋" w:hAnsi="仿宋" w:eastAsia="仿宋" w:cs="仿宋_GB2312"/>
          <w:bCs/>
          <w:sz w:val="32"/>
          <w:szCs w:val="32"/>
          <w:lang w:eastAsia="zh-CN"/>
        </w:rPr>
        <w:t>。</w:t>
      </w:r>
      <w:r>
        <w:rPr>
          <w:rFonts w:hint="eastAsia" w:ascii="仿宋" w:hAnsi="仿宋" w:eastAsia="仿宋" w:cs="仿宋_GB2312"/>
          <w:bCs/>
          <w:sz w:val="32"/>
          <w:szCs w:val="32"/>
          <w:lang w:val="en-US" w:eastAsia="zh-CN"/>
        </w:rPr>
        <w:t>3.</w:t>
      </w:r>
      <w:r>
        <w:rPr>
          <w:rFonts w:hint="eastAsia" w:ascii="仿宋" w:hAnsi="仿宋" w:eastAsia="仿宋" w:cs="仿宋_GB2312"/>
          <w:bCs/>
          <w:sz w:val="32"/>
          <w:szCs w:val="32"/>
        </w:rPr>
        <w:t>罚款</w:t>
      </w: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rPr>
        <w:t>0</w:t>
      </w:r>
      <w:r>
        <w:rPr>
          <w:rFonts w:hint="eastAsia" w:ascii="仿宋" w:hAnsi="仿宋" w:eastAsia="仿宋" w:cs="仿宋_GB2312"/>
          <w:bCs/>
          <w:sz w:val="32"/>
          <w:szCs w:val="32"/>
          <w:lang w:val="en-US" w:eastAsia="zh-CN"/>
        </w:rPr>
        <w:t>00</w:t>
      </w:r>
      <w:r>
        <w:rPr>
          <w:rFonts w:hint="eastAsia" w:ascii="仿宋" w:hAnsi="仿宋" w:eastAsia="仿宋" w:cs="仿宋_GB2312"/>
          <w:bCs/>
          <w:sz w:val="32"/>
          <w:szCs w:val="32"/>
        </w:rPr>
        <w:t>元</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罚没款合计</w:t>
      </w:r>
      <w:r>
        <w:rPr>
          <w:rFonts w:hint="eastAsia" w:ascii="仿宋" w:hAnsi="仿宋" w:eastAsia="仿宋" w:cs="楷体_GB2312"/>
          <w:color w:val="000000"/>
          <w:sz w:val="32"/>
          <w:szCs w:val="32"/>
          <w:lang w:val="en-US" w:eastAsia="zh-CN"/>
        </w:rPr>
        <w:t>2010</w:t>
      </w:r>
      <w:r>
        <w:rPr>
          <w:rFonts w:hint="eastAsia" w:ascii="仿宋" w:hAnsi="仿宋" w:eastAsia="仿宋" w:cs="楷体_GB2312"/>
          <w:color w:val="000000"/>
          <w:sz w:val="32"/>
          <w:szCs w:val="32"/>
        </w:rPr>
        <w:t>元。</w:t>
      </w:r>
    </w:p>
    <w:p>
      <w:p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五十一条第一项的规定，每日按罚款数额的百分之三加处罚款，并将依法申请人民法院强制执行。</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楷体_GB2312"/>
          <w:color w:val="000000"/>
          <w:sz w:val="32"/>
          <w:szCs w:val="32"/>
        </w:rPr>
        <w:t>如对本行政处罚决定不服，可以于收到本决定书之日起六十日内依法向天津市东丽区人民政府申请行政复议，也可以于六个月内依法向天津市东丽区人民法院提起行政诉讼。</w:t>
      </w:r>
      <w:r>
        <w:rPr>
          <w:rFonts w:hint="eastAsia" w:ascii="仿宋" w:hAnsi="仿宋" w:eastAsia="仿宋" w:cs="仿宋"/>
          <w:color w:val="000000"/>
          <w:sz w:val="32"/>
          <w:szCs w:val="32"/>
        </w:rPr>
        <w:t xml:space="preserve">              </w:t>
      </w:r>
    </w:p>
    <w:p>
      <w:pPr>
        <w:spacing w:line="500" w:lineRule="exact"/>
        <w:ind w:firstLine="601"/>
        <w:jc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天津市东丽区市场监督管理局</w:t>
      </w:r>
    </w:p>
    <w:p>
      <w:pPr>
        <w:spacing w:line="500" w:lineRule="exact"/>
        <w:ind w:right="640"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（印章）</w:t>
      </w:r>
    </w:p>
    <w:p>
      <w:pPr>
        <w:spacing w:line="500" w:lineRule="exact"/>
        <w:ind w:right="640" w:firstLine="6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日</w:t>
      </w: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wordWrap w:val="0"/>
        <w:snapToGrid w:val="0"/>
        <w:spacing w:line="520" w:lineRule="exact"/>
        <w:rPr>
          <w:rFonts w:ascii="仿宋" w:hAnsi="仿宋" w:eastAsia="仿宋" w:cs="仿宋"/>
          <w:bCs/>
          <w:color w:val="000000"/>
          <w:sz w:val="32"/>
          <w:szCs w:val="32"/>
        </w:rPr>
      </w:pPr>
      <w:r>
        <w:rPr>
          <w:rFonts w:hint="eastAsia" w:ascii="仿宋" w:hAnsi="仿宋" w:eastAsia="仿宋" w:cs="黑体"/>
          <w:color w:val="000000"/>
          <w:sz w:val="30"/>
          <w:szCs w:val="30"/>
        </w:rPr>
        <w:t>（市场监督管理部门将依法向社会公示本行政处罚决定信息）</w:t>
      </w:r>
      <w:r>
        <w:rPr>
          <w:rFonts w:ascii="仿宋" w:hAnsi="仿宋" w:eastAsia="仿宋"/>
          <w:sz w:val="32"/>
        </w:rPr>
        <w:pict>
          <v:line id="_x0000_s2052" o:spid="_x0000_s2052" o:spt="20" style="position:absolute;left:0pt;margin-left:-18.85pt;margin-top:22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wordWrap w:val="0"/>
        <w:spacing w:line="520" w:lineRule="exact"/>
        <w:rPr>
          <w:rFonts w:ascii="仿宋" w:hAnsi="仿宋" w:eastAsia="仿宋" w:cs="仿宋"/>
          <w:color w:val="000000"/>
          <w:sz w:val="32"/>
          <w:szCs w:val="32"/>
        </w:rPr>
      </w:pPr>
      <w:r>
        <w:rPr>
          <w:rFonts w:ascii="仿宋" w:hAnsi="仿宋" w:eastAsia="仿宋" w:cs="仿宋"/>
          <w:bCs/>
          <w:color w:val="000000"/>
          <w:sz w:val="32"/>
          <w:szCs w:val="32"/>
        </w:rPr>
        <w:pict>
          <v:line id="_x0000_s2051" o:spid="_x0000_s2051"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仿宋" w:hAnsi="仿宋" w:eastAsia="仿宋" w:cs="仿宋"/>
          <w:color w:val="000000"/>
          <w:sz w:val="32"/>
          <w:szCs w:val="32"/>
        </w:rPr>
        <w:t>本文书一式二份，一份送达，一份归档。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rPr>
    </w:pPr>
    <w:r>
      <w:rPr>
        <w:rFonts w:hint="eastAsia" w:ascii="仿宋" w:hAnsi="仿宋" w:eastAsia="仿宋"/>
      </w:rPr>
      <w:t>第</w:t>
    </w:r>
    <w:sdt>
      <w:sdtPr>
        <w:rPr>
          <w:rFonts w:ascii="仿宋" w:hAnsi="仿宋" w:eastAsia="仿宋"/>
        </w:rPr>
        <w:id w:val="18760075"/>
        <w:docPartObj>
          <w:docPartGallery w:val="autotext"/>
        </w:docPartObj>
      </w:sdtPr>
      <w:sdtEndPr>
        <w:rPr>
          <w:rFonts w:ascii="仿宋" w:hAnsi="仿宋" w:eastAsia="仿宋"/>
        </w:rPr>
      </w:sdtEndPr>
      <w:sdtContent>
        <w:sdt>
          <w:sdtPr>
            <w:rPr>
              <w:rFonts w:ascii="仿宋" w:hAnsi="仿宋" w:eastAsia="仿宋"/>
            </w:rPr>
            <w:id w:val="98381352"/>
            <w:docPartObj>
              <w:docPartGallery w:val="autotext"/>
            </w:docPartObj>
          </w:sdtPr>
          <w:sdtEndPr>
            <w:rPr>
              <w:rFonts w:ascii="仿宋" w:hAnsi="仿宋" w:eastAsia="仿宋"/>
            </w:rPr>
          </w:sdtEndPr>
          <w:sdtContent>
            <w:r>
              <w:rPr>
                <w:rFonts w:ascii="仿宋" w:hAnsi="仿宋" w:eastAsia="仿宋"/>
                <w:lang w:val="zh-CN"/>
              </w:rPr>
              <w:t xml:space="preserve"> </w:t>
            </w:r>
            <w:r>
              <w:rPr>
                <w:rFonts w:ascii="仿宋" w:hAnsi="仿宋" w:eastAsia="仿宋"/>
                <w:sz w:val="24"/>
                <w:szCs w:val="24"/>
              </w:rPr>
              <w:fldChar w:fldCharType="begin"/>
            </w:r>
            <w:r>
              <w:rPr>
                <w:rFonts w:ascii="仿宋" w:hAnsi="仿宋" w:eastAsia="仿宋"/>
              </w:rPr>
              <w:instrText xml:space="preserve">PAGE</w:instrText>
            </w:r>
            <w:r>
              <w:rPr>
                <w:rFonts w:ascii="仿宋" w:hAnsi="仿宋" w:eastAsia="仿宋"/>
                <w:sz w:val="24"/>
                <w:szCs w:val="24"/>
              </w:rPr>
              <w:fldChar w:fldCharType="separate"/>
            </w:r>
            <w:r>
              <w:rPr>
                <w:rFonts w:ascii="仿宋" w:hAnsi="仿宋" w:eastAsia="仿宋"/>
              </w:rPr>
              <w:t>3</w:t>
            </w:r>
            <w:r>
              <w:rPr>
                <w:rFonts w:ascii="仿宋" w:hAnsi="仿宋" w:eastAsia="仿宋"/>
                <w:sz w:val="24"/>
                <w:szCs w:val="24"/>
              </w:rPr>
              <w:fldChar w:fldCharType="end"/>
            </w:r>
            <w:r>
              <w:rPr>
                <w:rFonts w:ascii="仿宋" w:hAnsi="仿宋" w:eastAsia="仿宋"/>
                <w:lang w:val="zh-CN"/>
              </w:rPr>
              <w:t xml:space="preserve"> </w:t>
            </w:r>
            <w:r>
              <w:rPr>
                <w:rFonts w:hint="eastAsia" w:ascii="仿宋" w:hAnsi="仿宋" w:eastAsia="仿宋"/>
                <w:lang w:val="zh-CN"/>
              </w:rPr>
              <w:t>页共</w:t>
            </w:r>
            <w:r>
              <w:rPr>
                <w:rFonts w:ascii="仿宋" w:hAnsi="仿宋" w:eastAsia="仿宋"/>
                <w:lang w:val="zh-CN"/>
              </w:rPr>
              <w:t xml:space="preserve"> </w:t>
            </w:r>
            <w:r>
              <w:rPr>
                <w:rFonts w:ascii="仿宋" w:hAnsi="仿宋" w:eastAsia="仿宋"/>
                <w:sz w:val="24"/>
                <w:szCs w:val="24"/>
              </w:rPr>
              <w:fldChar w:fldCharType="begin"/>
            </w:r>
            <w:r>
              <w:rPr>
                <w:rFonts w:ascii="仿宋" w:hAnsi="仿宋" w:eastAsia="仿宋"/>
              </w:rPr>
              <w:instrText xml:space="preserve">NUMPAGES</w:instrText>
            </w:r>
            <w:r>
              <w:rPr>
                <w:rFonts w:ascii="仿宋" w:hAnsi="仿宋" w:eastAsia="仿宋"/>
                <w:sz w:val="24"/>
                <w:szCs w:val="24"/>
              </w:rPr>
              <w:fldChar w:fldCharType="separate"/>
            </w:r>
            <w:r>
              <w:rPr>
                <w:rFonts w:ascii="仿宋" w:hAnsi="仿宋" w:eastAsia="仿宋"/>
              </w:rPr>
              <w:t>4</w:t>
            </w:r>
            <w:r>
              <w:rPr>
                <w:rFonts w:ascii="仿宋" w:hAnsi="仿宋" w:eastAsia="仿宋"/>
                <w:sz w:val="24"/>
                <w:szCs w:val="24"/>
              </w:rPr>
              <w:fldChar w:fldCharType="end"/>
            </w:r>
          </w:sdtContent>
        </w:sdt>
        <w:r>
          <w:rPr>
            <w:rFonts w:hint="eastAsia" w:ascii="仿宋" w:hAnsi="仿宋" w:eastAsia="仿宋"/>
          </w:rPr>
          <w:t xml:space="preserve"> 页</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zOTU5OGQwYjJiOWQ4Mzc1MWE1OWU3NmJhYTdlYjMifQ=="/>
  </w:docVars>
  <w:rsids>
    <w:rsidRoot w:val="00932A90"/>
    <w:rsid w:val="00001838"/>
    <w:rsid w:val="00014BB5"/>
    <w:rsid w:val="00015782"/>
    <w:rsid w:val="0001770F"/>
    <w:rsid w:val="00045165"/>
    <w:rsid w:val="00046122"/>
    <w:rsid w:val="000539FB"/>
    <w:rsid w:val="000555D4"/>
    <w:rsid w:val="000706EA"/>
    <w:rsid w:val="0008520B"/>
    <w:rsid w:val="00086F74"/>
    <w:rsid w:val="000901C5"/>
    <w:rsid w:val="000A2B02"/>
    <w:rsid w:val="000A76EB"/>
    <w:rsid w:val="000A78F0"/>
    <w:rsid w:val="000D2F6C"/>
    <w:rsid w:val="000D6CEB"/>
    <w:rsid w:val="000E353D"/>
    <w:rsid w:val="000F5D82"/>
    <w:rsid w:val="00103A0A"/>
    <w:rsid w:val="00121AE4"/>
    <w:rsid w:val="001310FC"/>
    <w:rsid w:val="00133FD9"/>
    <w:rsid w:val="00151690"/>
    <w:rsid w:val="00154C83"/>
    <w:rsid w:val="00157148"/>
    <w:rsid w:val="00177064"/>
    <w:rsid w:val="00180FD0"/>
    <w:rsid w:val="00184979"/>
    <w:rsid w:val="001A29BB"/>
    <w:rsid w:val="001A3893"/>
    <w:rsid w:val="001B2715"/>
    <w:rsid w:val="001C3A69"/>
    <w:rsid w:val="001D08BE"/>
    <w:rsid w:val="00211D97"/>
    <w:rsid w:val="00264484"/>
    <w:rsid w:val="00270EC6"/>
    <w:rsid w:val="002725DA"/>
    <w:rsid w:val="00273024"/>
    <w:rsid w:val="002831FD"/>
    <w:rsid w:val="002D47A0"/>
    <w:rsid w:val="002D6A72"/>
    <w:rsid w:val="00300F00"/>
    <w:rsid w:val="00332BE6"/>
    <w:rsid w:val="00334218"/>
    <w:rsid w:val="00362B43"/>
    <w:rsid w:val="003D08B9"/>
    <w:rsid w:val="003E44F2"/>
    <w:rsid w:val="003F2806"/>
    <w:rsid w:val="003F3C3E"/>
    <w:rsid w:val="00411445"/>
    <w:rsid w:val="004465E2"/>
    <w:rsid w:val="00475E66"/>
    <w:rsid w:val="00481315"/>
    <w:rsid w:val="004D2A6B"/>
    <w:rsid w:val="00510B82"/>
    <w:rsid w:val="00522A2D"/>
    <w:rsid w:val="00526F8B"/>
    <w:rsid w:val="005776F6"/>
    <w:rsid w:val="0059220A"/>
    <w:rsid w:val="005C5438"/>
    <w:rsid w:val="0060507C"/>
    <w:rsid w:val="00614DA2"/>
    <w:rsid w:val="00620711"/>
    <w:rsid w:val="0062679D"/>
    <w:rsid w:val="0062687A"/>
    <w:rsid w:val="00630181"/>
    <w:rsid w:val="00635CEA"/>
    <w:rsid w:val="00644AA6"/>
    <w:rsid w:val="00657FAC"/>
    <w:rsid w:val="0067728B"/>
    <w:rsid w:val="00681E98"/>
    <w:rsid w:val="00684D84"/>
    <w:rsid w:val="006B0E47"/>
    <w:rsid w:val="006B2BEC"/>
    <w:rsid w:val="006B531C"/>
    <w:rsid w:val="006C0430"/>
    <w:rsid w:val="00700AC4"/>
    <w:rsid w:val="00702221"/>
    <w:rsid w:val="0071184A"/>
    <w:rsid w:val="00733122"/>
    <w:rsid w:val="00734A44"/>
    <w:rsid w:val="00740F12"/>
    <w:rsid w:val="00743709"/>
    <w:rsid w:val="007548A4"/>
    <w:rsid w:val="007670C2"/>
    <w:rsid w:val="00790584"/>
    <w:rsid w:val="0079555A"/>
    <w:rsid w:val="007B519A"/>
    <w:rsid w:val="007B72EA"/>
    <w:rsid w:val="007C3822"/>
    <w:rsid w:val="007C4F93"/>
    <w:rsid w:val="0080521A"/>
    <w:rsid w:val="00824883"/>
    <w:rsid w:val="00844482"/>
    <w:rsid w:val="00844930"/>
    <w:rsid w:val="00855853"/>
    <w:rsid w:val="00876B1C"/>
    <w:rsid w:val="0089177F"/>
    <w:rsid w:val="008C39E9"/>
    <w:rsid w:val="008C72FC"/>
    <w:rsid w:val="008D08E9"/>
    <w:rsid w:val="009010C7"/>
    <w:rsid w:val="0091674E"/>
    <w:rsid w:val="00932A90"/>
    <w:rsid w:val="00940BC4"/>
    <w:rsid w:val="0096292B"/>
    <w:rsid w:val="00964213"/>
    <w:rsid w:val="00975182"/>
    <w:rsid w:val="00977BBB"/>
    <w:rsid w:val="00983757"/>
    <w:rsid w:val="009838EB"/>
    <w:rsid w:val="009A47D8"/>
    <w:rsid w:val="009C167B"/>
    <w:rsid w:val="009E5953"/>
    <w:rsid w:val="00A21306"/>
    <w:rsid w:val="00A26F87"/>
    <w:rsid w:val="00A379EB"/>
    <w:rsid w:val="00A73445"/>
    <w:rsid w:val="00A8163D"/>
    <w:rsid w:val="00A858AE"/>
    <w:rsid w:val="00A93E19"/>
    <w:rsid w:val="00AA0D30"/>
    <w:rsid w:val="00AA14C0"/>
    <w:rsid w:val="00AC642B"/>
    <w:rsid w:val="00AD0230"/>
    <w:rsid w:val="00AE4C57"/>
    <w:rsid w:val="00B4464A"/>
    <w:rsid w:val="00B56811"/>
    <w:rsid w:val="00B74F3D"/>
    <w:rsid w:val="00BA1E90"/>
    <w:rsid w:val="00BF14CC"/>
    <w:rsid w:val="00BF7202"/>
    <w:rsid w:val="00C31A2B"/>
    <w:rsid w:val="00C43207"/>
    <w:rsid w:val="00C51992"/>
    <w:rsid w:val="00C96588"/>
    <w:rsid w:val="00CA4E7F"/>
    <w:rsid w:val="00CB749D"/>
    <w:rsid w:val="00CE57D2"/>
    <w:rsid w:val="00CF50DB"/>
    <w:rsid w:val="00D10F5E"/>
    <w:rsid w:val="00D2462B"/>
    <w:rsid w:val="00D30245"/>
    <w:rsid w:val="00D35C21"/>
    <w:rsid w:val="00D35FE1"/>
    <w:rsid w:val="00D51C39"/>
    <w:rsid w:val="00D74BA8"/>
    <w:rsid w:val="00D81402"/>
    <w:rsid w:val="00D9409B"/>
    <w:rsid w:val="00D973F6"/>
    <w:rsid w:val="00DA48A0"/>
    <w:rsid w:val="00DB0036"/>
    <w:rsid w:val="00DC285F"/>
    <w:rsid w:val="00DF4709"/>
    <w:rsid w:val="00DF7CA7"/>
    <w:rsid w:val="00E111B5"/>
    <w:rsid w:val="00E17F03"/>
    <w:rsid w:val="00E26359"/>
    <w:rsid w:val="00E369FC"/>
    <w:rsid w:val="00E508C7"/>
    <w:rsid w:val="00E700A0"/>
    <w:rsid w:val="00E7715F"/>
    <w:rsid w:val="00E83BBD"/>
    <w:rsid w:val="00EB55F2"/>
    <w:rsid w:val="00EE4819"/>
    <w:rsid w:val="00EF349D"/>
    <w:rsid w:val="00F0698B"/>
    <w:rsid w:val="00F103FA"/>
    <w:rsid w:val="00F34590"/>
    <w:rsid w:val="00F65ED6"/>
    <w:rsid w:val="00F73C4A"/>
    <w:rsid w:val="00F75E87"/>
    <w:rsid w:val="00F81E83"/>
    <w:rsid w:val="00F85F5C"/>
    <w:rsid w:val="00FB71BD"/>
    <w:rsid w:val="00FC53CC"/>
    <w:rsid w:val="00FD4E08"/>
    <w:rsid w:val="00FE4978"/>
    <w:rsid w:val="00FE6716"/>
    <w:rsid w:val="03FB4BA6"/>
    <w:rsid w:val="06020FA4"/>
    <w:rsid w:val="06AC08B7"/>
    <w:rsid w:val="08C243A7"/>
    <w:rsid w:val="166C5469"/>
    <w:rsid w:val="17154D10"/>
    <w:rsid w:val="17AB770C"/>
    <w:rsid w:val="1BA70DE8"/>
    <w:rsid w:val="207C36E4"/>
    <w:rsid w:val="26441490"/>
    <w:rsid w:val="2790694C"/>
    <w:rsid w:val="283C33DB"/>
    <w:rsid w:val="29EE1864"/>
    <w:rsid w:val="2BF45DE4"/>
    <w:rsid w:val="2C166BF4"/>
    <w:rsid w:val="2E716DB4"/>
    <w:rsid w:val="2F9B5328"/>
    <w:rsid w:val="36E37214"/>
    <w:rsid w:val="37A85F18"/>
    <w:rsid w:val="38984E8B"/>
    <w:rsid w:val="394B308A"/>
    <w:rsid w:val="438E7E65"/>
    <w:rsid w:val="449B2424"/>
    <w:rsid w:val="46815A7F"/>
    <w:rsid w:val="4ADC39EE"/>
    <w:rsid w:val="4ED62BA6"/>
    <w:rsid w:val="50262B68"/>
    <w:rsid w:val="594F3F7D"/>
    <w:rsid w:val="64B92D9B"/>
    <w:rsid w:val="6DC470F3"/>
    <w:rsid w:val="6E893940"/>
    <w:rsid w:val="6F1C5EE5"/>
    <w:rsid w:val="74215F65"/>
    <w:rsid w:val="7A4D5E5D"/>
    <w:rsid w:val="7A86108C"/>
    <w:rsid w:val="7B2810A1"/>
    <w:rsid w:val="7F02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B147D-6B4C-4D73-B0C1-E49C1439B623}">
  <ds:schemaRefs/>
</ds:datastoreItem>
</file>

<file path=docProps/app.xml><?xml version="1.0" encoding="utf-8"?>
<Properties xmlns="http://schemas.openxmlformats.org/officeDocument/2006/extended-properties" xmlns:vt="http://schemas.openxmlformats.org/officeDocument/2006/docPropsVTypes">
  <Template>Normal</Template>
  <Pages>4</Pages>
  <Words>320</Words>
  <Characters>1827</Characters>
  <Lines>15</Lines>
  <Paragraphs>4</Paragraphs>
  <TotalTime>3</TotalTime>
  <ScaleCrop>false</ScaleCrop>
  <LinksUpToDate>false</LinksUpToDate>
  <CharactersWithSpaces>2143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2019-05-22T06:39:00Z</dcterms:created>
  <dc:creator>User</dc:creator>
  <cp:lastModifiedBy>花花公主</cp:lastModifiedBy>
  <cp:lastPrinted>2023-08-01T06:52:00Z</cp:lastPrinted>
  <dcterms:modified xsi:type="dcterms:W3CDTF">2023-09-21T06:24:02Z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A2609F0DF68849878F545836C6F3C7AB_12</vt:lpwstr>
  </property>
</Properties>
</file>