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天津市东丽区法律援助中心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承担法律援助申请的受理、审查等相关事务性工作，安排人员提供法律援助；承办通知辩护的法律援助案件。</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天津市东丽区法律援助中心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天津市东丽区法律援助中心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830,927.22</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131,690.88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59,779.68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295,566.00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1,317,974.77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1,317,963.78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1,317,974.77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1,317,974.77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1,317,974.77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1,317,954.65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公共安全支出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830,938.21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830,918.09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司法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830,938.21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830,918.09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2040650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830,938.21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830,918.09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131,690.88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131,690.88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131,690.88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131,690.88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87,793.92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87,793.92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43,896.96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43,896.96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59,779.68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59,779.68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59,779.68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59,779.68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59,779.68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59,779.68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295,566.00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295,566.00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295,566.00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295,566.00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295,566.00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295,566.00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部门（单位）：天津市东丽区法律援助中心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1,317,974.77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1,317,974.77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1,317,954.65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20.12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343201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天津市东丽区法律援助中心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1,317,974.77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1,317,974.77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1,317,954.65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20.12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1,317,963.78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1,317,963.78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司法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2040650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830,927.22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131,690.88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131,690.88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131,690.88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131,690.88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87,793.92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87,793.92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43,896.96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43,896.96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59,779.68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295,566.00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830,918.09</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830,918.09</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131,690.88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131,690.88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59,779.68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59,779.68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295,566.00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295,566.00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1,317,954.65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天津市东丽区法律援助中心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1,317,954.65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1,317,954.65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1,168,926.44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149,028.21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公共安全支出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830,918.09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830,918.09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681,889.88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149,028.21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司法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830,918.09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830,918.09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681,889.88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149,028.21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2040650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830,918.09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830,918.09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681,889.88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149,028.21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131,690.88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131,690.88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131,690.88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131,690.88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131,690.88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131,690.88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87,793.92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87,793.92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87,793.92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43,896.96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43,896.96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43,896.96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59,779.68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295,566.00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1,168,781.44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149,028.21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256,584.00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96,656.00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125,807.80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295,512.00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87,793.92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43,896.96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54,871.68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3,841.08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295,566.00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12,469.98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9,692.23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1,168,926.44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149,028.21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天津市东丽区法律援助中心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天津市东丽区法律援助中心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天津市东丽区法律援助中心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天津市东丽区法律援助中心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天津市东丽区法律援助中心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部门（单位）：天津市东丽区法律援助中心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天津市东丽区法律援助中心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2024年度收入、支出决算总计</w:t>
      </w:r>
      <w:r>
        <w:rPr>
          <w:rFonts w:ascii="Times New Roman" w:eastAsia="仿宋_GB2312"/>
          <w:b w:val="false"/>
          <w:sz w:val="30"/>
          <w:szCs w:val="30"/>
        </w:rPr>
        <w:t>1,317,974.77</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48,285.14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3.803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公用经费中办公费增加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一般公共预算财政拨款收入1,317,954.65元、其他收入20.12元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公共安全支出830,927.22元、社会保障和就业支出131,690.88元、卫生健康支出59,779.68元、住房保障支出295,566.00元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2024年度本年收入合计</w:t>
      </w:r>
      <w:r>
        <w:rPr>
          <w:rFonts w:ascii="Times New Roman" w:eastAsia="仿宋_GB2312"/>
          <w:b w:val="false"/>
          <w:sz w:val="30"/>
          <w:szCs w:val="30"/>
        </w:rPr>
        <w:t>1,317,974.77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48,285.14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公用经费中办公费增加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一般公共预算财政拨款收入1,317,954.65元，占99.998%；其他收入20.12元，占0.002%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2024年度本年支出合计</w:t>
      </w:r>
      <w:r>
        <w:rPr>
          <w:rFonts w:ascii="Times New Roman" w:eastAsia="仿宋_GB2312"/>
          <w:b w:val="false"/>
          <w:sz w:val="30"/>
          <w:szCs w:val="30"/>
        </w:rPr>
        <w:t>1,317,963.78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48,300.12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公用经费中办公费增加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基本支出1,317,963.78元，占100.000%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2024年度财政拨款收入、支出决算总计</w:t>
      </w:r>
      <w:r>
        <w:rPr>
          <w:rFonts w:ascii="Times New Roman" w:eastAsia="仿宋_GB2312"/>
          <w:b w:val="false"/>
          <w:sz w:val="30"/>
          <w:szCs w:val="30"/>
        </w:rPr>
        <w:t>1,317,954.65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48,291.02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3.803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公用经费中办公费增加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一般公共预算财政拨款1,317,954.65元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公共安全支出830,918.09元、社会保障和就业支出131,690.88元、卫生健康支出59,779.68元、住房保障支出295,566.00元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1,317,954.65</w:t>
      </w:r>
      <w:r>
        <w:rPr>
          <w:rFonts w:ascii="Times New Roman" w:eastAsia="仿宋_GB2312"/>
          <w:b w:val="false"/>
          <w:sz w:val="30"/>
          <w:szCs w:val="30"/>
        </w:rPr>
        <w:t>元，占本年支出合计的</w:t>
      </w:r>
      <w:r>
        <w:rPr>
          <w:rFonts w:ascii="Times New Roman" w:eastAsia="仿宋_GB2312"/>
          <w:b w:val="false"/>
          <w:sz w:val="30"/>
          <w:szCs w:val="30"/>
        </w:rPr>
        <w:t>99.999</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48,291.02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3.803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公用经费中办公费增加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1,317,954.65</w:t>
      </w:r>
      <w:r>
        <w:rPr>
          <w:rFonts w:ascii="Times New Roman" w:eastAsia="仿宋_GB2312"/>
          <w:b w:val="false"/>
          <w:sz w:val="30"/>
          <w:szCs w:val="30"/>
        </w:rPr>
        <w:t>元，主要用于以下方面：</w:t>
      </w:r>
      <w:r>
        <w:rPr>
          <w:rFonts w:ascii="Times New Roman" w:eastAsia="仿宋_GB2312"/>
          <w:b w:val="false"/>
          <w:sz w:val="30"/>
          <w:szCs w:val="30"/>
        </w:rPr>
        <w:t>公共安全支出（类）830,918.09元，占63.046%；社会保障和就业支出（类）131,690.88元，占9.992%；卫生健康支出（类）59,779.68元，占4.536%；住房保障支出（类）295,566.00元，占22.426%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1,338,600.00</w:t>
      </w:r>
      <w:r>
        <w:rPr>
          <w:rFonts w:ascii="Times New Roman" w:eastAsia="仿宋_GB2312"/>
          <w:b w:val="false"/>
          <w:sz w:val="30"/>
          <w:szCs w:val="30"/>
        </w:rPr>
        <w:t>元，支出决算为</w:t>
      </w:r>
      <w:r>
        <w:rPr>
          <w:rFonts w:ascii="Times New Roman" w:eastAsia="仿宋_GB2312"/>
          <w:b w:val="false"/>
          <w:sz w:val="30"/>
          <w:szCs w:val="30"/>
        </w:rPr>
        <w:t>1,317,954.65</w:t>
      </w:r>
      <w:r>
        <w:rPr>
          <w:rFonts w:ascii="Times New Roman" w:eastAsia="仿宋_GB2312"/>
          <w:b w:val="false"/>
          <w:sz w:val="30"/>
          <w:szCs w:val="30"/>
        </w:rPr>
        <w:t>元，完成年初预算的</w:t>
      </w:r>
      <w:r>
        <w:rPr>
          <w:rFonts w:ascii="Times New Roman" w:eastAsia="仿宋_GB2312"/>
          <w:b w:val="false"/>
          <w:sz w:val="30"/>
          <w:szCs w:val="30"/>
        </w:rPr>
        <w:t>98.458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公共安全支出</w:t>
      </w:r>
      <w:r>
        <w:rPr>
          <w:rFonts w:ascii="Times New Roman" w:eastAsia="仿宋_GB2312"/>
          <w:b w:val="false"/>
          <w:sz w:val="30"/>
          <w:szCs w:val="30"/>
        </w:rPr>
        <w:t>(类)</w:t>
      </w:r>
      <w:r>
        <w:rPr>
          <w:rFonts w:ascii="Times New Roman" w:eastAsia="仿宋_GB2312"/>
          <w:b w:val="false"/>
          <w:sz w:val="30"/>
          <w:szCs w:val="30"/>
        </w:rPr>
        <w:t>司法</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851,300.00</w:t>
      </w:r>
      <w:r>
        <w:rPr>
          <w:rFonts w:ascii="Times New Roman" w:eastAsia="仿宋_GB2312"/>
          <w:b w:val="false"/>
          <w:sz w:val="30"/>
          <w:szCs w:val="30"/>
        </w:rPr>
        <w:t>元，支出决算为</w:t>
      </w:r>
      <w:r>
        <w:rPr>
          <w:rFonts w:ascii="Times New Roman" w:eastAsia="仿宋_GB2312"/>
          <w:b w:val="false"/>
          <w:sz w:val="30"/>
          <w:szCs w:val="30"/>
        </w:rPr>
        <w:t>830,918.09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97.606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87,400.00</w:t>
      </w:r>
      <w:r>
        <w:rPr>
          <w:rFonts w:ascii="Times New Roman" w:eastAsia="仿宋_GB2312"/>
          <w:b w:val="false"/>
          <w:sz w:val="30"/>
          <w:szCs w:val="30"/>
        </w:rPr>
        <w:t>元，支出决算为</w:t>
      </w:r>
      <w:r>
        <w:rPr>
          <w:rFonts w:ascii="Times New Roman" w:eastAsia="仿宋_GB2312"/>
          <w:b w:val="false"/>
          <w:sz w:val="30"/>
          <w:szCs w:val="30"/>
        </w:rPr>
        <w:t>87,793.92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100.451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43,700.00</w:t>
      </w:r>
      <w:r>
        <w:rPr>
          <w:rFonts w:ascii="Times New Roman" w:eastAsia="仿宋_GB2312"/>
          <w:b w:val="false"/>
          <w:sz w:val="30"/>
          <w:szCs w:val="30"/>
        </w:rPr>
        <w:t>元，支出决算为</w:t>
      </w:r>
      <w:r>
        <w:rPr>
          <w:rFonts w:ascii="Times New Roman" w:eastAsia="仿宋_GB2312"/>
          <w:b w:val="false"/>
          <w:sz w:val="30"/>
          <w:szCs w:val="30"/>
        </w:rPr>
        <w:t>43,896.96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100.451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59,700.00</w:t>
      </w:r>
      <w:r>
        <w:rPr>
          <w:rFonts w:ascii="Times New Roman" w:eastAsia="仿宋_GB2312"/>
          <w:b w:val="false"/>
          <w:sz w:val="30"/>
          <w:szCs w:val="30"/>
        </w:rPr>
        <w:t>元，支出决算为</w:t>
      </w:r>
      <w:r>
        <w:rPr>
          <w:rFonts w:ascii="Times New Roman" w:eastAsia="仿宋_GB2312"/>
          <w:b w:val="false"/>
          <w:sz w:val="30"/>
          <w:szCs w:val="30"/>
        </w:rPr>
        <w:t>59,779.68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100.133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296,500.00</w:t>
      </w:r>
      <w:r>
        <w:rPr>
          <w:rFonts w:ascii="Times New Roman" w:eastAsia="仿宋_GB2312"/>
          <w:b w:val="false"/>
          <w:sz w:val="30"/>
          <w:szCs w:val="30"/>
        </w:rPr>
        <w:t>元，支出决算为</w:t>
      </w:r>
      <w:r>
        <w:rPr>
          <w:rFonts w:ascii="Times New Roman" w:eastAsia="仿宋_GB2312"/>
          <w:b w:val="false"/>
          <w:sz w:val="30"/>
          <w:szCs w:val="30"/>
        </w:rPr>
        <w:t>295,566.00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1,317,954.65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48,291.02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公用经费中办公费增加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1,168,926.44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149,028.21</w:t>
      </w:r>
      <w:r>
        <w:rPr>
          <w:rFonts w:ascii="Times New Roman" w:eastAsia="仿宋_GB2312"/>
          <w:b w:val="false"/>
          <w:sz w:val="30"/>
          <w:szCs w:val="30"/>
        </w:rPr>
        <w:t>元，主要包括</w:t>
      </w:r>
      <w:r>
        <w:rPr>
          <w:rFonts w:ascii="Times New Roman" w:eastAsia="仿宋_GB2312"/>
          <w:b w:val="false"/>
          <w:sz w:val="30"/>
          <w:szCs w:val="30"/>
        </w:rPr>
        <w:t>办公费、差旅费、工会经费、税金及附加费用和其他商品和服务支出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天津市东丽区法律援助中心不属于乡、镇街级单位，不涉及公开2024年度教育、医疗卫生、社会保障和就业、住房保障、涉农补贴等民生支出情况。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