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072B6065">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天津市东丽区司法局（本级）</w:t>
      </w:r>
    </w:p>
    <w:p w14:paraId="6C1F9451">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72D0923F">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31E2156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5D4234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1697198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1B7E1EF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47A85F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6FB27E0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231FF56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525874F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31B0AA0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0AA9C23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6C605FC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43F825D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7A60EE6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366A6AB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00A2F06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3B31920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4F69A04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6334D57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1F5DC66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4A9DA5F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50F4502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4D92097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00047CD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149CDB3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4596865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7BBAD6D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1EE9782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4706326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7F254C6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0DC6D59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7D6825D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48B6124D">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40692316">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5B786710">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hint="eastAsia" w:ascii="Times New Roman" w:eastAsia="仿宋_GB2312"/>
          <w:b w:val="0"/>
          <w:sz w:val="30"/>
          <w:szCs w:val="30"/>
          <w:lang w:eastAsia="zh-CN"/>
        </w:rPr>
        <w:t>（一）</w:t>
      </w:r>
      <w:r>
        <w:rPr>
          <w:rFonts w:ascii="Times New Roman" w:eastAsia="仿宋_GB2312"/>
          <w:b w:val="0"/>
          <w:sz w:val="30"/>
          <w:szCs w:val="30"/>
        </w:rPr>
        <w:t>承办需要由区政府或区政府办公室发布的行政规范性文件的法律审核工作。负责区政府各部门、各街道行政规范性文件的备案审查工作。组织开展行政规范性文件清理工作。</w:t>
      </w:r>
    </w:p>
    <w:p w14:paraId="1E79C91A">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hint="eastAsia" w:ascii="Times New Roman" w:eastAsia="仿宋_GB2312"/>
          <w:b w:val="0"/>
          <w:sz w:val="30"/>
          <w:szCs w:val="30"/>
          <w:lang w:eastAsia="zh-CN"/>
        </w:rPr>
        <w:t>（二）</w:t>
      </w:r>
      <w:r>
        <w:rPr>
          <w:rFonts w:ascii="Times New Roman" w:eastAsia="仿宋_GB2312"/>
          <w:b w:val="0"/>
          <w:sz w:val="30"/>
          <w:szCs w:val="30"/>
        </w:rPr>
        <w:t>承担统筹推进法治政府建设的责任。监督区政府各部门、各街道依法行政工作。负责行政执法协调监督工作。承担推进行政执法体制改革有关工作，推进严格规范公正文明执法。调查研究依法行政、法治政府建设中的有关情况和问题，提出具体措施和工作建议。负责研究和提出全区贯彻实施国家法律、法规的方案或意见；为区政府重大决策提供法律意见。承办申请区政府受理的行政复议案件工作。指导、监督全区行政复议和行政应诉工作，负责区政府行政复议和应诉案件办理工作。</w:t>
      </w:r>
    </w:p>
    <w:p w14:paraId="6F5350EF">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hint="eastAsia" w:ascii="Times New Roman" w:eastAsia="仿宋_GB2312"/>
          <w:b w:val="0"/>
          <w:sz w:val="30"/>
          <w:szCs w:val="30"/>
          <w:lang w:eastAsia="zh-CN"/>
        </w:rPr>
        <w:t>（三）</w:t>
      </w:r>
      <w:r>
        <w:rPr>
          <w:rFonts w:ascii="Times New Roman" w:eastAsia="仿宋_GB2312"/>
          <w:b w:val="0"/>
          <w:sz w:val="30"/>
          <w:szCs w:val="30"/>
        </w:rPr>
        <w:t>负责拟订法治宣传教育规划，组织实施普法宣传工作。推动人民参与和促进法治建设。统筹协调监督指导调解工作。指导监督人民陪审员选任管理工作。负责人民监督员选任管理工作。指导监督司法所建设。</w:t>
      </w:r>
    </w:p>
    <w:p w14:paraId="038886C5">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hint="eastAsia" w:ascii="Times New Roman" w:eastAsia="仿宋_GB2312"/>
          <w:b w:val="0"/>
          <w:sz w:val="30"/>
          <w:szCs w:val="30"/>
          <w:lang w:eastAsia="zh-CN"/>
        </w:rPr>
        <w:t>（四）</w:t>
      </w:r>
      <w:r>
        <w:rPr>
          <w:rFonts w:ascii="Times New Roman" w:eastAsia="仿宋_GB2312"/>
          <w:b w:val="0"/>
          <w:sz w:val="30"/>
          <w:szCs w:val="30"/>
        </w:rPr>
        <w:t>负责指导、管理、组织实施社区矫正工作；指导刑满释放人员和解除矫正人员帮教安置工作。</w:t>
      </w:r>
    </w:p>
    <w:p w14:paraId="308AD6ED">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hint="eastAsia" w:ascii="Times New Roman" w:eastAsia="仿宋_GB2312"/>
          <w:b w:val="0"/>
          <w:sz w:val="30"/>
          <w:szCs w:val="30"/>
          <w:lang w:eastAsia="zh-CN"/>
        </w:rPr>
        <w:t>（五）</w:t>
      </w:r>
      <w:r>
        <w:rPr>
          <w:rFonts w:ascii="Times New Roman" w:eastAsia="仿宋_GB2312"/>
          <w:b w:val="0"/>
          <w:sz w:val="30"/>
          <w:szCs w:val="30"/>
        </w:rPr>
        <w:t>负责拟定公共服务法律体系规划并组织实施。统筹和布局全区法律服务资源。指导、监督律师、法律援助、公证、司法鉴定和基层法律服务管理工作。联系区政府法律顾问。</w:t>
      </w:r>
    </w:p>
    <w:p w14:paraId="42149F9A">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hint="eastAsia" w:ascii="Times New Roman" w:eastAsia="仿宋_GB2312"/>
          <w:b w:val="0"/>
          <w:sz w:val="30"/>
          <w:szCs w:val="30"/>
          <w:lang w:eastAsia="zh-CN"/>
        </w:rPr>
        <w:t>（六）</w:t>
      </w:r>
      <w:r>
        <w:rPr>
          <w:rFonts w:ascii="Times New Roman" w:eastAsia="仿宋_GB2312"/>
          <w:b w:val="0"/>
          <w:sz w:val="30"/>
          <w:szCs w:val="30"/>
        </w:rPr>
        <w:t>负责全区司法行政系统的队伍建设、思想政治工作和干部培训工作。</w:t>
      </w:r>
    </w:p>
    <w:p w14:paraId="53AC8CD3">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hint="eastAsia" w:ascii="Times New Roman" w:eastAsia="仿宋_GB2312"/>
          <w:b w:val="0"/>
          <w:sz w:val="30"/>
          <w:szCs w:val="30"/>
          <w:lang w:eastAsia="zh-CN"/>
        </w:rPr>
        <w:t>（七）</w:t>
      </w:r>
      <w:r>
        <w:rPr>
          <w:rFonts w:ascii="Times New Roman" w:eastAsia="仿宋_GB2312"/>
          <w:b w:val="0"/>
          <w:sz w:val="30"/>
          <w:szCs w:val="30"/>
        </w:rPr>
        <w:t>承担本系统安全生产管理责任，指导督促本系统加强安全生产管理工作。</w:t>
      </w:r>
    </w:p>
    <w:p w14:paraId="093FF48F">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hint="eastAsia" w:ascii="Times New Roman" w:eastAsia="仿宋_GB2312"/>
          <w:b w:val="0"/>
          <w:sz w:val="30"/>
          <w:szCs w:val="30"/>
          <w:lang w:eastAsia="zh-CN"/>
        </w:rPr>
        <w:t>（八）</w:t>
      </w:r>
      <w:r>
        <w:rPr>
          <w:rFonts w:ascii="Times New Roman" w:eastAsia="仿宋_GB2312"/>
          <w:b w:val="0"/>
          <w:sz w:val="30"/>
          <w:szCs w:val="30"/>
        </w:rPr>
        <w:t>协调本系统对全区招商引资工作提供法律服务支持保障。</w:t>
      </w:r>
    </w:p>
    <w:p w14:paraId="44B9926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hint="eastAsia" w:ascii="Times New Roman" w:eastAsia="仿宋_GB2312"/>
          <w:b w:val="0"/>
          <w:sz w:val="30"/>
          <w:szCs w:val="30"/>
          <w:lang w:eastAsia="zh-CN"/>
        </w:rPr>
        <w:t>（九）</w:t>
      </w:r>
      <w:r>
        <w:rPr>
          <w:rFonts w:ascii="Times New Roman" w:eastAsia="仿宋_GB2312"/>
          <w:b w:val="0"/>
          <w:sz w:val="30"/>
          <w:szCs w:val="30"/>
        </w:rPr>
        <w:t>完成区委、区政府交办的其他任务。</w:t>
      </w:r>
    </w:p>
    <w:p w14:paraId="2044FEE2">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天津市东丽区司法局（本级）内设10个职能部门；下辖0个预算单位。纳入天津市东丽区司法局（本级）2024年度部门决算编制范围的单位包括：</w:t>
      </w:r>
    </w:p>
    <w:p w14:paraId="31B055D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50CB05A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1.​天津市东丽区司法局（本级）</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66E5B4D">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部门（单位）：天津市东丽区司法局（本级）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19,381,402.00</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12,864,137.28</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1,713,888.24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857,169.48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321.34</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3,997,182.00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19,381,723.34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19,432,377.00</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51,483.97</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830.31</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51,483.97</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19,433,207.31</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19,433,207.31</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部门（单位）：天津市东丽区司法局（本级）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19,381,723.34</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19,381,402.00</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321.34</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公共安全支出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12,813,483.62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12,813,162.28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321.34</w:t>
            </w:r>
          </w:p>
        </w:tc>
      </w:tr>
      <w:tr w14:paraId="5D50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39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39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司法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1B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12,813,483.62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B3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12,813,162.28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59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E5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B5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35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62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56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321.34</w:t>
            </w:r>
          </w:p>
        </w:tc>
      </w:tr>
      <w:tr w14:paraId="4A2C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8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2040601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AE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40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11,355,755.86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6A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11,355,434.52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67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F7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D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6F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9F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B3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321.34</w:t>
            </w:r>
          </w:p>
        </w:tc>
      </w:tr>
      <w:tr w14:paraId="7783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7C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2040604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9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基层司法业务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69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1,143,750.00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9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1,143,750.00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05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56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70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82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76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A0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1F8A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55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2040699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6F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其他司法支出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1E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313,977.76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6F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313,977.76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AE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385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C2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0D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BD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E5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FFC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8C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4E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22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1,713,888.24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01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1,713,888.24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3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63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0B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A4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3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0B0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5C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5D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6A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1,713,888.24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3F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1,713,888.24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19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A9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ED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F5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6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52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188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32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6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9D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1,142,592.16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C8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1,142,592.16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EE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D5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37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B0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E5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BE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62F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C0C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27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7A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571,296.08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53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571,296.08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6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16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E4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65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B1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B0E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B0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66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AC4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857,169.48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69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857,169.48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2D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82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8A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07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3CB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CB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B7C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FC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4D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B0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857,169.48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9F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857,169.48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D5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9D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84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52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15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69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62C8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86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0B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21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714,345.46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64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714,345.46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F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0D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5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EF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89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1E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C14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F7B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9C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E7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142,824.02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E5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142,824.02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4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3D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62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2A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20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C7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9F0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E3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8E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CB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3,997,182.00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54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3,997,182.00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4F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62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E5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80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3C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82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3D5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38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3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6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3,997,182.00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539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3,997,182.00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BF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72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E8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98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EE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DB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A03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AE5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7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4E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3,997,182.00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45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3,997,182.00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C1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709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59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1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FF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1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部门（单位）：天津市东丽区司法局（本级）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19,433,207.31</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19,381,723.34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19,381,402.00</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321.34</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51,483.97</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51,483.97</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51,483.97</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343101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天津市东丽区司法局（本级）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19,433,207.31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19,381,723.34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19,381,402.00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321.34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51,483.97</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51,483.97</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51,483.97</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部门（单位）：天津市东丽区司法局（本级）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19,432,377.00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17,923,716.24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1,508,660.76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公共安全支出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12,864,137.28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11,355,476.52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1,508,660.76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DC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D4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司法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80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12,864,137.28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16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11,355,476.52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4B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1,508,660.76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B0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17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B2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95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6F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46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F0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11,355,476.52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14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11,355,476.52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87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0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6F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A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0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F9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88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基层司法业务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DA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1,194,683.00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A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46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1,194,683.00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F1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99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BA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8C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4E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9C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其他司法支出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AF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313,977.76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F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20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313,977.76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B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FC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4A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AA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07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02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7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1,713,888.24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58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1,713,888.24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FA7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F8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7C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AF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90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48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76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5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1,713,888.24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465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1,713,888.24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8D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9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23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AF3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9E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A7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C67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1,142,592.16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48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1,142,592.16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2B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C46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77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439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4A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3B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70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F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571,296.08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25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571,296.08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58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76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99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B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7F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D7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76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FB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857,169.48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4B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857,169.48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0E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C8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96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73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FC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C1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2E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8E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857,169.48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2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857,169.48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E4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DA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92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8B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AD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D8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22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70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714,345.46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86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714,345.46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34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3C8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50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C2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EE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CB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CF0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C8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142,824.02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E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142,824.02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4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09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1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10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FB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04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45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A9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3,997,182.00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02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3,997,182.00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AA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93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C76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F8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DD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95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1E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D4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3,997,182.00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44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3,997,182.00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90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6D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D5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AF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A3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05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D3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00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3,997,182.00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E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3,997,182.00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9B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70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64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A7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部门（单位）：天津市东丽区司法局（本级）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19,381,402.00</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12,813,162.28</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12,813,162.28</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1,713,888.24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1,713,888.24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857,169.48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857,169.48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3,997,182.00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3,997,182.00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19,381,402.00</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19,381,402.00</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19,381,402.00</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19,381,402.00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19,381,402.00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19,381,402.00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天津市东丽区司法局（本级）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19,381,402.00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17,923,674.24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16,065,246.96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1,858,427.28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1,457,727.76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公共安全支出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12,813,162.28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11,355,434.52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9,497,007.24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1,858,427.28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1,457,727.76</w:t>
            </w:r>
          </w:p>
        </w:tc>
      </w:tr>
      <w:tr w14:paraId="260D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53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24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司法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CB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12,813,162.28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AE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11,355,434.52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13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9,497,007.24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5A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1,858,427.28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28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1,457,727.76</w:t>
            </w:r>
          </w:p>
        </w:tc>
      </w:tr>
      <w:tr w14:paraId="1E1D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99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2040601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CA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38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11,355,434.52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50C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11,355,434.52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61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9,497,007.24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CA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1,858,427.28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2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C3C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40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2040604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27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基层司法业务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05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1,143,750.00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DD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B1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1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8E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1,143,750.00</w:t>
            </w:r>
          </w:p>
        </w:tc>
      </w:tr>
      <w:tr w14:paraId="5B7F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8C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2040699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CC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其他司法支出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DD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313,977.76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D0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8F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4B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26B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313,977.76</w:t>
            </w:r>
          </w:p>
        </w:tc>
      </w:tr>
      <w:tr w14:paraId="5C349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AF1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DC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5E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1,713,888.24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75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1,713,888.24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B4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1,713,888.24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C8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63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6C1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25D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2D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96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1,713,888.24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BD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1,713,888.24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9E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1,713,888.24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24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E1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6F6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40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38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1B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1,142,592.16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F1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1,142,592.16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8F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1,142,592.16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B2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9A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AC4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4B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9A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02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571,296.08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19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571,296.08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C9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571,296.08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A0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91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EBE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E7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8C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72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857,169.48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9A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857,169.48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31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857,169.48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E9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4D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9E0F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33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EF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0CF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857,169.48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45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857,169.48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89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857,169.48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09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10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C1A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63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81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95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714,345.46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E5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714,345.46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CC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714,345.46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50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4B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76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EE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29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8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142,824.02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C9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142,824.02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AF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142,824.02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96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82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2E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0D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462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36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3,997,182.00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37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3,997,182.00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73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3,997,182.00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8F2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0A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9F5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B4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3C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93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3,997,182.00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3E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3,997,182.00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19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3,997,182.00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6F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ED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31C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6B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4B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B2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3,997,182.00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CC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3,997,182.00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99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3,997,182.00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09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E4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部门（单位）：天津市东丽区司法局（本级）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15,814,455.36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1,858,427.28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2,539,839.40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176,567.77</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4,335,076.60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2,313,925.00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63,737.33</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1,142,592.16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203,000.00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571,296.08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75,400.00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714,345.46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64,160.00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142,824.02</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164,088.00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14,282.64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14,778.58</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3,997,182.00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55,027.00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43,092.00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250,791.60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208,216.60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58,000.00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122,774.44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2,982.17</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471,638.00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132,344.72</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152,929.27</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16,065,246.96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1,858,427.28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天津市东丽区司法局（本级）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2BF67FE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天津市东丽区司法局（本级）2024年政府性基金预算财政拨款收入支出决算表为空表。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天津市东丽区司法局（本级）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736862D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天津市东丽区司法局（本级）2024年国有资本经营预算财政拨款收入支出决算表为空表。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部门（单位）：天津市东丽区司法局（本级）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2,982.17</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2,982.17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2,982.17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部门（单位）：天津市东丽区司法局（本级）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1,508,660.76</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1,457,727.76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50,933.00</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公共安全支出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1,508,660.76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1,457,727.76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50,933.00</w:t>
            </w:r>
          </w:p>
        </w:tc>
      </w:tr>
      <w:tr w14:paraId="0871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42D58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w:t>
            </w:r>
          </w:p>
        </w:tc>
        <w:tc>
          <w:tcPr>
            <w:tcW w:w="1022" w:type="pct"/>
            <w:tcBorders>
              <w:top w:val="nil"/>
              <w:left w:val="nil"/>
              <w:bottom w:val="single" w:color="000000" w:sz="4" w:space="0"/>
              <w:right w:val="single" w:color="000000" w:sz="4" w:space="0"/>
            </w:tcBorders>
            <w:shd w:val="clear" w:color="auto" w:fill="auto"/>
            <w:noWrap/>
            <w:vAlign w:val="center"/>
          </w:tcPr>
          <w:p w14:paraId="6263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司法</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DCDFB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1,508,660.76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B8E95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1,457,727.76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38B12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6B938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B7E84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AC97B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50,933.00</w:t>
            </w:r>
          </w:p>
        </w:tc>
      </w:tr>
      <w:tr w14:paraId="43B4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4474C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2040604</w:t>
            </w:r>
          </w:p>
        </w:tc>
        <w:tc>
          <w:tcPr>
            <w:tcW w:w="1022" w:type="pct"/>
            <w:tcBorders>
              <w:top w:val="nil"/>
              <w:left w:val="nil"/>
              <w:bottom w:val="single" w:color="000000" w:sz="4" w:space="0"/>
              <w:right w:val="single" w:color="000000" w:sz="4" w:space="0"/>
            </w:tcBorders>
            <w:shd w:val="clear" w:color="auto" w:fill="auto"/>
            <w:noWrap/>
            <w:vAlign w:val="center"/>
          </w:tcPr>
          <w:p w14:paraId="5C8C3E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基层司法业务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6A30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1,194,683.00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7A7EB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1,143,750.00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6CA71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B42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C77B1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E8DB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50,933.00</w:t>
            </w:r>
          </w:p>
        </w:tc>
      </w:tr>
      <w:tr w14:paraId="0247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EE44D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2040604</w:t>
            </w:r>
          </w:p>
        </w:tc>
        <w:tc>
          <w:tcPr>
            <w:tcW w:w="1022" w:type="pct"/>
            <w:tcBorders>
              <w:top w:val="nil"/>
              <w:left w:val="nil"/>
              <w:bottom w:val="single" w:color="000000" w:sz="4" w:space="0"/>
              <w:right w:val="single" w:color="000000" w:sz="4" w:space="0"/>
            </w:tcBorders>
            <w:shd w:val="clear" w:color="auto" w:fill="auto"/>
            <w:noWrap/>
            <w:vAlign w:val="center"/>
          </w:tcPr>
          <w:p w14:paraId="4ABB88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人民调解</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D3580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95,750.00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263F0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95,750.00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C4FA6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BDE1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7EB5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202F8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5A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72F00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2040604</w:t>
            </w:r>
          </w:p>
        </w:tc>
        <w:tc>
          <w:tcPr>
            <w:tcW w:w="1022" w:type="pct"/>
            <w:tcBorders>
              <w:top w:val="nil"/>
              <w:left w:val="nil"/>
              <w:bottom w:val="single" w:color="000000" w:sz="4" w:space="0"/>
              <w:right w:val="single" w:color="000000" w:sz="4" w:space="0"/>
            </w:tcBorders>
            <w:shd w:val="clear" w:color="auto" w:fill="auto"/>
            <w:noWrap/>
            <w:vAlign w:val="center"/>
          </w:tcPr>
          <w:p w14:paraId="6B37C8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2024年司法部门中央政法转移支付资金（津财行政指【2023】72号）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2854A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E70FE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8278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56A1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460B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E9F37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65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BBDB8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2040604</w:t>
            </w:r>
          </w:p>
        </w:tc>
        <w:tc>
          <w:tcPr>
            <w:tcW w:w="1022" w:type="pct"/>
            <w:tcBorders>
              <w:top w:val="nil"/>
              <w:left w:val="nil"/>
              <w:bottom w:val="single" w:color="000000" w:sz="4" w:space="0"/>
              <w:right w:val="single" w:color="000000" w:sz="4" w:space="0"/>
            </w:tcBorders>
            <w:shd w:val="clear" w:color="auto" w:fill="auto"/>
            <w:noWrap/>
            <w:vAlign w:val="center"/>
          </w:tcPr>
          <w:p w14:paraId="751ECE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2024年司法部门中央转移支付资金（津财行政指【2024】31号）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2F183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91ADE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B4216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F2D31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5F8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E40D0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E0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9DBE4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2040604</w:t>
            </w:r>
          </w:p>
        </w:tc>
        <w:tc>
          <w:tcPr>
            <w:tcW w:w="1022" w:type="pct"/>
            <w:tcBorders>
              <w:top w:val="nil"/>
              <w:left w:val="nil"/>
              <w:bottom w:val="single" w:color="000000" w:sz="4" w:space="0"/>
              <w:right w:val="single" w:color="000000" w:sz="4" w:space="0"/>
            </w:tcBorders>
            <w:shd w:val="clear" w:color="auto" w:fill="auto"/>
            <w:noWrap/>
            <w:vAlign w:val="center"/>
          </w:tcPr>
          <w:p w14:paraId="58D85C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新增人民调解员</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FE0DF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CBB5B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B1A9B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562B4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14709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B6BD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AA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76B5E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2040604</w:t>
            </w:r>
          </w:p>
        </w:tc>
        <w:tc>
          <w:tcPr>
            <w:tcW w:w="1022" w:type="pct"/>
            <w:tcBorders>
              <w:top w:val="nil"/>
              <w:left w:val="nil"/>
              <w:bottom w:val="single" w:color="000000" w:sz="4" w:space="0"/>
              <w:right w:val="single" w:color="000000" w:sz="4" w:space="0"/>
            </w:tcBorders>
            <w:shd w:val="clear" w:color="auto" w:fill="auto"/>
            <w:noWrap/>
            <w:vAlign w:val="center"/>
          </w:tcPr>
          <w:p w14:paraId="5E324C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司法局支援新疆选派干警补助资金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E6135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50,933.00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ADD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4A50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765DD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CE3BE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1066B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50,933.00</w:t>
            </w:r>
          </w:p>
        </w:tc>
      </w:tr>
      <w:tr w14:paraId="243AC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B96B3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2040699</w:t>
            </w:r>
          </w:p>
        </w:tc>
        <w:tc>
          <w:tcPr>
            <w:tcW w:w="1022" w:type="pct"/>
            <w:tcBorders>
              <w:top w:val="nil"/>
              <w:left w:val="nil"/>
              <w:bottom w:val="single" w:color="000000" w:sz="4" w:space="0"/>
              <w:right w:val="single" w:color="000000" w:sz="4" w:space="0"/>
            </w:tcBorders>
            <w:shd w:val="clear" w:color="auto" w:fill="auto"/>
            <w:noWrap/>
            <w:vAlign w:val="center"/>
          </w:tcPr>
          <w:p w14:paraId="0C5A4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其他司法支出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545A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313,977.76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DD682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313,977.76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255BB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89200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7E8FA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15330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FA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59FB3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2040699</w:t>
            </w:r>
          </w:p>
        </w:tc>
        <w:tc>
          <w:tcPr>
            <w:tcW w:w="1022" w:type="pct"/>
            <w:tcBorders>
              <w:top w:val="nil"/>
              <w:left w:val="nil"/>
              <w:bottom w:val="single" w:color="000000" w:sz="4" w:space="0"/>
              <w:right w:val="single" w:color="000000" w:sz="4" w:space="0"/>
            </w:tcBorders>
            <w:shd w:val="clear" w:color="auto" w:fill="auto"/>
            <w:noWrap/>
            <w:vAlign w:val="center"/>
          </w:tcPr>
          <w:p w14:paraId="6796FA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9D75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313,977.76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9F52E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313,977.76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6C748C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06B66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0942E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3F16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2EC70981">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5EBF574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4EA44F3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天津市东丽区司法局（本级）2024年度收入、支出决算总计19,433,207.31元。与2023年度相比，收、支总计各减少1,024,686.26元，下降5.009%，主要原因是响应政府过紧日子号召，压减项目支出和公用经费。</w:t>
      </w:r>
    </w:p>
    <w:p w14:paraId="1360637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收入包括：一般公共预算财政拨款收入19,381,402.00元、其他收入321.34元。</w:t>
      </w:r>
    </w:p>
    <w:p w14:paraId="0FE7F9D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支出包括：公共安全支出12,864,137.28元、社会保障和就业支出1,713,888.24元、卫生健康支出857,169.48元、住房保障支出3,997,182.00元。</w:t>
      </w:r>
    </w:p>
    <w:p w14:paraId="194E246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083CAAD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天津市东丽区司法局（本级）2024年度本年收入合计19,381,723.34元，与2023年度相比减少1,066,478.16元，主要原因是响应政府过紧日子号召，压减项目支出和公用经费。其中：</w:t>
      </w:r>
    </w:p>
    <w:p w14:paraId="2E46830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一般公共预算财政拨款收入19,381,402.00元，占99.998%；其他收入321.34元，占0.002%。</w:t>
      </w:r>
    </w:p>
    <w:p w14:paraId="6BC50A3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287F3ED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天津市东丽区司法局（本级）2024年度本年支出合计19,432,377.00元，与2023年度相比减少974,032.60元，主要原因是响应政府过紧日子号召，压减项目支出和公用经费。其中：</w:t>
      </w:r>
    </w:p>
    <w:p w14:paraId="3A60288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基本支出17,923,716.24元，占92.236%；项目支出1,508,660.76元，占7.764%。</w:t>
      </w:r>
    </w:p>
    <w:p w14:paraId="5D29F1A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0DE5E50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本级）2024年度财政拨款收入、支出决算总计19,381,402.00元。与2023年度相比，财政拨款收、支总计各减少1,015,553.48元，下降4.979%，主要原因是响应政府过紧日子号召，压减项目支出和公用经费。</w:t>
      </w:r>
    </w:p>
    <w:p w14:paraId="27D0517E">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收入包括：一般公共预算财政拨款19,381,402.00元。</w:t>
      </w:r>
    </w:p>
    <w:p w14:paraId="3DB3E28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支出包括：公共安全支出12,813,162.28元、社会保障和就业支出1,713,888.24元、卫生健康支出857,169.48元、住房保障支出3,997,182.00元。</w:t>
      </w:r>
    </w:p>
    <w:p w14:paraId="00C59D5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7418D98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6E3406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本级）2024年度部门决算一般公共预算财政拨款支出合计19,381,402.00元，占本年支出合计的99.738%。与2023年度相比，一般公共预算财政拨款支出减少1,015,553.48元，下降4.979%，主要原因是响应政府过紧日子号召，压减项目支出和公用经费。</w:t>
      </w:r>
    </w:p>
    <w:p w14:paraId="59EF6B5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660E7C0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19,381,402.00元，主要用于以下方面：公共安全支出（类）12,813,162.28元，占66.111%；社会保障和就业支出（类）1,713,888.24元，占8.843%；卫生健康支出（类）857,169.48元，占4.423%；住房保障支出（类）3,997,182.00元，占20.624%。</w:t>
      </w:r>
    </w:p>
    <w:p w14:paraId="30B7E7B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4BCCE91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2024年度一般公共预算财政拨款支出年初预算为19,167,400.00元，支出决算为19,381,402.00元，完成年初预算的101.116%。其中：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1.​公共安全支出(类)司法(款)行政运行(项)年初预算为11,315,300.00元，支出决算为11,355,434.52元，完成年初预算的100.355%，决算数大于年初预算数的主要原因是：人员</w:t>
      </w:r>
      <w:r>
        <w:rPr>
          <w:rFonts w:hint="eastAsia" w:ascii="Times New Roman" w:eastAsia="仿宋_GB2312"/>
          <w:b w:val="0"/>
          <w:sz w:val="30"/>
          <w:szCs w:val="30"/>
          <w:lang w:eastAsia="zh-CN"/>
        </w:rPr>
        <w:t>变动</w:t>
      </w:r>
      <w:r>
        <w:rPr>
          <w:rFonts w:ascii="Times New Roman" w:eastAsia="仿宋_GB2312"/>
          <w:b w:val="0"/>
          <w:sz w:val="30"/>
          <w:szCs w:val="30"/>
        </w:rPr>
        <w:t>，调整人员经费。</w:t>
      </w:r>
    </w:p>
    <w:p w14:paraId="0D4620F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2.​公共安全支出(类)司法(款)基层司法业务(项)年初预算为862,000.00元，支出决算为1,143,750.00元，完成年初预算的132.686%，决算数大于年初预算数的主要原因是：年中追加项目经费用于基层司法行政业务。</w:t>
      </w:r>
    </w:p>
    <w:p w14:paraId="281881B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3.​公共安全支出(类)司法(款)其他司法支出(项)年初预算为321,400.00元，支出决算为313,977.76元，完成年初预算的97.691%，决算数小于年初预算数的主要原因是：响应政府过紧日子号召，压减项目支出。</w:t>
      </w:r>
    </w:p>
    <w:p w14:paraId="4639044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4.​社会保障和就业支出(类)行政事业单位养老支出(款)机关事业单位基本养老保险缴费支出(项)年初预算为1,149,100.00元，支出决算为1,142,592.16元，完成年初预算的99.434%，决算数小于年初预算数的主要原因是：人员</w:t>
      </w:r>
      <w:r>
        <w:rPr>
          <w:rFonts w:hint="eastAsia" w:ascii="Times New Roman" w:eastAsia="仿宋_GB2312"/>
          <w:b w:val="0"/>
          <w:sz w:val="30"/>
          <w:szCs w:val="30"/>
          <w:lang w:eastAsia="zh-CN"/>
        </w:rPr>
        <w:t>变动</w:t>
      </w:r>
      <w:r>
        <w:rPr>
          <w:rFonts w:ascii="Times New Roman" w:eastAsia="仿宋_GB2312"/>
          <w:b w:val="0"/>
          <w:sz w:val="30"/>
          <w:szCs w:val="30"/>
        </w:rPr>
        <w:t>，社保基数调整。</w:t>
      </w:r>
    </w:p>
    <w:p w14:paraId="03DFC72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5.​社会保障和就业支出(类)行政事业单位养老支出(款)机关事业单位职业年金缴费支出(项)年初预算为574,500.00元，支出决算为571,296.08元，完成年初预算的99.442%，决算数小于年初预算数的主要原因是：人员</w:t>
      </w:r>
      <w:r>
        <w:rPr>
          <w:rFonts w:hint="eastAsia" w:ascii="Times New Roman" w:eastAsia="仿宋_GB2312"/>
          <w:b w:val="0"/>
          <w:sz w:val="30"/>
          <w:szCs w:val="30"/>
          <w:lang w:eastAsia="zh-CN"/>
        </w:rPr>
        <w:t>变动</w:t>
      </w:r>
      <w:r>
        <w:rPr>
          <w:rFonts w:ascii="Times New Roman" w:eastAsia="仿宋_GB2312"/>
          <w:b w:val="0"/>
          <w:sz w:val="30"/>
          <w:szCs w:val="30"/>
        </w:rPr>
        <w:t>，社保基数调整。</w:t>
      </w:r>
    </w:p>
    <w:p w14:paraId="701A96D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6.​卫生健康支出(类)行政事业单位医疗(款)行政单位医疗(项)年初预算为718,200.00元，支出决算为714,345.46元，完成年初预算的99.463%，决算数小于年初预算数的主要原因是：人员</w:t>
      </w:r>
      <w:r>
        <w:rPr>
          <w:rFonts w:hint="eastAsia" w:ascii="Times New Roman" w:eastAsia="仿宋_GB2312"/>
          <w:b w:val="0"/>
          <w:sz w:val="30"/>
          <w:szCs w:val="30"/>
          <w:lang w:eastAsia="zh-CN"/>
        </w:rPr>
        <w:t>变动</w:t>
      </w:r>
      <w:r>
        <w:rPr>
          <w:rFonts w:ascii="Times New Roman" w:eastAsia="仿宋_GB2312"/>
          <w:b w:val="0"/>
          <w:sz w:val="30"/>
          <w:szCs w:val="30"/>
        </w:rPr>
        <w:t>，社保基数调整。</w:t>
      </w:r>
    </w:p>
    <w:p w14:paraId="03FC117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7.​卫生健康支出(类)行政事业单位医疗(款)公务员医疗补助(项)年初预算为143,600.00元，支出决算为142,824.02元，完成年初预算的99.460%，决算数小于年初预算数的主要原因是：人员</w:t>
      </w:r>
      <w:r>
        <w:rPr>
          <w:rFonts w:hint="eastAsia" w:ascii="Times New Roman" w:eastAsia="仿宋_GB2312"/>
          <w:b w:val="0"/>
          <w:sz w:val="30"/>
          <w:szCs w:val="30"/>
          <w:lang w:eastAsia="zh-CN"/>
        </w:rPr>
        <w:t>变动</w:t>
      </w:r>
      <w:r>
        <w:rPr>
          <w:rFonts w:ascii="Times New Roman" w:eastAsia="仿宋_GB2312"/>
          <w:b w:val="0"/>
          <w:sz w:val="30"/>
          <w:szCs w:val="30"/>
        </w:rPr>
        <w:t>，社保基数调整。</w:t>
      </w:r>
    </w:p>
    <w:p w14:paraId="3F169A0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8.​住房保障支出(类)住房改革支出(款)住房公积金(项)年初预算为4,083,300.00元，支出决算为3,997,182.00元，完成年初预算的97.891%，决算数小于年初预算数的主要原因是：人员</w:t>
      </w:r>
      <w:r>
        <w:rPr>
          <w:rFonts w:hint="eastAsia" w:ascii="Times New Roman" w:eastAsia="仿宋_GB2312"/>
          <w:b w:val="0"/>
          <w:sz w:val="30"/>
          <w:szCs w:val="30"/>
          <w:lang w:eastAsia="zh-CN"/>
        </w:rPr>
        <w:t>变动</w:t>
      </w:r>
      <w:r>
        <w:rPr>
          <w:rFonts w:ascii="Times New Roman" w:eastAsia="仿宋_GB2312"/>
          <w:b w:val="0"/>
          <w:sz w:val="30"/>
          <w:szCs w:val="30"/>
        </w:rPr>
        <w:t>，公积金基数调整。</w:t>
      </w:r>
    </w:p>
    <w:p w14:paraId="58044E8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5FBC38F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天津市东丽区司法局（本级）2024年度部门决算一般公共预算财政拨款基本支出合计17,923,674.24元，与2023年度相比减少518,148.92元，主要原因是响应政府过紧日子号召，厉行节约，压减经费支出。其中：</w:t>
      </w:r>
    </w:p>
    <w:p w14:paraId="1CB86AB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16,065,246.96元，主要包括基本工资、津贴补贴、奖金、机关事业单位基本养老保险缴费、职业年金缴费、职工基本医疗保险缴费、公务员医疗补助缴费、其他社会保障缴费、住房公积金、其他工资福利支出、退休费、奖励金和其他对个人和家庭的补助。</w:t>
      </w:r>
    </w:p>
    <w:p w14:paraId="3DF67DA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1,858,427.28元，主要包括办公费、水费、电费、邮电费、取暖费、物业管理费、差旅费、维修(护)费、委托业务费、工会经费、福利费、公务用车运行维护费、其他交通费用、税金及附加费用和其他商品和服务支出。</w:t>
      </w:r>
    </w:p>
    <w:p w14:paraId="0C2CFB2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67DD08D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天津市东丽区司法局（本级）2024年度无政府性基金预算财政拨款收入、支出和结转结余。</w:t>
      </w:r>
    </w:p>
    <w:p w14:paraId="6758439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560B6F0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天津市东丽区司法局（本级）2024年度无国有资本经营预算财政拨款收入、支出和结转结余。</w:t>
      </w:r>
    </w:p>
    <w:p w14:paraId="330ADE2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0FDB460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E4001C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2,982.17元，支出决算2,982.17元，与2024年预算相比持平，完成预算的100.000%；支出决算较上年减少47,017.83元，下降94.036%。决算数与预算数持平的主要原因是本年严格按照预算执行；决算数较上年减少的主要原因是响应政府过紧日子号召，厉行节约，压减“三公经费”支出。</w:t>
      </w:r>
    </w:p>
    <w:p w14:paraId="6BD81AC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2F76D9E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3EAF271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468426C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2,982.17元，支出决算2,982.17元，与预算相比持平，完成预算的100.000%；支出决算较上年减少47,017.83元，下降94.036%。决算数与预算数持平的主要原因是本年严格按照预算执行；决算数较上年减少的主要原因是响应政府过紧日子号召，厉行节约，压减公务用车购置及运行维护费。其中：</w:t>
      </w:r>
    </w:p>
    <w:p w14:paraId="4BB317E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2,982.17元，支出决算2,982.17元，与预算相比持平，完成预算的100.000%；支出决算较上年减少47,017.83元，下降94.036%。决算数与预算数持平的主要原因是本年严格按照预算执行；决算数较上年减少的主要原因是响应政府过紧日子号召，厉行节约，压减公务用车运行维护费。</w:t>
      </w:r>
    </w:p>
    <w:p w14:paraId="40F2CFC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截至2024年12月31日，使用财政拨款开支运行维护费的公务用车保有量为2辆。</w:t>
      </w:r>
    </w:p>
    <w:p w14:paraId="571779B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6A39F84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1963037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7501C02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0F741E2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7C6BB9C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司法局（本级）2024年度机关运行经费年初预算2,499,600.00元，决算数1,858,427.28元，与年初预算相比减少641,172.72元，完成年初预算的74.349%；比2023年减少275,670.80元，下降12.917%。主要原因是：响应政府过紧日子号召，厉行节约，压减机关运行经费 。</w:t>
      </w:r>
    </w:p>
    <w:p w14:paraId="3FE54FB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353D5E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天津市东丽区司法局（本级）2024年政府采购支出总额15,225.00元，其中：政府采购货物支出15,225.00元、政府采购工程支出0.00元、政府采购服务支出0.00元。</w:t>
      </w:r>
    </w:p>
    <w:p w14:paraId="64B0310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15,225.00元，占政府采购支出总额的100.000%，其中：授予小微企业合同金额15,225.00元，占政府采购支出总额的100.000%；货物采购授予中小企业合同金额占货物支出金额的100.000%；工程采购授予中小企业合同金额占工程支出金额的0.000%；服务采购授予中小企业合同金额占服务支出金额的0.000%。</w:t>
      </w:r>
    </w:p>
    <w:p w14:paraId="5C3E984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5E2C1B7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截至2024年12月31日，天津市东丽区司法局（本级）共有车辆2辆，其中：执法执勤用车2辆。单价100万元以上的设备0台（套）。</w:t>
      </w:r>
    </w:p>
    <w:p w14:paraId="774E26D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4F425D37">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根据预算绩效管理要求，天津市东丽区司法局（本级）已对</w:t>
      </w:r>
      <w:r>
        <w:rPr>
          <w:rFonts w:hint="eastAsia" w:ascii="Times New Roman" w:eastAsia="仿宋_GB2312"/>
          <w:b w:val="0"/>
          <w:sz w:val="30"/>
          <w:szCs w:val="30"/>
          <w:lang w:val="en-US" w:eastAsia="zh-CN"/>
        </w:rPr>
        <w:t>5</w:t>
      </w:r>
      <w:r>
        <w:rPr>
          <w:rFonts w:ascii="Times New Roman" w:eastAsia="仿宋_GB2312"/>
          <w:b w:val="0"/>
          <w:sz w:val="30"/>
          <w:szCs w:val="30"/>
        </w:rPr>
        <w:t>个2024年度项目开展绩效自评，涉及金额</w:t>
      </w:r>
      <w:r>
        <w:rPr>
          <w:rFonts w:hint="eastAsia" w:ascii="Times New Roman" w:eastAsia="仿宋_GB2312"/>
          <w:b w:val="0"/>
          <w:sz w:val="30"/>
          <w:szCs w:val="30"/>
          <w:lang w:val="en-US" w:eastAsia="zh-CN"/>
        </w:rPr>
        <w:t>1,457,727.76</w:t>
      </w:r>
      <w:r>
        <w:rPr>
          <w:rFonts w:ascii="Times New Roman" w:eastAsia="仿宋_GB2312"/>
          <w:b w:val="0"/>
          <w:sz w:val="30"/>
          <w:szCs w:val="30"/>
        </w:rPr>
        <w:t>元，自评结果已随部门决算一并公开。</w:t>
      </w:r>
    </w:p>
    <w:p w14:paraId="637F34D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199C2A7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天津市东丽区司法局（本级）不属于乡、镇、街级单位，不涉及公开2024年度教育、医疗卫生、社会保障和就业、住房保障、涉农补贴等民生支出情况。</w:t>
      </w:r>
    </w:p>
    <w:p w14:paraId="5AB9CC14">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0AD06AA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06D5C5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AB7CBC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A91E992-1DA4-443B-BB41-B148A4C6565A}"/>
  </w:font>
  <w:font w:name="黑体">
    <w:panose1 w:val="02010609060101010101"/>
    <w:charset w:val="86"/>
    <w:family w:val="auto"/>
    <w:pitch w:val="default"/>
    <w:sig w:usb0="800002BF" w:usb1="38CF7CFA" w:usb2="00000016" w:usb3="00000000" w:csb0="00040001" w:csb1="00000000"/>
    <w:embedRegular r:id="rId2" w:fontKey="{DF8C4545-5F10-45C5-A47A-01F6D55E99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BE9DB1B9-77EB-4532-9B7F-A74754EE08BE}"/>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7ADBD8A6-8EE1-42EB-BF66-08F3B1A5CD5F}"/>
  </w:font>
  <w:font w:name="仿宋_GB2312">
    <w:panose1 w:val="02010609030101010101"/>
    <w:charset w:val="86"/>
    <w:family w:val="auto"/>
    <w:pitch w:val="default"/>
    <w:sig w:usb0="00000001" w:usb1="080E0000" w:usb2="00000000" w:usb3="00000000" w:csb0="00040000" w:csb1="00000000"/>
    <w:embedRegular r:id="rId5" w:fontKey="{BFDA7D8A-B4AF-4B85-8530-185342BCD25B}"/>
  </w:font>
  <w:font w:name="宋体-简">
    <w:altName w:val="宋体"/>
    <w:panose1 w:val="02010800040101010101"/>
    <w:charset w:val="86"/>
    <w:family w:val="auto"/>
    <w:pitch w:val="default"/>
    <w:sig w:usb0="00000000" w:usb1="00000000" w:usb2="00000000" w:usb3="00000000" w:csb0="00040000" w:csb1="00000000"/>
    <w:embedRegular r:id="rId6" w:fontKey="{39879959-53D6-43F3-ACE9-44758193736F}"/>
  </w:font>
  <w:font w:name="楷体">
    <w:panose1 w:val="02010609060101010101"/>
    <w:charset w:val="86"/>
    <w:family w:val="auto"/>
    <w:pitch w:val="default"/>
    <w:sig w:usb0="800002BF" w:usb1="38CF7CFA" w:usb2="00000016" w:usb3="00000000" w:csb0="00040001" w:csb1="00000000"/>
    <w:embedRegular r:id="rId7" w:fontKey="{375AA36B-5AA2-48BF-86AB-41764EC5F2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A6C03">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A785">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BB24C4"/>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07C50"/>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560ACF"/>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35</Pages>
  <Words>1815</Words>
  <Characters>1962</Characters>
  <Lines>86</Lines>
  <Paragraphs>24</Paragraphs>
  <TotalTime>1</TotalTime>
  <ScaleCrop>false</ScaleCrop>
  <LinksUpToDate>false</LinksUpToDate>
  <CharactersWithSpaces>2014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2025-09-24T06:57:13Z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eyJoZGlkIjoiOWFhOGNhMjBmYzI0YjgzMmIzOTFkOTllMTNjOGM3Y2YifQ==</vt:lpwstr>
  </property>
</Properties>
</file>