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324F4">
      <w:pPr>
        <w:spacing w:line="275" w:lineRule="auto"/>
        <w:jc w:val="both"/>
        <w:rPr>
          <w:rFonts w:ascii="Arial"/>
          <w:color w:val="auto"/>
          <w:sz w:val="21"/>
        </w:rPr>
      </w:pPr>
    </w:p>
    <w:p w14:paraId="6BD6603E">
      <w:pPr>
        <w:keepNext w:val="0"/>
        <w:keepLines w:val="0"/>
        <w:pageBreakBefore w:val="0"/>
        <w:widowControl/>
        <w:kinsoku w:val="0"/>
        <w:wordWrap/>
        <w:overflowPunct/>
        <w:topLinePunct w:val="0"/>
        <w:autoSpaceDE w:val="0"/>
        <w:autoSpaceDN w:val="0"/>
        <w:bidi w:val="0"/>
        <w:adjustRightInd w:val="0"/>
        <w:snapToGrid w:val="0"/>
        <w:spacing w:before="185" w:line="560" w:lineRule="exact"/>
        <w:jc w:val="center"/>
        <w:textAlignment w:val="baseline"/>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bCs/>
          <w:color w:val="auto"/>
          <w:spacing w:val="6"/>
          <w:sz w:val="44"/>
          <w:szCs w:val="44"/>
          <w:lang w:eastAsia="zh-CN"/>
        </w:rPr>
        <w:t>天津市东丽区审计局</w:t>
      </w:r>
      <w:r>
        <w:rPr>
          <w:rFonts w:hint="eastAsia" w:ascii="方正小标宋简体" w:hAnsi="方正小标宋简体" w:eastAsia="方正小标宋简体" w:cs="方正小标宋简体"/>
          <w:color w:val="auto"/>
          <w:spacing w:val="6"/>
          <w:sz w:val="44"/>
          <w:szCs w:val="44"/>
        </w:rPr>
        <w:t>202</w:t>
      </w:r>
      <w:r>
        <w:rPr>
          <w:rFonts w:hint="eastAsia" w:ascii="方正小标宋简体" w:hAnsi="方正小标宋简体" w:eastAsia="方正小标宋简体" w:cs="方正小标宋简体"/>
          <w:color w:val="auto"/>
          <w:spacing w:val="6"/>
          <w:sz w:val="44"/>
          <w:szCs w:val="44"/>
          <w:lang w:val="en-US" w:eastAsia="zh-CN"/>
        </w:rPr>
        <w:t>5</w:t>
      </w:r>
      <w:r>
        <w:rPr>
          <w:rFonts w:hint="eastAsia" w:ascii="方正小标宋简体" w:hAnsi="方正小标宋简体" w:eastAsia="方正小标宋简体" w:cs="方正小标宋简体"/>
          <w:b/>
          <w:bCs/>
          <w:color w:val="auto"/>
          <w:spacing w:val="6"/>
          <w:sz w:val="44"/>
          <w:szCs w:val="44"/>
        </w:rPr>
        <w:t>年度政府信息公开工作报告</w:t>
      </w:r>
    </w:p>
    <w:p w14:paraId="5D3DEDC7">
      <w:pPr>
        <w:spacing w:line="283" w:lineRule="auto"/>
        <w:rPr>
          <w:rFonts w:ascii="Arial"/>
          <w:color w:val="auto"/>
          <w:sz w:val="21"/>
        </w:rPr>
      </w:pPr>
    </w:p>
    <w:p w14:paraId="61BBA6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仿宋_GB2312" w:hAnsi="仿宋_GB2312" w:eastAsia="仿宋_GB2312" w:cs="仿宋_GB2312"/>
          <w:color w:val="auto"/>
          <w:spacing w:val="12"/>
          <w:sz w:val="32"/>
          <w:szCs w:val="32"/>
          <w:lang w:val="en-US" w:eastAsia="zh-CN"/>
        </w:rPr>
      </w:pPr>
      <w:r>
        <w:rPr>
          <w:rFonts w:hint="eastAsia" w:ascii="仿宋_GB2312" w:hAnsi="仿宋_GB2312" w:eastAsia="仿宋_GB2312" w:cs="仿宋_GB2312"/>
          <w:color w:val="auto"/>
          <w:spacing w:val="12"/>
          <w:sz w:val="32"/>
          <w:szCs w:val="32"/>
          <w:lang w:val="en-US" w:eastAsia="en-US"/>
        </w:rPr>
        <w:t>根据《中华人民共和国政府信息公开条例》规定要求</w:t>
      </w:r>
      <w:r>
        <w:rPr>
          <w:rFonts w:hint="eastAsia" w:ascii="仿宋_GB2312" w:hAnsi="仿宋_GB2312" w:eastAsia="仿宋_GB2312" w:cs="仿宋_GB2312"/>
          <w:color w:val="auto"/>
          <w:spacing w:val="12"/>
          <w:sz w:val="32"/>
          <w:szCs w:val="32"/>
          <w:lang w:val="en-US" w:eastAsia="zh-CN"/>
        </w:rPr>
        <w:t>，</w:t>
      </w:r>
      <w:r>
        <w:rPr>
          <w:rFonts w:hint="eastAsia" w:ascii="仿宋_GB2312" w:hAnsi="仿宋_GB2312" w:eastAsia="仿宋_GB2312" w:cs="仿宋_GB2312"/>
          <w:color w:val="auto"/>
          <w:spacing w:val="12"/>
          <w:sz w:val="32"/>
          <w:szCs w:val="32"/>
          <w:lang w:val="en-US" w:eastAsia="en-US"/>
        </w:rPr>
        <w:t>现发布</w:t>
      </w:r>
      <w:r>
        <w:rPr>
          <w:rFonts w:hint="eastAsia" w:ascii="仿宋_GB2312" w:hAnsi="仿宋_GB2312" w:eastAsia="仿宋_GB2312" w:cs="仿宋_GB2312"/>
          <w:color w:val="auto"/>
          <w:spacing w:val="12"/>
          <w:sz w:val="32"/>
          <w:szCs w:val="32"/>
          <w:lang w:val="en-US" w:eastAsia="zh-CN"/>
        </w:rPr>
        <w:t>天津市东丽区审计局</w:t>
      </w:r>
      <w:r>
        <w:rPr>
          <w:rFonts w:hint="eastAsia" w:ascii="仿宋_GB2312" w:hAnsi="仿宋_GB2312" w:eastAsia="仿宋_GB2312" w:cs="仿宋_GB2312"/>
          <w:color w:val="auto"/>
          <w:spacing w:val="12"/>
          <w:sz w:val="32"/>
          <w:szCs w:val="32"/>
          <w:lang w:val="en-US" w:eastAsia="en-US"/>
        </w:rPr>
        <w:t>202</w:t>
      </w:r>
      <w:r>
        <w:rPr>
          <w:rFonts w:hint="eastAsia" w:ascii="仿宋_GB2312" w:hAnsi="仿宋_GB2312" w:eastAsia="仿宋_GB2312" w:cs="仿宋_GB2312"/>
          <w:color w:val="auto"/>
          <w:spacing w:val="12"/>
          <w:sz w:val="32"/>
          <w:szCs w:val="32"/>
          <w:lang w:val="en-US" w:eastAsia="zh-CN"/>
        </w:rPr>
        <w:t>5</w:t>
      </w:r>
      <w:r>
        <w:rPr>
          <w:rFonts w:hint="eastAsia" w:ascii="仿宋_GB2312" w:hAnsi="仿宋_GB2312" w:eastAsia="仿宋_GB2312" w:cs="仿宋_GB2312"/>
          <w:color w:val="auto"/>
          <w:spacing w:val="12"/>
          <w:sz w:val="32"/>
          <w:szCs w:val="32"/>
          <w:lang w:val="en-US" w:eastAsia="en-US"/>
        </w:rPr>
        <w:t>年度政府信息公开工作报告。本报告包括政府信息公开工作总体情况，主动公开政府信息情况，收</w:t>
      </w:r>
      <w:bookmarkStart w:id="0" w:name="_GoBack"/>
      <w:bookmarkEnd w:id="0"/>
      <w:r>
        <w:rPr>
          <w:rFonts w:hint="eastAsia" w:ascii="仿宋_GB2312" w:hAnsi="仿宋_GB2312" w:eastAsia="仿宋_GB2312" w:cs="仿宋_GB2312"/>
          <w:color w:val="auto"/>
          <w:spacing w:val="12"/>
          <w:sz w:val="32"/>
          <w:szCs w:val="32"/>
          <w:lang w:val="en-US" w:eastAsia="en-US"/>
        </w:rPr>
        <w:t>到和处理政府信息公开申请情况，因政府信息公开工作被申请行政复议、提起行政诉讼情况，存在的主要问题及改进情况五个部分。所涉及的数据期限自202</w:t>
      </w:r>
      <w:r>
        <w:rPr>
          <w:rFonts w:hint="eastAsia" w:ascii="仿宋_GB2312" w:hAnsi="仿宋_GB2312" w:eastAsia="仿宋_GB2312" w:cs="仿宋_GB2312"/>
          <w:color w:val="auto"/>
          <w:spacing w:val="12"/>
          <w:sz w:val="32"/>
          <w:szCs w:val="32"/>
          <w:lang w:val="en-US" w:eastAsia="zh-CN"/>
        </w:rPr>
        <w:t>5</w:t>
      </w:r>
      <w:r>
        <w:rPr>
          <w:rFonts w:hint="eastAsia" w:ascii="仿宋_GB2312" w:hAnsi="仿宋_GB2312" w:eastAsia="仿宋_GB2312" w:cs="仿宋_GB2312"/>
          <w:color w:val="auto"/>
          <w:spacing w:val="12"/>
          <w:sz w:val="32"/>
          <w:szCs w:val="32"/>
          <w:lang w:val="en-US" w:eastAsia="en-US"/>
        </w:rPr>
        <w:t>年1月1日起至202</w:t>
      </w:r>
      <w:r>
        <w:rPr>
          <w:rFonts w:hint="eastAsia" w:ascii="仿宋_GB2312" w:hAnsi="仿宋_GB2312" w:eastAsia="仿宋_GB2312" w:cs="仿宋_GB2312"/>
          <w:color w:val="auto"/>
          <w:spacing w:val="12"/>
          <w:sz w:val="32"/>
          <w:szCs w:val="32"/>
          <w:lang w:val="en-US" w:eastAsia="zh-CN"/>
        </w:rPr>
        <w:t>5</w:t>
      </w:r>
      <w:r>
        <w:rPr>
          <w:rFonts w:hint="eastAsia" w:ascii="仿宋_GB2312" w:hAnsi="仿宋_GB2312" w:eastAsia="仿宋_GB2312" w:cs="仿宋_GB2312"/>
          <w:color w:val="auto"/>
          <w:spacing w:val="12"/>
          <w:sz w:val="32"/>
          <w:szCs w:val="32"/>
          <w:lang w:val="en-US" w:eastAsia="en-US"/>
        </w:rPr>
        <w:t>年12月31日止</w:t>
      </w:r>
      <w:r>
        <w:rPr>
          <w:rFonts w:hint="eastAsia" w:ascii="仿宋_GB2312" w:hAnsi="仿宋_GB2312" w:eastAsia="仿宋_GB2312" w:cs="仿宋_GB2312"/>
          <w:color w:val="auto"/>
          <w:spacing w:val="12"/>
          <w:sz w:val="32"/>
          <w:szCs w:val="32"/>
          <w:lang w:val="en-US" w:eastAsia="zh-CN"/>
        </w:rPr>
        <w:t>。</w:t>
      </w:r>
    </w:p>
    <w:p w14:paraId="24FB5F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4" w:firstLineChars="200"/>
        <w:textAlignment w:val="baseline"/>
        <w:rPr>
          <w:rFonts w:ascii="黑体" w:hAnsi="黑体" w:eastAsia="黑体" w:cs="黑体"/>
          <w:color w:val="auto"/>
          <w:spacing w:val="6"/>
          <w:sz w:val="32"/>
          <w:szCs w:val="32"/>
        </w:rPr>
      </w:pPr>
      <w:r>
        <w:rPr>
          <w:rFonts w:hint="eastAsia" w:ascii="黑体" w:hAnsi="黑体" w:eastAsia="黑体" w:cs="黑体"/>
          <w:color w:val="auto"/>
          <w:spacing w:val="6"/>
          <w:sz w:val="32"/>
          <w:szCs w:val="32"/>
          <w:lang w:val="en-US" w:eastAsia="zh-CN"/>
        </w:rPr>
        <w:t>一、</w:t>
      </w:r>
      <w:r>
        <w:rPr>
          <w:rFonts w:ascii="黑体" w:hAnsi="黑体" w:eastAsia="黑体" w:cs="黑体"/>
          <w:color w:val="auto"/>
          <w:spacing w:val="6"/>
          <w:sz w:val="32"/>
          <w:szCs w:val="32"/>
        </w:rPr>
        <w:t>总体情况</w:t>
      </w:r>
    </w:p>
    <w:p w14:paraId="005078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仿宋_GB2312" w:hAnsi="仿宋_GB2312" w:eastAsia="仿宋_GB2312" w:cs="仿宋_GB2312"/>
          <w:color w:val="auto"/>
          <w:spacing w:val="12"/>
          <w:sz w:val="32"/>
          <w:szCs w:val="32"/>
          <w:lang w:val="en-US" w:eastAsia="en-US"/>
        </w:rPr>
      </w:pPr>
      <w:r>
        <w:rPr>
          <w:rFonts w:hint="eastAsia" w:ascii="仿宋_GB2312" w:hAnsi="仿宋_GB2312" w:eastAsia="仿宋_GB2312" w:cs="仿宋_GB2312"/>
          <w:color w:val="auto"/>
          <w:spacing w:val="12"/>
          <w:sz w:val="32"/>
          <w:szCs w:val="32"/>
          <w:lang w:val="en-US" w:eastAsia="en-US"/>
        </w:rPr>
        <w:t>2025 年，东丽区审计局坚持以习近平新时代中国特色社会主义思想为指导，严格落实《中华人民共和国政府信息公开条例》核心要求与 2025 年政务公开工作部署。紧扣 “为大局服务、为人民审计、为经济安全担当” 的工作定位，围绕高质量发展 “十项行动・东丽行动” 及 “三新”“三量” 等重点工作，将政务公开与审计监督深度融合。通过规范公开流程、优化公开平台、拓展公开维度，持续加大财政预算执行、审计整改结果、重大审计项目等关键信息公开力度，严格执行 “先审查、后公开” 和 “一事一审” 原则，有效防范泄密风险。全年政务公开质效显著提升，审计工作透明度持续增强，既保障了群众的知情权与监督权，也为构建协同高效的监督格局、推动东丽审计工作高质量发展提供了有力支撑。</w:t>
      </w:r>
    </w:p>
    <w:p w14:paraId="58979A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textAlignment w:val="baseline"/>
        <w:rPr>
          <w:rFonts w:ascii="微软雅黑" w:hAnsi="微软雅黑" w:eastAsia="微软雅黑" w:cs="微软雅黑"/>
          <w:i w:val="0"/>
          <w:iCs w:val="0"/>
          <w:caps w:val="0"/>
          <w:color w:val="auto"/>
          <w:spacing w:val="0"/>
          <w:sz w:val="32"/>
          <w:szCs w:val="32"/>
        </w:rPr>
      </w:pPr>
      <w:r>
        <w:rPr>
          <w:rFonts w:ascii="楷体_GB2312" w:hAnsi="微软雅黑" w:eastAsia="楷体_GB2312" w:cs="楷体_GB2312"/>
          <w:i w:val="0"/>
          <w:iCs w:val="0"/>
          <w:caps w:val="0"/>
          <w:color w:val="auto"/>
          <w:spacing w:val="0"/>
          <w:sz w:val="32"/>
          <w:szCs w:val="32"/>
          <w:shd w:val="clear" w:fill="FFFFFF"/>
        </w:rPr>
        <w:t>（一）主动公开方面</w:t>
      </w:r>
    </w:p>
    <w:p w14:paraId="53BB5B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仿宋_GB2312" w:hAnsi="仿宋_GB2312" w:eastAsia="仿宋_GB2312" w:cs="仿宋_GB2312"/>
          <w:color w:val="auto"/>
          <w:spacing w:val="12"/>
          <w:sz w:val="32"/>
          <w:szCs w:val="32"/>
          <w:lang w:val="en-US" w:eastAsia="en-US"/>
        </w:rPr>
      </w:pPr>
      <w:r>
        <w:rPr>
          <w:rFonts w:hint="default" w:ascii="仿宋_GB2312" w:hAnsi="仿宋_GB2312" w:eastAsia="仿宋_GB2312" w:cs="仿宋_GB2312"/>
          <w:color w:val="auto"/>
          <w:spacing w:val="12"/>
          <w:sz w:val="32"/>
          <w:szCs w:val="32"/>
          <w:lang w:val="en-US" w:eastAsia="en-US"/>
        </w:rPr>
        <w:t>1．</w:t>
      </w:r>
      <w:r>
        <w:rPr>
          <w:rFonts w:hint="eastAsia" w:ascii="仿宋_GB2312" w:hAnsi="仿宋_GB2312" w:eastAsia="仿宋_GB2312" w:cs="仿宋_GB2312"/>
          <w:color w:val="auto"/>
          <w:spacing w:val="12"/>
          <w:sz w:val="32"/>
          <w:szCs w:val="32"/>
          <w:lang w:val="en-US" w:eastAsia="en-US"/>
        </w:rPr>
        <w:t>利用局网站主动公开政策文件、人事任免以及本单位工作动态等信息，全年主动公开政府信息</w:t>
      </w:r>
      <w:r>
        <w:rPr>
          <w:rFonts w:hint="eastAsia" w:ascii="仿宋_GB2312" w:hAnsi="仿宋_GB2312" w:eastAsia="仿宋_GB2312" w:cs="仿宋_GB2312"/>
          <w:color w:val="auto"/>
          <w:spacing w:val="12"/>
          <w:sz w:val="32"/>
          <w:szCs w:val="32"/>
          <w:lang w:val="en-US" w:eastAsia="zh-CN"/>
        </w:rPr>
        <w:t>38条</w:t>
      </w:r>
      <w:r>
        <w:rPr>
          <w:rFonts w:hint="eastAsia" w:ascii="仿宋_GB2312" w:hAnsi="仿宋_GB2312" w:eastAsia="仿宋_GB2312" w:cs="仿宋_GB2312"/>
          <w:color w:val="auto"/>
          <w:spacing w:val="12"/>
          <w:sz w:val="32"/>
          <w:szCs w:val="32"/>
          <w:lang w:val="en-US" w:eastAsia="en-US"/>
        </w:rPr>
        <w:t>，其中：在政府信息公开栏目公开信息</w:t>
      </w:r>
      <w:r>
        <w:rPr>
          <w:rFonts w:hint="eastAsia" w:ascii="仿宋_GB2312" w:hAnsi="仿宋_GB2312" w:eastAsia="仿宋_GB2312" w:cs="仿宋_GB2312"/>
          <w:color w:val="auto"/>
          <w:spacing w:val="12"/>
          <w:sz w:val="32"/>
          <w:szCs w:val="32"/>
          <w:lang w:val="en-US" w:eastAsia="zh-CN"/>
        </w:rPr>
        <w:t>18</w:t>
      </w:r>
      <w:r>
        <w:rPr>
          <w:rFonts w:hint="eastAsia" w:ascii="仿宋_GB2312" w:hAnsi="仿宋_GB2312" w:eastAsia="仿宋_GB2312" w:cs="仿宋_GB2312"/>
          <w:color w:val="auto"/>
          <w:spacing w:val="12"/>
          <w:sz w:val="32"/>
          <w:szCs w:val="32"/>
          <w:lang w:val="en-US" w:eastAsia="en-US"/>
        </w:rPr>
        <w:t>条，收到公开申请</w:t>
      </w:r>
      <w:r>
        <w:rPr>
          <w:rFonts w:hint="eastAsia" w:ascii="仿宋_GB2312" w:hAnsi="仿宋_GB2312" w:eastAsia="仿宋_GB2312" w:cs="仿宋_GB2312"/>
          <w:color w:val="auto"/>
          <w:spacing w:val="12"/>
          <w:sz w:val="32"/>
          <w:szCs w:val="32"/>
          <w:lang w:val="en-US" w:eastAsia="zh-CN"/>
        </w:rPr>
        <w:t>1</w:t>
      </w:r>
      <w:r>
        <w:rPr>
          <w:rFonts w:hint="eastAsia" w:ascii="仿宋_GB2312" w:hAnsi="仿宋_GB2312" w:eastAsia="仿宋_GB2312" w:cs="仿宋_GB2312"/>
          <w:color w:val="auto"/>
          <w:spacing w:val="12"/>
          <w:sz w:val="32"/>
          <w:szCs w:val="32"/>
          <w:lang w:val="en-US" w:eastAsia="en-US"/>
        </w:rPr>
        <w:t>件，办结</w:t>
      </w:r>
      <w:r>
        <w:rPr>
          <w:rFonts w:hint="eastAsia" w:ascii="仿宋_GB2312" w:hAnsi="仿宋_GB2312" w:eastAsia="仿宋_GB2312" w:cs="仿宋_GB2312"/>
          <w:color w:val="auto"/>
          <w:spacing w:val="12"/>
          <w:sz w:val="32"/>
          <w:szCs w:val="32"/>
          <w:lang w:val="en-US" w:eastAsia="zh-CN"/>
        </w:rPr>
        <w:t>1</w:t>
      </w:r>
      <w:r>
        <w:rPr>
          <w:rFonts w:hint="eastAsia" w:ascii="仿宋_GB2312" w:hAnsi="仿宋_GB2312" w:eastAsia="仿宋_GB2312" w:cs="仿宋_GB2312"/>
          <w:color w:val="auto"/>
          <w:spacing w:val="12"/>
          <w:sz w:val="32"/>
          <w:szCs w:val="32"/>
          <w:lang w:val="en-US" w:eastAsia="en-US"/>
        </w:rPr>
        <w:t>件</w:t>
      </w:r>
      <w:r>
        <w:rPr>
          <w:rFonts w:hint="eastAsia" w:ascii="仿宋_GB2312" w:hAnsi="仿宋_GB2312" w:eastAsia="仿宋_GB2312" w:cs="仿宋_GB2312"/>
          <w:color w:val="auto"/>
          <w:spacing w:val="12"/>
          <w:sz w:val="32"/>
          <w:szCs w:val="32"/>
          <w:lang w:val="en-US" w:eastAsia="zh-CN"/>
        </w:rPr>
        <w:t>，</w:t>
      </w:r>
      <w:r>
        <w:rPr>
          <w:rFonts w:hint="eastAsia" w:ascii="仿宋_GB2312" w:hAnsi="仿宋_GB2312" w:eastAsia="仿宋_GB2312" w:cs="仿宋_GB2312"/>
          <w:color w:val="auto"/>
          <w:spacing w:val="12"/>
          <w:sz w:val="32"/>
          <w:szCs w:val="32"/>
          <w:lang w:val="en-US" w:eastAsia="en-US"/>
        </w:rPr>
        <w:t>在局网站发布各类信息</w:t>
      </w:r>
      <w:r>
        <w:rPr>
          <w:rFonts w:hint="eastAsia" w:ascii="仿宋_GB2312" w:hAnsi="仿宋_GB2312" w:eastAsia="仿宋_GB2312" w:cs="仿宋_GB2312"/>
          <w:color w:val="auto"/>
          <w:spacing w:val="12"/>
          <w:sz w:val="32"/>
          <w:szCs w:val="32"/>
          <w:lang w:val="en-US" w:eastAsia="zh-CN"/>
        </w:rPr>
        <w:t>19</w:t>
      </w:r>
      <w:r>
        <w:rPr>
          <w:rFonts w:hint="eastAsia" w:ascii="仿宋_GB2312" w:hAnsi="仿宋_GB2312" w:eastAsia="仿宋_GB2312" w:cs="仿宋_GB2312"/>
          <w:color w:val="auto"/>
          <w:spacing w:val="12"/>
          <w:sz w:val="32"/>
          <w:szCs w:val="32"/>
          <w:lang w:val="en-US" w:eastAsia="en-US"/>
        </w:rPr>
        <w:t>条。</w:t>
      </w:r>
    </w:p>
    <w:p w14:paraId="761AD1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仿宋_GB2312" w:hAnsi="仿宋_GB2312" w:eastAsia="仿宋_GB2312" w:cs="仿宋_GB2312"/>
          <w:color w:val="auto"/>
          <w:spacing w:val="12"/>
          <w:sz w:val="32"/>
          <w:szCs w:val="32"/>
          <w:lang w:val="en-US" w:eastAsia="en-US"/>
        </w:rPr>
      </w:pPr>
      <w:r>
        <w:rPr>
          <w:rFonts w:hint="default" w:ascii="仿宋_GB2312" w:hAnsi="仿宋_GB2312" w:eastAsia="仿宋_GB2312" w:cs="仿宋_GB2312"/>
          <w:color w:val="auto"/>
          <w:spacing w:val="12"/>
          <w:sz w:val="32"/>
          <w:szCs w:val="32"/>
          <w:lang w:val="en-US" w:eastAsia="en-US"/>
        </w:rPr>
        <w:t>2．</w:t>
      </w:r>
      <w:r>
        <w:rPr>
          <w:rFonts w:hint="eastAsia" w:ascii="仿宋_GB2312" w:hAnsi="仿宋_GB2312" w:eastAsia="仿宋_GB2312" w:cs="仿宋_GB2312"/>
          <w:color w:val="auto"/>
          <w:spacing w:val="12"/>
          <w:sz w:val="32"/>
          <w:szCs w:val="32"/>
          <w:lang w:val="en-US" w:eastAsia="en-US"/>
        </w:rPr>
        <w:t>主动适应政务新媒体传播新常态，充分利用我局微信公众号等新媒体平台公开政务信息，全年共编发</w:t>
      </w:r>
      <w:r>
        <w:rPr>
          <w:rFonts w:hint="eastAsia" w:ascii="仿宋_GB2312" w:hAnsi="仿宋_GB2312" w:eastAsia="仿宋_GB2312" w:cs="仿宋_GB2312"/>
          <w:color w:val="auto"/>
          <w:spacing w:val="12"/>
          <w:sz w:val="32"/>
          <w:szCs w:val="32"/>
          <w:lang w:val="en-US" w:eastAsia="zh-CN"/>
        </w:rPr>
        <w:t>原创</w:t>
      </w:r>
      <w:r>
        <w:rPr>
          <w:rFonts w:hint="eastAsia" w:ascii="仿宋_GB2312" w:hAnsi="仿宋_GB2312" w:eastAsia="仿宋_GB2312" w:cs="仿宋_GB2312"/>
          <w:color w:val="auto"/>
          <w:spacing w:val="12"/>
          <w:sz w:val="32"/>
          <w:szCs w:val="32"/>
          <w:lang w:val="en-US" w:eastAsia="en-US"/>
        </w:rPr>
        <w:t>政务微信</w:t>
      </w:r>
      <w:r>
        <w:rPr>
          <w:rFonts w:hint="eastAsia" w:ascii="仿宋_GB2312" w:hAnsi="仿宋_GB2312" w:eastAsia="仿宋_GB2312" w:cs="仿宋_GB2312"/>
          <w:color w:val="auto"/>
          <w:spacing w:val="12"/>
          <w:sz w:val="32"/>
          <w:szCs w:val="32"/>
          <w:lang w:val="en-US" w:eastAsia="zh-CN"/>
        </w:rPr>
        <w:t>183篇</w:t>
      </w:r>
      <w:r>
        <w:rPr>
          <w:rFonts w:hint="eastAsia" w:ascii="仿宋_GB2312" w:hAnsi="仿宋_GB2312" w:eastAsia="仿宋_GB2312" w:cs="仿宋_GB2312"/>
          <w:color w:val="auto"/>
          <w:spacing w:val="12"/>
          <w:sz w:val="32"/>
          <w:szCs w:val="32"/>
          <w:lang w:val="en-US" w:eastAsia="en-US"/>
        </w:rPr>
        <w:t>，信息发布质量和阅读量均有较大幅度提升。</w:t>
      </w:r>
    </w:p>
    <w:p w14:paraId="1D270C8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Times New Roman" w:hAnsi="Times New Roman" w:eastAsia="方正仿宋_GB2312" w:cs="方正仿宋_GB2312"/>
          <w:color w:val="auto"/>
          <w:spacing w:val="12"/>
        </w:rPr>
      </w:pPr>
      <w:r>
        <w:rPr>
          <w:rFonts w:hint="default" w:ascii="仿宋_GB2312" w:hAnsi="仿宋_GB2312" w:eastAsia="仿宋_GB2312" w:cs="仿宋_GB2312"/>
          <w:color w:val="auto"/>
          <w:spacing w:val="12"/>
          <w:sz w:val="32"/>
          <w:szCs w:val="32"/>
          <w:lang w:val="en-US" w:eastAsia="en-US"/>
        </w:rPr>
        <w:t>3．</w:t>
      </w:r>
      <w:r>
        <w:rPr>
          <w:rFonts w:hint="eastAsia" w:ascii="仿宋_GB2312" w:hAnsi="仿宋_GB2312" w:eastAsia="仿宋_GB2312" w:cs="仿宋_GB2312"/>
          <w:color w:val="auto"/>
          <w:spacing w:val="12"/>
          <w:sz w:val="32"/>
          <w:szCs w:val="32"/>
          <w:lang w:val="en-US" w:eastAsia="en-US"/>
        </w:rPr>
        <w:t>在政府信息主动公开后的</w:t>
      </w:r>
      <w:r>
        <w:rPr>
          <w:rFonts w:hint="default" w:ascii="仿宋_GB2312" w:hAnsi="仿宋_GB2312" w:eastAsia="仿宋_GB2312" w:cs="仿宋_GB2312"/>
          <w:color w:val="auto"/>
          <w:spacing w:val="12"/>
          <w:sz w:val="32"/>
          <w:szCs w:val="32"/>
          <w:lang w:val="en-US" w:eastAsia="en-US"/>
        </w:rPr>
        <w:t>20</w:t>
      </w:r>
      <w:r>
        <w:rPr>
          <w:rFonts w:hint="eastAsia" w:ascii="仿宋_GB2312" w:hAnsi="仿宋_GB2312" w:eastAsia="仿宋_GB2312" w:cs="仿宋_GB2312"/>
          <w:color w:val="auto"/>
          <w:spacing w:val="12"/>
          <w:sz w:val="32"/>
          <w:szCs w:val="32"/>
          <w:lang w:val="en-US" w:eastAsia="en-US"/>
        </w:rPr>
        <w:t>个工作日内，向</w:t>
      </w:r>
      <w:r>
        <w:rPr>
          <w:rFonts w:hint="eastAsia" w:ascii="仿宋_GB2312" w:hAnsi="仿宋_GB2312" w:eastAsia="仿宋_GB2312" w:cs="仿宋_GB2312"/>
          <w:color w:val="auto"/>
          <w:spacing w:val="12"/>
          <w:sz w:val="32"/>
          <w:szCs w:val="32"/>
          <w:lang w:val="en-US" w:eastAsia="zh-CN"/>
        </w:rPr>
        <w:t>东丽区</w:t>
      </w:r>
      <w:r>
        <w:rPr>
          <w:rFonts w:hint="eastAsia" w:ascii="仿宋_GB2312" w:hAnsi="仿宋_GB2312" w:eastAsia="仿宋_GB2312" w:cs="仿宋_GB2312"/>
          <w:color w:val="auto"/>
          <w:spacing w:val="12"/>
          <w:sz w:val="32"/>
          <w:szCs w:val="32"/>
          <w:lang w:val="en-US" w:eastAsia="en-US"/>
        </w:rPr>
        <w:t>行政服务许可中心、</w:t>
      </w:r>
      <w:r>
        <w:rPr>
          <w:rFonts w:hint="eastAsia" w:ascii="仿宋_GB2312" w:hAnsi="仿宋_GB2312" w:eastAsia="仿宋_GB2312" w:cs="仿宋_GB2312"/>
          <w:color w:val="auto"/>
          <w:spacing w:val="12"/>
          <w:sz w:val="32"/>
          <w:szCs w:val="32"/>
          <w:lang w:val="en-US" w:eastAsia="zh-CN"/>
        </w:rPr>
        <w:t>东丽区</w:t>
      </w:r>
      <w:r>
        <w:rPr>
          <w:rFonts w:hint="eastAsia" w:ascii="仿宋_GB2312" w:hAnsi="仿宋_GB2312" w:eastAsia="仿宋_GB2312" w:cs="仿宋_GB2312"/>
          <w:color w:val="auto"/>
          <w:spacing w:val="12"/>
          <w:sz w:val="32"/>
          <w:szCs w:val="32"/>
          <w:lang w:val="en-US" w:eastAsia="en-US"/>
        </w:rPr>
        <w:t>图书馆</w:t>
      </w:r>
      <w:r>
        <w:rPr>
          <w:rFonts w:hint="eastAsia" w:ascii="仿宋_GB2312" w:hAnsi="仿宋_GB2312" w:eastAsia="仿宋_GB2312" w:cs="仿宋_GB2312"/>
          <w:color w:val="auto"/>
          <w:spacing w:val="12"/>
          <w:sz w:val="32"/>
          <w:szCs w:val="32"/>
          <w:lang w:val="en-US" w:eastAsia="zh-CN"/>
        </w:rPr>
        <w:t>、东丽区</w:t>
      </w:r>
      <w:r>
        <w:rPr>
          <w:rFonts w:hint="eastAsia" w:ascii="仿宋_GB2312" w:hAnsi="仿宋_GB2312" w:eastAsia="仿宋_GB2312" w:cs="仿宋_GB2312"/>
          <w:color w:val="auto"/>
          <w:spacing w:val="12"/>
          <w:sz w:val="32"/>
          <w:szCs w:val="32"/>
          <w:lang w:val="en-US" w:eastAsia="en-US"/>
        </w:rPr>
        <w:t>档案馆的政府信息公开查阅服务中心报送主动公开政府信息纸质文件</w:t>
      </w:r>
      <w:r>
        <w:rPr>
          <w:rFonts w:hint="eastAsia" w:ascii="仿宋_GB2312" w:hAnsi="仿宋_GB2312" w:eastAsia="仿宋_GB2312" w:cs="仿宋_GB2312"/>
          <w:color w:val="auto"/>
          <w:spacing w:val="12"/>
          <w:sz w:val="32"/>
          <w:szCs w:val="32"/>
          <w:lang w:val="en-US" w:eastAsia="zh-CN"/>
        </w:rPr>
        <w:t>6</w:t>
      </w:r>
      <w:r>
        <w:rPr>
          <w:rFonts w:hint="eastAsia" w:ascii="仿宋_GB2312" w:hAnsi="仿宋_GB2312" w:eastAsia="仿宋_GB2312" w:cs="仿宋_GB2312"/>
          <w:color w:val="auto"/>
          <w:spacing w:val="12"/>
          <w:sz w:val="32"/>
          <w:szCs w:val="32"/>
          <w:lang w:val="en-US" w:eastAsia="en-US"/>
        </w:rPr>
        <w:t>件。</w:t>
      </w:r>
    </w:p>
    <w:p w14:paraId="4C7CA4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textAlignment w:val="baseline"/>
        <w:rPr>
          <w:rFonts w:ascii="楷体_GB2312" w:hAnsi="微软雅黑" w:eastAsia="楷体_GB2312" w:cs="楷体_GB2312"/>
          <w:i w:val="0"/>
          <w:iCs w:val="0"/>
          <w:caps w:val="0"/>
          <w:color w:val="auto"/>
          <w:spacing w:val="0"/>
          <w:sz w:val="32"/>
          <w:szCs w:val="32"/>
          <w:shd w:val="clear" w:fill="FFFFFF"/>
        </w:rPr>
      </w:pPr>
      <w:r>
        <w:rPr>
          <w:rFonts w:ascii="楷体_GB2312" w:hAnsi="微软雅黑" w:eastAsia="楷体_GB2312" w:cs="楷体_GB2312"/>
          <w:i w:val="0"/>
          <w:iCs w:val="0"/>
          <w:caps w:val="0"/>
          <w:color w:val="auto"/>
          <w:spacing w:val="0"/>
          <w:sz w:val="32"/>
          <w:szCs w:val="32"/>
          <w:shd w:val="clear" w:fill="FFFFFF"/>
        </w:rPr>
        <w:t>（二）依申请公开方面</w:t>
      </w:r>
    </w:p>
    <w:p w14:paraId="32A0BC8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仿宋_GB2312" w:hAnsi="仿宋_GB2312" w:eastAsia="仿宋_GB2312" w:cs="仿宋_GB2312"/>
          <w:color w:val="auto"/>
          <w:spacing w:val="12"/>
          <w:sz w:val="32"/>
          <w:szCs w:val="32"/>
          <w:lang w:val="en-US" w:eastAsia="en-US"/>
        </w:rPr>
      </w:pPr>
      <w:r>
        <w:rPr>
          <w:rFonts w:hint="default" w:ascii="仿宋_GB2312" w:hAnsi="仿宋_GB2312" w:eastAsia="仿宋_GB2312" w:cs="仿宋_GB2312"/>
          <w:color w:val="auto"/>
          <w:spacing w:val="12"/>
          <w:sz w:val="32"/>
          <w:szCs w:val="32"/>
          <w:lang w:val="en-US" w:eastAsia="en-US"/>
        </w:rPr>
        <w:t>202</w:t>
      </w:r>
      <w:r>
        <w:rPr>
          <w:rFonts w:hint="eastAsia" w:ascii="仿宋_GB2312" w:hAnsi="仿宋_GB2312" w:eastAsia="仿宋_GB2312" w:cs="仿宋_GB2312"/>
          <w:color w:val="auto"/>
          <w:spacing w:val="12"/>
          <w:sz w:val="32"/>
          <w:szCs w:val="32"/>
          <w:lang w:val="en-US" w:eastAsia="zh-CN"/>
        </w:rPr>
        <w:t>5</w:t>
      </w:r>
      <w:r>
        <w:rPr>
          <w:rFonts w:hint="eastAsia" w:ascii="仿宋_GB2312" w:hAnsi="仿宋_GB2312" w:eastAsia="仿宋_GB2312" w:cs="仿宋_GB2312"/>
          <w:color w:val="auto"/>
          <w:spacing w:val="12"/>
          <w:sz w:val="32"/>
          <w:szCs w:val="32"/>
          <w:lang w:val="en-US" w:eastAsia="en-US"/>
        </w:rPr>
        <w:t>年共收到和处理政府信息公开申请</w:t>
      </w:r>
      <w:r>
        <w:rPr>
          <w:rFonts w:hint="eastAsia" w:ascii="仿宋_GB2312" w:hAnsi="仿宋_GB2312" w:eastAsia="仿宋_GB2312" w:cs="仿宋_GB2312"/>
          <w:color w:val="auto"/>
          <w:spacing w:val="12"/>
          <w:sz w:val="32"/>
          <w:szCs w:val="32"/>
          <w:lang w:val="en-US" w:eastAsia="zh-CN"/>
        </w:rPr>
        <w:t>1</w:t>
      </w:r>
      <w:r>
        <w:rPr>
          <w:rFonts w:hint="eastAsia" w:ascii="仿宋_GB2312" w:hAnsi="仿宋_GB2312" w:eastAsia="仿宋_GB2312" w:cs="仿宋_GB2312"/>
          <w:color w:val="auto"/>
          <w:spacing w:val="12"/>
          <w:sz w:val="32"/>
          <w:szCs w:val="32"/>
          <w:lang w:val="en-US" w:eastAsia="en-US"/>
        </w:rPr>
        <w:t>件，</w:t>
      </w:r>
      <w:r>
        <w:rPr>
          <w:rFonts w:hint="eastAsia" w:ascii="仿宋_GB2312" w:hAnsi="仿宋_GB2312" w:eastAsia="仿宋_GB2312" w:cs="仿宋_GB2312"/>
          <w:color w:val="auto"/>
          <w:spacing w:val="12"/>
          <w:sz w:val="32"/>
          <w:szCs w:val="32"/>
          <w:lang w:val="en-US" w:eastAsia="zh-CN"/>
        </w:rPr>
        <w:t>按</w:t>
      </w:r>
      <w:r>
        <w:rPr>
          <w:rFonts w:hint="eastAsia" w:ascii="仿宋_GB2312" w:hAnsi="仿宋_GB2312" w:eastAsia="仿宋_GB2312" w:cs="仿宋_GB2312"/>
          <w:color w:val="auto"/>
          <w:spacing w:val="12"/>
          <w:sz w:val="32"/>
          <w:szCs w:val="32"/>
          <w:lang w:val="en-US" w:eastAsia="en-US"/>
        </w:rPr>
        <w:t>法定期限内办结。办理过程中，积极强化办件规范</w:t>
      </w:r>
      <w:r>
        <w:rPr>
          <w:rFonts w:hint="eastAsia" w:ascii="仿宋_GB2312" w:hAnsi="仿宋_GB2312" w:eastAsia="仿宋_GB2312" w:cs="仿宋_GB2312"/>
          <w:color w:val="auto"/>
          <w:spacing w:val="12"/>
          <w:sz w:val="32"/>
          <w:szCs w:val="32"/>
          <w:lang w:val="en-US" w:eastAsia="zh-CN"/>
        </w:rPr>
        <w:t>，</w:t>
      </w:r>
      <w:r>
        <w:rPr>
          <w:rFonts w:hint="eastAsia" w:ascii="仿宋_GB2312" w:hAnsi="仿宋_GB2312" w:eastAsia="仿宋_GB2312" w:cs="仿宋_GB2312"/>
          <w:color w:val="auto"/>
          <w:spacing w:val="12"/>
          <w:sz w:val="32"/>
          <w:szCs w:val="32"/>
          <w:lang w:val="en-US" w:eastAsia="en-US"/>
        </w:rPr>
        <w:t>坚持服务理念，主动与申请人做好沟通，依法准确回应信息获取需求；依托信息化系统，规范申请登记、办理、审核、答复、归档等依申请公开全过程管理。</w:t>
      </w:r>
    </w:p>
    <w:p w14:paraId="1596D1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textAlignment w:val="baseline"/>
        <w:rPr>
          <w:rFonts w:hint="default" w:ascii="楷体_GB2312" w:hAnsi="微软雅黑" w:eastAsia="楷体_GB2312" w:cs="楷体_GB2312"/>
          <w:i w:val="0"/>
          <w:iCs w:val="0"/>
          <w:caps w:val="0"/>
          <w:color w:val="auto"/>
          <w:spacing w:val="0"/>
          <w:sz w:val="32"/>
          <w:szCs w:val="32"/>
          <w:shd w:val="clear" w:fill="FFFFFF"/>
        </w:rPr>
      </w:pPr>
      <w:r>
        <w:rPr>
          <w:rFonts w:ascii="楷体_GB2312" w:hAnsi="微软雅黑" w:eastAsia="楷体_GB2312" w:cs="楷体_GB2312"/>
          <w:i w:val="0"/>
          <w:iCs w:val="0"/>
          <w:caps w:val="0"/>
          <w:color w:val="auto"/>
          <w:spacing w:val="0"/>
          <w:sz w:val="32"/>
          <w:szCs w:val="32"/>
          <w:shd w:val="clear" w:fill="FFFFFF"/>
        </w:rPr>
        <w:t>（</w:t>
      </w:r>
      <w:r>
        <w:rPr>
          <w:rFonts w:hint="eastAsia" w:ascii="楷体_GB2312" w:hAnsi="微软雅黑" w:eastAsia="楷体_GB2312" w:cs="楷体_GB2312"/>
          <w:i w:val="0"/>
          <w:iCs w:val="0"/>
          <w:caps w:val="0"/>
          <w:color w:val="auto"/>
          <w:spacing w:val="0"/>
          <w:sz w:val="32"/>
          <w:szCs w:val="32"/>
          <w:shd w:val="clear" w:fill="FFFFFF"/>
          <w:lang w:val="en-US" w:eastAsia="zh-CN"/>
        </w:rPr>
        <w:t>三</w:t>
      </w:r>
      <w:r>
        <w:rPr>
          <w:rFonts w:ascii="楷体_GB2312" w:hAnsi="微软雅黑" w:eastAsia="楷体_GB2312" w:cs="楷体_GB2312"/>
          <w:i w:val="0"/>
          <w:iCs w:val="0"/>
          <w:caps w:val="0"/>
          <w:color w:val="auto"/>
          <w:spacing w:val="0"/>
          <w:sz w:val="32"/>
          <w:szCs w:val="32"/>
          <w:shd w:val="clear" w:fill="FFFFFF"/>
        </w:rPr>
        <w:t>）</w:t>
      </w:r>
      <w:r>
        <w:rPr>
          <w:rFonts w:hint="default" w:ascii="楷体_GB2312" w:hAnsi="微软雅黑" w:eastAsia="楷体_GB2312" w:cs="楷体_GB2312"/>
          <w:i w:val="0"/>
          <w:iCs w:val="0"/>
          <w:caps w:val="0"/>
          <w:color w:val="auto"/>
          <w:spacing w:val="0"/>
          <w:sz w:val="32"/>
          <w:szCs w:val="32"/>
          <w:shd w:val="clear" w:fill="FFFFFF"/>
        </w:rPr>
        <w:t>政府信息管理</w:t>
      </w:r>
    </w:p>
    <w:p w14:paraId="2E1181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仿宋_GB2312" w:hAnsi="仿宋_GB2312" w:eastAsia="仿宋_GB2312" w:cs="仿宋_GB2312"/>
          <w:color w:val="auto"/>
          <w:spacing w:val="12"/>
          <w:sz w:val="32"/>
          <w:szCs w:val="32"/>
          <w:lang w:val="en-US" w:eastAsia="en-US"/>
        </w:rPr>
      </w:pPr>
      <w:r>
        <w:rPr>
          <w:rFonts w:hint="default" w:ascii="仿宋_GB2312" w:hAnsi="仿宋_GB2312" w:eastAsia="仿宋_GB2312" w:cs="仿宋_GB2312"/>
          <w:color w:val="auto"/>
          <w:spacing w:val="12"/>
          <w:sz w:val="32"/>
          <w:szCs w:val="32"/>
          <w:lang w:val="en-US" w:eastAsia="en-US"/>
        </w:rPr>
        <w:t>严格执行公文公开属性源头认定和信息发布审查机制</w:t>
      </w:r>
      <w:r>
        <w:rPr>
          <w:rFonts w:hint="eastAsia" w:ascii="仿宋_GB2312" w:hAnsi="仿宋_GB2312" w:eastAsia="仿宋_GB2312" w:cs="仿宋_GB2312"/>
          <w:color w:val="auto"/>
          <w:spacing w:val="12"/>
          <w:sz w:val="32"/>
          <w:szCs w:val="32"/>
          <w:lang w:val="en-US" w:eastAsia="zh-CN"/>
        </w:rPr>
        <w:t>，</w:t>
      </w:r>
      <w:r>
        <w:rPr>
          <w:rFonts w:hint="default" w:ascii="仿宋_GB2312" w:hAnsi="仿宋_GB2312" w:eastAsia="仿宋_GB2312" w:cs="仿宋_GB2312"/>
          <w:color w:val="auto"/>
          <w:spacing w:val="12"/>
          <w:sz w:val="32"/>
          <w:szCs w:val="32"/>
          <w:lang w:val="en-US" w:eastAsia="en-US"/>
        </w:rPr>
        <w:t>坚持“先审查、后公开”和“一事一审”原则，明确审查程序和责任，防止泄露国家秘密、工作秘密和敏感信息，防范数据汇聚引发泄密风险。根据局内部制度评估清理情况，做好已主动公开内部制度的审查和调整。</w:t>
      </w:r>
    </w:p>
    <w:p w14:paraId="379D5B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textAlignment w:val="baseline"/>
        <w:rPr>
          <w:rFonts w:hint="default" w:ascii="楷体_GB2312" w:hAnsi="微软雅黑" w:eastAsia="楷体_GB2312" w:cs="楷体_GB2312"/>
          <w:i w:val="0"/>
          <w:iCs w:val="0"/>
          <w:caps w:val="0"/>
          <w:color w:val="auto"/>
          <w:spacing w:val="0"/>
          <w:sz w:val="32"/>
          <w:szCs w:val="32"/>
          <w:shd w:val="clear" w:fill="FFFFFF"/>
        </w:rPr>
      </w:pPr>
      <w:r>
        <w:rPr>
          <w:rFonts w:ascii="楷体_GB2312" w:hAnsi="微软雅黑" w:eastAsia="楷体_GB2312" w:cs="楷体_GB2312"/>
          <w:i w:val="0"/>
          <w:iCs w:val="0"/>
          <w:caps w:val="0"/>
          <w:color w:val="auto"/>
          <w:spacing w:val="0"/>
          <w:sz w:val="32"/>
          <w:szCs w:val="32"/>
          <w:shd w:val="clear" w:fill="FFFFFF"/>
        </w:rPr>
        <w:t>（</w:t>
      </w:r>
      <w:r>
        <w:rPr>
          <w:rFonts w:hint="eastAsia" w:ascii="楷体_GB2312" w:hAnsi="微软雅黑" w:eastAsia="楷体_GB2312" w:cs="楷体_GB2312"/>
          <w:i w:val="0"/>
          <w:iCs w:val="0"/>
          <w:caps w:val="0"/>
          <w:color w:val="auto"/>
          <w:spacing w:val="0"/>
          <w:sz w:val="32"/>
          <w:szCs w:val="32"/>
          <w:shd w:val="clear" w:fill="FFFFFF"/>
          <w:lang w:val="en-US" w:eastAsia="zh-CN"/>
        </w:rPr>
        <w:t>四</w:t>
      </w:r>
      <w:r>
        <w:rPr>
          <w:rFonts w:ascii="楷体_GB2312" w:hAnsi="微软雅黑" w:eastAsia="楷体_GB2312" w:cs="楷体_GB2312"/>
          <w:i w:val="0"/>
          <w:iCs w:val="0"/>
          <w:caps w:val="0"/>
          <w:color w:val="auto"/>
          <w:spacing w:val="0"/>
          <w:sz w:val="32"/>
          <w:szCs w:val="32"/>
          <w:shd w:val="clear" w:fill="FFFFFF"/>
        </w:rPr>
        <w:t>）</w:t>
      </w:r>
      <w:r>
        <w:rPr>
          <w:rFonts w:hint="default" w:ascii="楷体_GB2312" w:hAnsi="微软雅黑" w:eastAsia="楷体_GB2312" w:cs="楷体_GB2312"/>
          <w:i w:val="0"/>
          <w:iCs w:val="0"/>
          <w:caps w:val="0"/>
          <w:color w:val="auto"/>
          <w:spacing w:val="0"/>
          <w:sz w:val="32"/>
          <w:szCs w:val="32"/>
          <w:shd w:val="clear" w:fill="FFFFFF"/>
        </w:rPr>
        <w:t>政府信息公开平台建设</w:t>
      </w:r>
    </w:p>
    <w:p w14:paraId="5389A9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default" w:ascii="仿宋_GB2312" w:hAnsi="仿宋_GB2312" w:eastAsia="仿宋_GB2312" w:cs="仿宋_GB2312"/>
          <w:color w:val="auto"/>
          <w:spacing w:val="12"/>
          <w:sz w:val="32"/>
          <w:szCs w:val="32"/>
          <w:lang w:val="en-US" w:eastAsia="en-US"/>
        </w:rPr>
      </w:pPr>
      <w:r>
        <w:rPr>
          <w:rFonts w:hint="eastAsia" w:ascii="仿宋_GB2312" w:hAnsi="仿宋_GB2312" w:eastAsia="仿宋_GB2312" w:cs="仿宋_GB2312"/>
          <w:color w:val="auto"/>
          <w:spacing w:val="12"/>
          <w:sz w:val="32"/>
          <w:szCs w:val="32"/>
          <w:lang w:val="en-US" w:eastAsia="en-US"/>
        </w:rPr>
        <w:t>定时</w:t>
      </w:r>
      <w:r>
        <w:rPr>
          <w:rFonts w:hint="eastAsia" w:ascii="仿宋_GB2312" w:hAnsi="仿宋_GB2312" w:eastAsia="仿宋_GB2312" w:cs="仿宋_GB2312"/>
          <w:color w:val="auto"/>
          <w:spacing w:val="12"/>
          <w:sz w:val="32"/>
          <w:szCs w:val="32"/>
          <w:lang w:val="en-US" w:eastAsia="zh-CN"/>
        </w:rPr>
        <w:t>开展</w:t>
      </w:r>
      <w:r>
        <w:rPr>
          <w:rFonts w:hint="eastAsia" w:ascii="仿宋_GB2312" w:hAnsi="仿宋_GB2312" w:eastAsia="仿宋_GB2312" w:cs="仿宋_GB2312"/>
          <w:color w:val="auto"/>
          <w:spacing w:val="12"/>
          <w:sz w:val="32"/>
          <w:szCs w:val="32"/>
          <w:lang w:val="en-US" w:eastAsia="en-US"/>
        </w:rPr>
        <w:t>自查，对于长期没更新的情况或长期不更新的内容，及时进行更新。</w:t>
      </w:r>
      <w:r>
        <w:rPr>
          <w:rFonts w:hint="eastAsia" w:ascii="仿宋_GB2312" w:hAnsi="仿宋_GB2312" w:eastAsia="仿宋_GB2312" w:cs="仿宋_GB2312"/>
          <w:color w:val="auto"/>
          <w:spacing w:val="12"/>
          <w:sz w:val="32"/>
          <w:szCs w:val="32"/>
          <w:lang w:val="en-US" w:eastAsia="zh-CN"/>
        </w:rPr>
        <w:t>对</w:t>
      </w:r>
      <w:r>
        <w:rPr>
          <w:rFonts w:hint="eastAsia" w:ascii="仿宋_GB2312" w:hAnsi="仿宋_GB2312" w:eastAsia="仿宋_GB2312" w:cs="仿宋_GB2312"/>
          <w:color w:val="auto"/>
          <w:spacing w:val="12"/>
          <w:sz w:val="32"/>
          <w:szCs w:val="32"/>
          <w:lang w:val="en-US" w:eastAsia="en-US"/>
        </w:rPr>
        <w:t>自查</w:t>
      </w:r>
      <w:r>
        <w:rPr>
          <w:rFonts w:hint="eastAsia" w:ascii="仿宋_GB2312" w:hAnsi="仿宋_GB2312" w:eastAsia="仿宋_GB2312" w:cs="仿宋_GB2312"/>
          <w:color w:val="auto"/>
          <w:spacing w:val="12"/>
          <w:sz w:val="32"/>
          <w:szCs w:val="32"/>
          <w:lang w:val="en-US" w:eastAsia="zh-CN"/>
        </w:rPr>
        <w:t>发现的</w:t>
      </w:r>
      <w:r>
        <w:rPr>
          <w:rFonts w:hint="eastAsia" w:ascii="仿宋_GB2312" w:hAnsi="仿宋_GB2312" w:eastAsia="仿宋_GB2312" w:cs="仿宋_GB2312"/>
          <w:color w:val="auto"/>
          <w:spacing w:val="12"/>
          <w:sz w:val="32"/>
          <w:szCs w:val="32"/>
          <w:lang w:val="en-US" w:eastAsia="en-US"/>
        </w:rPr>
        <w:t>一些漏掉的目录和不规范的目录，及时进行修改完善。</w:t>
      </w:r>
    </w:p>
    <w:p w14:paraId="6232BC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textAlignment w:val="baseline"/>
        <w:rPr>
          <w:rFonts w:hint="eastAsia" w:ascii="楷体_GB2312" w:hAnsi="微软雅黑" w:eastAsia="楷体_GB2312" w:cs="楷体_GB2312"/>
          <w:i w:val="0"/>
          <w:iCs w:val="0"/>
          <w:caps w:val="0"/>
          <w:color w:val="auto"/>
          <w:spacing w:val="0"/>
          <w:sz w:val="32"/>
          <w:szCs w:val="32"/>
          <w:shd w:val="clear" w:fill="FFFFFF"/>
          <w:lang w:eastAsia="zh-CN"/>
        </w:rPr>
      </w:pPr>
      <w:r>
        <w:rPr>
          <w:rFonts w:ascii="楷体_GB2312" w:hAnsi="微软雅黑" w:eastAsia="楷体_GB2312" w:cs="楷体_GB2312"/>
          <w:i w:val="0"/>
          <w:iCs w:val="0"/>
          <w:caps w:val="0"/>
          <w:color w:val="auto"/>
          <w:spacing w:val="0"/>
          <w:sz w:val="32"/>
          <w:szCs w:val="32"/>
          <w:shd w:val="clear" w:fill="FFFFFF"/>
        </w:rPr>
        <w:t>（</w:t>
      </w:r>
      <w:r>
        <w:rPr>
          <w:rFonts w:hint="eastAsia" w:ascii="楷体_GB2312" w:hAnsi="微软雅黑" w:eastAsia="楷体_GB2312" w:cs="楷体_GB2312"/>
          <w:i w:val="0"/>
          <w:iCs w:val="0"/>
          <w:caps w:val="0"/>
          <w:color w:val="auto"/>
          <w:spacing w:val="0"/>
          <w:sz w:val="32"/>
          <w:szCs w:val="32"/>
          <w:shd w:val="clear" w:fill="FFFFFF"/>
          <w:lang w:val="en-US" w:eastAsia="zh-CN"/>
        </w:rPr>
        <w:t>五</w:t>
      </w:r>
      <w:r>
        <w:rPr>
          <w:rFonts w:ascii="楷体_GB2312" w:hAnsi="微软雅黑" w:eastAsia="楷体_GB2312" w:cs="楷体_GB2312"/>
          <w:i w:val="0"/>
          <w:iCs w:val="0"/>
          <w:caps w:val="0"/>
          <w:color w:val="auto"/>
          <w:spacing w:val="0"/>
          <w:sz w:val="32"/>
          <w:szCs w:val="32"/>
          <w:shd w:val="clear" w:fill="FFFFFF"/>
        </w:rPr>
        <w:t>）</w:t>
      </w:r>
      <w:r>
        <w:rPr>
          <w:rFonts w:hint="eastAsia" w:ascii="楷体_GB2312" w:hAnsi="微软雅黑" w:eastAsia="楷体_GB2312" w:cs="楷体_GB2312"/>
          <w:i w:val="0"/>
          <w:iCs w:val="0"/>
          <w:caps w:val="0"/>
          <w:color w:val="auto"/>
          <w:spacing w:val="0"/>
          <w:sz w:val="32"/>
          <w:szCs w:val="32"/>
          <w:shd w:val="clear" w:fill="FFFFFF"/>
        </w:rPr>
        <w:t>监督保障</w:t>
      </w:r>
    </w:p>
    <w:p w14:paraId="0AF1201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宋体" w:hAnsi="宋体" w:eastAsia="宋体" w:cs="宋体"/>
          <w:i w:val="0"/>
          <w:iCs w:val="0"/>
          <w:caps w:val="0"/>
          <w:color w:val="auto"/>
          <w:spacing w:val="0"/>
          <w:sz w:val="32"/>
          <w:szCs w:val="32"/>
          <w:shd w:val="clear" w:fill="FFFFFF"/>
          <w:lang w:val="en-US" w:eastAsia="zh-CN"/>
        </w:rPr>
      </w:pPr>
      <w:r>
        <w:rPr>
          <w:rFonts w:hint="eastAsia" w:ascii="仿宋_GB2312" w:hAnsi="仿宋_GB2312" w:eastAsia="仿宋_GB2312" w:cs="仿宋_GB2312"/>
          <w:color w:val="auto"/>
          <w:spacing w:val="12"/>
          <w:sz w:val="32"/>
          <w:szCs w:val="32"/>
          <w:lang w:val="en-US" w:eastAsia="en-US"/>
        </w:rPr>
        <w:t>加强对政府信息公开工作的组织领导，明确专人负责政务公开日常事务，促进解决工作中的问题。积极派员参加政务公开业务培训，提高工作人员素养，推动政务公开工作提质增效。</w:t>
      </w:r>
    </w:p>
    <w:p w14:paraId="5730E4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4" w:firstLineChars="200"/>
        <w:textAlignment w:val="baseline"/>
        <w:rPr>
          <w:rFonts w:hint="eastAsia" w:ascii="黑体" w:hAnsi="黑体" w:eastAsia="黑体" w:cs="黑体"/>
          <w:color w:val="auto"/>
          <w:spacing w:val="6"/>
          <w:sz w:val="32"/>
          <w:szCs w:val="32"/>
          <w:lang w:val="en-US" w:eastAsia="zh-CN"/>
        </w:rPr>
      </w:pPr>
      <w:r>
        <w:rPr>
          <w:rFonts w:hint="eastAsia" w:ascii="黑体" w:hAnsi="黑体" w:eastAsia="黑体" w:cs="黑体"/>
          <w:color w:val="auto"/>
          <w:spacing w:val="6"/>
          <w:sz w:val="32"/>
          <w:szCs w:val="32"/>
          <w:lang w:val="en-US" w:eastAsia="zh-CN"/>
        </w:rPr>
        <w:t>二、主动公开政府信息情况</w:t>
      </w:r>
    </w:p>
    <w:p w14:paraId="25707C70">
      <w:pPr>
        <w:widowControl/>
        <w:shd w:val="clear" w:color="auto" w:fill="FFFFFF"/>
        <w:ind w:firstLine="480"/>
        <w:rPr>
          <w:rFonts w:hint="eastAsia" w:ascii="宋体" w:hAnsi="宋体" w:eastAsia="宋体" w:cs="宋体"/>
          <w:color w:val="auto"/>
          <w:kern w:val="0"/>
          <w:sz w:val="24"/>
          <w:szCs w:val="24"/>
        </w:rPr>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14:paraId="4494D13B">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4D1AF7A3">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第二十条第（一）项</w:t>
            </w:r>
          </w:p>
        </w:tc>
      </w:tr>
      <w:tr w14:paraId="26D6CB5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E7A5054">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6C96D0E2">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本年</w:t>
            </w:r>
            <w:r>
              <w:rPr>
                <w:rFonts w:ascii="宋体" w:hAnsi="宋体" w:eastAsia="宋体" w:cs="宋体"/>
                <w:color w:val="auto"/>
                <w:kern w:val="0"/>
                <w:sz w:val="28"/>
                <w:szCs w:val="28"/>
              </w:rPr>
              <w:t>制</w:t>
            </w:r>
            <w:r>
              <w:rPr>
                <w:rFonts w:hint="eastAsia" w:ascii="宋体" w:hAnsi="宋体" w:eastAsia="宋体" w:cs="宋体"/>
                <w:color w:val="auto"/>
                <w:kern w:val="0"/>
                <w:sz w:val="28"/>
                <w:szCs w:val="28"/>
              </w:rPr>
              <w:t>发件</w:t>
            </w:r>
            <w:r>
              <w:rPr>
                <w:rFonts w:ascii="宋体" w:hAnsi="宋体" w:eastAsia="宋体" w:cs="宋体"/>
                <w:color w:val="auto"/>
                <w:kern w:val="0"/>
                <w:sz w:val="28"/>
                <w:szCs w:val="28"/>
              </w:rPr>
              <w:t>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7EC3AFD9">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6EC40B90">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现行有效件</w:t>
            </w:r>
            <w:r>
              <w:rPr>
                <w:rFonts w:ascii="宋体" w:hAnsi="宋体" w:eastAsia="宋体" w:cs="宋体"/>
                <w:color w:val="auto"/>
                <w:kern w:val="0"/>
                <w:sz w:val="28"/>
                <w:szCs w:val="28"/>
              </w:rPr>
              <w:t>数</w:t>
            </w:r>
          </w:p>
        </w:tc>
      </w:tr>
      <w:tr w14:paraId="1D10628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9E1219C">
            <w:pPr>
              <w:widowControl/>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F18FD0">
            <w:pPr>
              <w:widowControl/>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　　</w:t>
            </w:r>
            <w:r>
              <w:rPr>
                <w:rFonts w:hint="eastAsia" w:ascii="宋体" w:hAnsi="宋体" w:eastAsia="宋体" w:cs="宋体"/>
                <w:color w:val="auto"/>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DCB31D8">
            <w:pPr>
              <w:widowControl/>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 　</w:t>
            </w:r>
            <w:r>
              <w:rPr>
                <w:rFonts w:hint="eastAsia" w:ascii="宋体" w:hAnsi="宋体" w:eastAsia="宋体" w:cs="宋体"/>
                <w:color w:val="auto"/>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FAA6E3">
            <w:pPr>
              <w:widowControl/>
              <w:jc w:val="left"/>
              <w:rPr>
                <w:rFonts w:hint="eastAsia" w:ascii="宋体" w:hAnsi="宋体" w:eastAsia="宋体" w:cs="宋体"/>
                <w:color w:val="auto"/>
                <w:kern w:val="0"/>
                <w:sz w:val="28"/>
                <w:szCs w:val="28"/>
                <w:lang w:val="en-US" w:eastAsia="zh-CN"/>
              </w:rPr>
            </w:pPr>
            <w:r>
              <w:rPr>
                <w:rFonts w:ascii="Calibri" w:hAnsi="Calibri" w:eastAsia="宋体" w:cs="宋体"/>
                <w:color w:val="auto"/>
                <w:kern w:val="0"/>
                <w:sz w:val="28"/>
                <w:szCs w:val="28"/>
              </w:rPr>
              <w:t> </w:t>
            </w:r>
            <w:r>
              <w:rPr>
                <w:rFonts w:hint="eastAsia" w:ascii="Calibri" w:hAnsi="Calibri" w:eastAsia="宋体" w:cs="宋体"/>
                <w:color w:val="auto"/>
                <w:kern w:val="0"/>
                <w:sz w:val="28"/>
                <w:szCs w:val="28"/>
                <w:lang w:val="en-US" w:eastAsia="zh-CN"/>
              </w:rPr>
              <w:t>0</w:t>
            </w:r>
          </w:p>
        </w:tc>
      </w:tr>
      <w:tr w14:paraId="260F1C0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F51D42D">
            <w:pPr>
              <w:widowControl/>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D2DF5D">
            <w:pPr>
              <w:widowControl/>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　　</w:t>
            </w:r>
            <w:r>
              <w:rPr>
                <w:rFonts w:hint="eastAsia" w:ascii="宋体" w:hAnsi="宋体" w:eastAsia="宋体" w:cs="宋体"/>
                <w:color w:val="auto"/>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B3A3F47">
            <w:pPr>
              <w:widowControl/>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 　</w:t>
            </w:r>
            <w:r>
              <w:rPr>
                <w:rFonts w:hint="eastAsia" w:ascii="宋体" w:hAnsi="宋体" w:eastAsia="宋体" w:cs="宋体"/>
                <w:color w:val="auto"/>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FF9BC0C">
            <w:pPr>
              <w:widowControl/>
              <w:jc w:val="left"/>
              <w:rPr>
                <w:rFonts w:hint="eastAsia" w:ascii="宋体" w:hAnsi="宋体" w:eastAsia="宋体" w:cs="宋体"/>
                <w:color w:val="auto"/>
                <w:kern w:val="0"/>
                <w:sz w:val="28"/>
                <w:szCs w:val="28"/>
                <w:lang w:val="en-US" w:eastAsia="zh-CN"/>
              </w:rPr>
            </w:pPr>
            <w:r>
              <w:rPr>
                <w:rFonts w:ascii="Calibri" w:hAnsi="Calibri" w:eastAsia="宋体" w:cs="宋体"/>
                <w:color w:val="auto"/>
                <w:kern w:val="0"/>
                <w:sz w:val="28"/>
                <w:szCs w:val="28"/>
              </w:rPr>
              <w:t> </w:t>
            </w:r>
            <w:r>
              <w:rPr>
                <w:rFonts w:hint="eastAsia" w:ascii="Calibri" w:hAnsi="Calibri" w:eastAsia="宋体" w:cs="宋体"/>
                <w:color w:val="auto"/>
                <w:kern w:val="0"/>
                <w:sz w:val="28"/>
                <w:szCs w:val="28"/>
                <w:lang w:val="en-US" w:eastAsia="zh-CN"/>
              </w:rPr>
              <w:t>0</w:t>
            </w:r>
          </w:p>
        </w:tc>
      </w:tr>
      <w:tr w14:paraId="12D43FF1">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4697B65F">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第二十条第（五）项</w:t>
            </w:r>
          </w:p>
        </w:tc>
      </w:tr>
      <w:tr w14:paraId="622B6ED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DD86290">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28AE3E">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本年处理决定数量</w:t>
            </w:r>
          </w:p>
        </w:tc>
      </w:tr>
      <w:tr w14:paraId="0EA6EB1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94FB9C5">
            <w:pPr>
              <w:widowControl/>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640E2F">
            <w:pPr>
              <w:widowControl/>
              <w:jc w:val="center"/>
              <w:rPr>
                <w:rFonts w:hint="eastAsia" w:ascii="宋体" w:hAnsi="宋体" w:eastAsia="宋体" w:cs="宋体"/>
                <w:color w:val="auto"/>
                <w:kern w:val="0"/>
                <w:sz w:val="28"/>
                <w:szCs w:val="28"/>
                <w:lang w:val="en-US" w:eastAsia="zh-CN"/>
              </w:rPr>
            </w:pPr>
            <w:r>
              <w:rPr>
                <w:rFonts w:hint="eastAsia" w:ascii="Calibri" w:hAnsi="Calibri" w:eastAsia="宋体" w:cs="宋体"/>
                <w:color w:val="auto"/>
                <w:kern w:val="0"/>
                <w:sz w:val="28"/>
                <w:szCs w:val="28"/>
                <w:lang w:val="en-US" w:eastAsia="zh-CN"/>
              </w:rPr>
              <w:t>0</w:t>
            </w:r>
          </w:p>
        </w:tc>
      </w:tr>
      <w:tr w14:paraId="2E33799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7636FDEB">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第二十条第（六）项</w:t>
            </w:r>
          </w:p>
        </w:tc>
      </w:tr>
      <w:tr w14:paraId="5C0403E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D55068F">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69954659">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本年处理决定数量</w:t>
            </w:r>
          </w:p>
        </w:tc>
      </w:tr>
      <w:tr w14:paraId="6AF42A43">
        <w:tblPrEx>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DDF24D1">
            <w:pPr>
              <w:widowControl/>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9DBDDED">
            <w:pPr>
              <w:widowControl/>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0</w:t>
            </w:r>
          </w:p>
        </w:tc>
      </w:tr>
      <w:tr w14:paraId="401B12E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3BB21D4">
            <w:pPr>
              <w:widowControl/>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1C7854F">
            <w:pPr>
              <w:widowControl/>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0</w:t>
            </w:r>
          </w:p>
        </w:tc>
      </w:tr>
      <w:tr w14:paraId="7930456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6D3BB31C">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第二十条第（八）项</w:t>
            </w:r>
          </w:p>
        </w:tc>
      </w:tr>
      <w:tr w14:paraId="668284E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B41DEA1">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1CCAAE09">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本年收费金额（单位：万元）</w:t>
            </w:r>
          </w:p>
        </w:tc>
      </w:tr>
      <w:tr w14:paraId="6B66D3B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856CEDC">
            <w:pPr>
              <w:widowControl/>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1EB38E46">
            <w:pPr>
              <w:widowControl/>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0</w:t>
            </w:r>
          </w:p>
        </w:tc>
      </w:tr>
    </w:tbl>
    <w:p w14:paraId="1D0CF1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4" w:firstLineChars="200"/>
        <w:textAlignment w:val="baseline"/>
        <w:rPr>
          <w:rFonts w:hint="eastAsia" w:ascii="黑体" w:hAnsi="黑体" w:eastAsia="黑体" w:cs="黑体"/>
          <w:color w:val="auto"/>
          <w:spacing w:val="6"/>
          <w:sz w:val="32"/>
          <w:szCs w:val="32"/>
          <w:lang w:val="en-US" w:eastAsia="zh-CN"/>
        </w:rPr>
      </w:pPr>
      <w:r>
        <w:rPr>
          <w:rFonts w:hint="eastAsia" w:ascii="黑体" w:hAnsi="黑体" w:eastAsia="黑体" w:cs="黑体"/>
          <w:color w:val="auto"/>
          <w:spacing w:val="6"/>
          <w:sz w:val="32"/>
          <w:szCs w:val="32"/>
          <w:lang w:val="en-US" w:eastAsia="zh-CN"/>
        </w:rPr>
        <w:t>三、收到和处理政府信息公开申请情况</w:t>
      </w:r>
    </w:p>
    <w:p w14:paraId="6C9582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4" w:line="560" w:lineRule="exact"/>
        <w:ind w:firstLine="664" w:firstLineChars="200"/>
        <w:textAlignment w:val="baseline"/>
        <w:rPr>
          <w:rFonts w:hint="eastAsia" w:ascii="黑体" w:hAnsi="黑体" w:eastAsia="黑体" w:cs="黑体"/>
          <w:color w:val="auto"/>
          <w:spacing w:val="6"/>
          <w:sz w:val="32"/>
          <w:szCs w:val="32"/>
          <w:lang w:val="en-US" w:eastAsia="zh-CN"/>
        </w:rPr>
      </w:pPr>
    </w:p>
    <w:tbl>
      <w:tblPr>
        <w:tblStyle w:val="5"/>
        <w:tblW w:w="9748" w:type="dxa"/>
        <w:jc w:val="center"/>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AF560E7">
        <w:tblPrEx>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noWrap w:val="0"/>
            <w:tcMar>
              <w:top w:w="0" w:type="dxa"/>
              <w:left w:w="108" w:type="dxa"/>
              <w:bottom w:w="0" w:type="dxa"/>
              <w:right w:w="108" w:type="dxa"/>
            </w:tcMar>
            <w:vAlign w:val="center"/>
          </w:tcPr>
          <w:p w14:paraId="76F3BE74">
            <w:pPr>
              <w:widowControl/>
              <w:jc w:val="left"/>
              <w:rPr>
                <w:rFonts w:ascii="宋体" w:hAnsi="宋体" w:eastAsia="宋体" w:cs="宋体"/>
                <w:color w:val="auto"/>
                <w:kern w:val="0"/>
                <w:sz w:val="24"/>
                <w:szCs w:val="24"/>
              </w:rPr>
            </w:pPr>
            <w:r>
              <w:rPr>
                <w:rFonts w:hint="eastAsia" w:ascii="楷体" w:hAnsi="楷体" w:eastAsia="楷体" w:cs="宋体"/>
                <w:color w:val="auto"/>
                <w:kern w:val="0"/>
                <w:sz w:val="20"/>
                <w:szCs w:val="20"/>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2F05A638">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申请人情况</w:t>
            </w:r>
          </w:p>
        </w:tc>
      </w:tr>
      <w:tr w14:paraId="344D81BA">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noWrap w:val="0"/>
            <w:vAlign w:val="center"/>
          </w:tcPr>
          <w:p w14:paraId="5FAEC14E">
            <w:pPr>
              <w:widowControl/>
              <w:jc w:val="left"/>
              <w:rPr>
                <w:rFonts w:ascii="宋体" w:hAnsi="宋体" w:eastAsia="宋体" w:cs="宋体"/>
                <w:color w:val="auto"/>
                <w:kern w:val="0"/>
                <w:sz w:val="24"/>
                <w:szCs w:val="24"/>
              </w:rPr>
            </w:pPr>
          </w:p>
        </w:tc>
        <w:tc>
          <w:tcPr>
            <w:tcW w:w="714" w:type="dxa"/>
            <w:vMerge w:val="restar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63939BB">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自然人</w:t>
            </w:r>
          </w:p>
        </w:tc>
        <w:tc>
          <w:tcPr>
            <w:tcW w:w="3570" w:type="dxa"/>
            <w:gridSpan w:val="5"/>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237EFFF4">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法人或其他组织</w:t>
            </w:r>
          </w:p>
        </w:tc>
        <w:tc>
          <w:tcPr>
            <w:tcW w:w="714" w:type="dxa"/>
            <w:vMerge w:val="restart"/>
            <w:tcBorders>
              <w:top w:val="single" w:color="auto" w:sz="8" w:space="0"/>
              <w:left w:val="nil"/>
              <w:bottom w:val="inset" w:color="auto" w:sz="8" w:space="0"/>
              <w:right w:val="single" w:color="auto" w:sz="8" w:space="0"/>
            </w:tcBorders>
            <w:noWrap w:val="0"/>
            <w:tcMar>
              <w:top w:w="0" w:type="dxa"/>
              <w:left w:w="57" w:type="dxa"/>
              <w:bottom w:w="0" w:type="dxa"/>
              <w:right w:w="57" w:type="dxa"/>
            </w:tcMar>
            <w:vAlign w:val="center"/>
          </w:tcPr>
          <w:p w14:paraId="65D1174A">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总计</w:t>
            </w:r>
          </w:p>
        </w:tc>
      </w:tr>
      <w:tr w14:paraId="0A3A6A02">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noWrap w:val="0"/>
            <w:vAlign w:val="center"/>
          </w:tcPr>
          <w:p w14:paraId="194FA6FD">
            <w:pPr>
              <w:widowControl/>
              <w:jc w:val="left"/>
              <w:rPr>
                <w:rFonts w:ascii="宋体" w:hAnsi="宋体" w:eastAsia="宋体" w:cs="宋体"/>
                <w:color w:val="auto"/>
                <w:kern w:val="0"/>
                <w:sz w:val="24"/>
                <w:szCs w:val="24"/>
              </w:rPr>
            </w:pPr>
          </w:p>
        </w:tc>
        <w:tc>
          <w:tcPr>
            <w:tcW w:w="0" w:type="auto"/>
            <w:vMerge w:val="continue"/>
            <w:tcBorders>
              <w:top w:val="nil"/>
              <w:left w:val="nil"/>
              <w:bottom w:val="single" w:color="auto" w:sz="8" w:space="0"/>
              <w:right w:val="single" w:color="auto" w:sz="8" w:space="0"/>
            </w:tcBorders>
            <w:noWrap w:val="0"/>
            <w:vAlign w:val="center"/>
          </w:tcPr>
          <w:p w14:paraId="6FEBEB49">
            <w:pPr>
              <w:widowControl/>
              <w:jc w:val="left"/>
              <w:rPr>
                <w:rFonts w:ascii="宋体" w:hAnsi="宋体" w:eastAsia="宋体" w:cs="宋体"/>
                <w:color w:val="auto"/>
                <w:kern w:val="0"/>
                <w:sz w:val="24"/>
                <w:szCs w:val="24"/>
              </w:rPr>
            </w:pP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BF94D4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商业</w:t>
            </w:r>
          </w:p>
          <w:p w14:paraId="29BD81FA">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企业</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639DA9C">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科研</w:t>
            </w:r>
          </w:p>
          <w:p w14:paraId="0B2DA67D">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机构</w:t>
            </w:r>
          </w:p>
        </w:tc>
        <w:tc>
          <w:tcPr>
            <w:tcW w:w="714"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4E4DC30C">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社会公益组织</w:t>
            </w:r>
          </w:p>
        </w:tc>
        <w:tc>
          <w:tcPr>
            <w:tcW w:w="714"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17BCAAAB">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法律服务机构</w:t>
            </w:r>
          </w:p>
        </w:tc>
        <w:tc>
          <w:tcPr>
            <w:tcW w:w="714"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37772221">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其他</w:t>
            </w:r>
          </w:p>
        </w:tc>
        <w:tc>
          <w:tcPr>
            <w:tcW w:w="0" w:type="auto"/>
            <w:vMerge w:val="continue"/>
            <w:tcBorders>
              <w:top w:val="single" w:color="auto" w:sz="8" w:space="0"/>
              <w:left w:val="nil"/>
              <w:bottom w:val="inset" w:color="auto" w:sz="8" w:space="0"/>
              <w:right w:val="single" w:color="auto" w:sz="8" w:space="0"/>
            </w:tcBorders>
            <w:noWrap w:val="0"/>
            <w:vAlign w:val="center"/>
          </w:tcPr>
          <w:p w14:paraId="67A7F14C">
            <w:pPr>
              <w:widowControl/>
              <w:jc w:val="left"/>
              <w:rPr>
                <w:rFonts w:ascii="宋体" w:hAnsi="宋体" w:eastAsia="宋体" w:cs="宋体"/>
                <w:color w:val="auto"/>
                <w:kern w:val="0"/>
                <w:sz w:val="24"/>
                <w:szCs w:val="24"/>
              </w:rPr>
            </w:pPr>
          </w:p>
        </w:tc>
      </w:tr>
      <w:tr w14:paraId="037F4188">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F7A4535">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一、本年新收政府信息公开申请数量</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7E2EA1A">
            <w:pPr>
              <w:keepNext w:val="0"/>
              <w:keepLines w:val="0"/>
              <w:widowControl/>
              <w:suppressLineNumbers w:val="0"/>
              <w:jc w:val="right"/>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4BCAB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E3A0752">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CDBC262">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20C56DA">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9692A4E">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A71CC23">
            <w:pPr>
              <w:keepNext w:val="0"/>
              <w:keepLines w:val="0"/>
              <w:widowControl/>
              <w:suppressLineNumbers w:val="0"/>
              <w:jc w:val="right"/>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r>
      <w:tr w14:paraId="6801456B">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F12DAB9">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二、上年结转政府信息公开申请数量</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D7875B2">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D11BC76">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BF592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4EDAB2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8A7E0D">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A7A6D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ACFF3E4">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08BE9DB8">
        <w:tblPrEx>
          <w:tblCellMar>
            <w:top w:w="0" w:type="dxa"/>
            <w:left w:w="0" w:type="dxa"/>
            <w:bottom w:w="0" w:type="dxa"/>
            <w:right w:w="0" w:type="dxa"/>
          </w:tblCellMar>
        </w:tblPrEx>
        <w:trPr>
          <w:jc w:val="center"/>
        </w:trPr>
        <w:tc>
          <w:tcPr>
            <w:tcW w:w="785" w:type="dxa"/>
            <w:vMerge w:val="restart"/>
            <w:tcBorders>
              <w:top w:val="nil"/>
              <w:left w:val="single" w:color="auto" w:sz="8" w:space="0"/>
              <w:bottom w:val="inset" w:color="auto" w:sz="8" w:space="0"/>
              <w:right w:val="single" w:color="auto" w:sz="8" w:space="0"/>
            </w:tcBorders>
            <w:noWrap w:val="0"/>
            <w:tcMar>
              <w:top w:w="0" w:type="dxa"/>
              <w:left w:w="57" w:type="dxa"/>
              <w:bottom w:w="0" w:type="dxa"/>
              <w:right w:w="57" w:type="dxa"/>
            </w:tcMar>
            <w:vAlign w:val="center"/>
          </w:tcPr>
          <w:p w14:paraId="657E1193">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三、本年度办理结果</w:t>
            </w:r>
          </w:p>
        </w:tc>
        <w:tc>
          <w:tcPr>
            <w:tcW w:w="4365"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121FF2E">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（一）予以公开</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D3EFC81">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A258116">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617AD3E">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698E808">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7FF9677">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D8A65A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38D32DDA">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1438BE7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5046DEA7">
            <w:pPr>
              <w:widowControl/>
              <w:jc w:val="left"/>
              <w:rPr>
                <w:rFonts w:ascii="宋体" w:hAnsi="宋体" w:eastAsia="宋体" w:cs="宋体"/>
                <w:color w:val="auto"/>
                <w:kern w:val="0"/>
                <w:sz w:val="24"/>
                <w:szCs w:val="24"/>
              </w:rPr>
            </w:pPr>
          </w:p>
        </w:tc>
        <w:tc>
          <w:tcPr>
            <w:tcW w:w="4365"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1F7AAE">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（二）部分公开</w:t>
            </w:r>
            <w:r>
              <w:rPr>
                <w:rFonts w:hint="eastAsia" w:ascii="楷体" w:hAnsi="楷体" w:eastAsia="楷体" w:cs="宋体"/>
                <w:color w:val="auto"/>
                <w:kern w:val="0"/>
                <w:sz w:val="20"/>
                <w:szCs w:val="20"/>
              </w:rPr>
              <w:t>（区分处理的，只计这一情形，不计其他情形）</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7D20C5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EEA7F8">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0C0670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0B803E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A808C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8878C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FAAFA2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45BFD6A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3B909C3A">
            <w:pPr>
              <w:widowControl/>
              <w:jc w:val="left"/>
              <w:rPr>
                <w:rFonts w:ascii="宋体" w:hAnsi="宋体" w:eastAsia="宋体" w:cs="宋体"/>
                <w:color w:val="auto"/>
                <w:kern w:val="0"/>
                <w:sz w:val="24"/>
                <w:szCs w:val="24"/>
              </w:rPr>
            </w:pPr>
          </w:p>
        </w:tc>
        <w:tc>
          <w:tcPr>
            <w:tcW w:w="959"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14:paraId="29D44890">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（三）不予公开</w:t>
            </w: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1BE34F3">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1.属于国家秘密</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C289963">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B5402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F28B21D">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CE2F67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E093D9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923530">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3B38F58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1CAC9B5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14DD36DA">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30390BE3">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5EC702B">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2.其他法律行政法规禁止公开</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F28CB91">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EF8729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479621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0513B0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EC06206">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967766E">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9081990">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r>
      <w:tr w14:paraId="2C4260C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070D55CB">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39BAA9A1">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D48930A">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3.危及“三安全一稳定”</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7927F3D">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412418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0E93A0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60D6AE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7EE7210">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6677FBA">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36E601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09485F5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7C55FF87">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0A8531F3">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6EEC6A8">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4.保护第三方合法权益</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A53BA60">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19C486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C362B3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4DB90C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A97AFD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4227752">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9AFA2C7">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54F75BE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661CF920">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470CAE14">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EDB350B">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5.属于三类内部事务信息</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3657474">
            <w:pPr>
              <w:keepNext w:val="0"/>
              <w:keepLines w:val="0"/>
              <w:widowControl/>
              <w:suppressLineNumbers w:val="0"/>
              <w:jc w:val="right"/>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FCAD4F5">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1109F2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616062E">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99D8A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89B52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E72B7AE">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4875280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2BFC85D9">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04D9976D">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7D5FAE6">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6.属于四类过程性信息</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A11D253">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0462CC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AC4FFA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AE80FD8">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A5A2A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B5F82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6824847">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34257D28">
        <w:tblPrEx>
          <w:tblCellMar>
            <w:top w:w="0" w:type="dxa"/>
            <w:left w:w="0" w:type="dxa"/>
            <w:bottom w:w="0" w:type="dxa"/>
            <w:right w:w="0" w:type="dxa"/>
          </w:tblCellMar>
        </w:tblPrEx>
        <w:trPr>
          <w:trHeight w:val="199" w:hRule="atLeast"/>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71BD35AA">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06DCCA57">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4EDEFE7">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7.属于行政执法案卷</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E2F8322">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7028EA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86B0C2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F5F1F9D">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5EB9C94">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CE5B2C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8EC37B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35670E0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644B9956">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1433A553">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9DE2689">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8.属于行政查询事项</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8AB0E0">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7AC0EDD">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C7A3504">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8C61B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534C48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73C4C9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6AC6A3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6E7E1091">
        <w:tblPrEx>
          <w:tblCellMar>
            <w:top w:w="0" w:type="dxa"/>
            <w:left w:w="0" w:type="dxa"/>
            <w:bottom w:w="0" w:type="dxa"/>
            <w:right w:w="0" w:type="dxa"/>
          </w:tblCellMar>
        </w:tblPrEx>
        <w:trPr>
          <w:trHeight w:val="169" w:hRule="atLeast"/>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2D47B13E">
            <w:pPr>
              <w:widowControl/>
              <w:jc w:val="left"/>
              <w:rPr>
                <w:rFonts w:ascii="宋体" w:hAnsi="宋体" w:eastAsia="宋体" w:cs="宋体"/>
                <w:color w:val="auto"/>
                <w:kern w:val="0"/>
                <w:sz w:val="24"/>
                <w:szCs w:val="24"/>
              </w:rPr>
            </w:pPr>
          </w:p>
        </w:tc>
        <w:tc>
          <w:tcPr>
            <w:tcW w:w="959"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14:paraId="25EE0BA9">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（四）无法提供</w:t>
            </w: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9CCEAC9">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1.本机关不掌握相关政府信息</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E5EF82">
            <w:pPr>
              <w:keepNext w:val="0"/>
              <w:keepLines w:val="0"/>
              <w:widowControl/>
              <w:suppressLineNumbers w:val="0"/>
              <w:jc w:val="right"/>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3B6590">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0739BA0">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516BA0">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FFA375">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27FAEE7">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C93A6D5">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70B8E5A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467A86E0">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5E272CC3">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EDCDD51">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2.没有现成信息需要另行制作</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A826A2">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E446CD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3011A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C2FFDD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03A6AD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4C9745">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A8792B4">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6ADFEAE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73308DBE">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338F8A25">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3F676AA">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3.补正后申请内容仍不明确</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44FFA5B">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E8078C6">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7A948E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4B12AE2">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285BB2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EF4393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36A246">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32FB73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7377CBCC">
            <w:pPr>
              <w:widowControl/>
              <w:jc w:val="left"/>
              <w:rPr>
                <w:rFonts w:ascii="宋体" w:hAnsi="宋体" w:eastAsia="宋体" w:cs="宋体"/>
                <w:color w:val="auto"/>
                <w:kern w:val="0"/>
                <w:sz w:val="24"/>
                <w:szCs w:val="24"/>
              </w:rPr>
            </w:pPr>
          </w:p>
        </w:tc>
        <w:tc>
          <w:tcPr>
            <w:tcW w:w="959"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14:paraId="0482114E">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（五）不予处理</w:t>
            </w: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F5876CF">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1.信访举报投诉类申请</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8FC7DCD">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8FE1184">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E02CDD5">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9DFD40D">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437A8D">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D5FA74D">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F70DF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55FA889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5583464D">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246255FC">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CAAF521">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2.重复申请</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04E152E">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C619B2E">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8D06C2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276F77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19E13A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5BC70E">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A8F556A">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48BDB09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3F855E6A">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1A016BC4">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54BEA31">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3.要求提供公开出版物</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9121DB">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C684F98">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7B4EA5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8CCFDF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A34BA38">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11D6E58">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CF4BB0">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3D1F372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21991FE9">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68B4D056">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9144967">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4.无正当理由大量反复申请</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8EEC1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B33250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926F7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5BF1F5">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53808A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A2943E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BFA23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0AC440E0">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13D1917E">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6F8B85DD">
            <w:pPr>
              <w:widowControl/>
              <w:jc w:val="left"/>
              <w:rPr>
                <w:rFonts w:ascii="宋体" w:hAnsi="宋体" w:eastAsia="宋体" w:cs="宋体"/>
                <w:color w:val="auto"/>
                <w:kern w:val="0"/>
                <w:sz w:val="24"/>
                <w:szCs w:val="24"/>
              </w:rPr>
            </w:pPr>
          </w:p>
        </w:tc>
        <w:tc>
          <w:tcPr>
            <w:tcW w:w="3406"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47BD9BC6">
            <w:pPr>
              <w:widowControl/>
              <w:rPr>
                <w:rFonts w:ascii="宋体" w:hAnsi="宋体" w:eastAsia="宋体" w:cs="宋体"/>
                <w:color w:val="auto"/>
                <w:kern w:val="0"/>
                <w:sz w:val="24"/>
                <w:szCs w:val="24"/>
              </w:rPr>
            </w:pPr>
            <w:r>
              <w:rPr>
                <w:rFonts w:hint="eastAsia" w:ascii="宋体" w:hAnsi="宋体" w:eastAsia="宋体" w:cs="宋体"/>
                <w:color w:val="auto"/>
                <w:kern w:val="0"/>
                <w:sz w:val="20"/>
                <w:szCs w:val="20"/>
              </w:rPr>
              <w:t>5.要求行政机关确认或重新出具已获取信息</w:t>
            </w:r>
          </w:p>
        </w:tc>
        <w:tc>
          <w:tcPr>
            <w:tcW w:w="714"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6139E654">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428F3DC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10273D4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71592B4A">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6C4725A5">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49FCF2C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1DD87733">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40F6513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4FA57950">
            <w:pPr>
              <w:widowControl/>
              <w:jc w:val="left"/>
              <w:rPr>
                <w:rFonts w:ascii="宋体" w:hAnsi="宋体" w:eastAsia="宋体" w:cs="宋体"/>
                <w:color w:val="auto"/>
                <w:kern w:val="0"/>
                <w:sz w:val="24"/>
                <w:szCs w:val="24"/>
              </w:rPr>
            </w:pPr>
          </w:p>
        </w:tc>
        <w:tc>
          <w:tcPr>
            <w:tcW w:w="959" w:type="dxa"/>
            <w:vMerge w:val="restart"/>
            <w:tcBorders>
              <w:top w:val="inset" w:color="auto" w:sz="8" w:space="0"/>
              <w:left w:val="nil"/>
              <w:bottom w:val="inset" w:color="auto" w:sz="8" w:space="0"/>
              <w:right w:val="single" w:color="auto" w:sz="8" w:space="0"/>
            </w:tcBorders>
            <w:noWrap w:val="0"/>
            <w:tcMar>
              <w:top w:w="0" w:type="dxa"/>
              <w:left w:w="57" w:type="dxa"/>
              <w:bottom w:w="0" w:type="dxa"/>
              <w:right w:w="57" w:type="dxa"/>
            </w:tcMar>
            <w:vAlign w:val="center"/>
          </w:tcPr>
          <w:p w14:paraId="746BAA42">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（六）其他处理</w:t>
            </w: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2CE628">
            <w:pPr>
              <w:widowControl/>
              <w:rPr>
                <w:rFonts w:ascii="宋体" w:hAnsi="宋体" w:eastAsia="宋体" w:cs="宋体"/>
                <w:color w:val="auto"/>
                <w:kern w:val="0"/>
                <w:sz w:val="24"/>
                <w:szCs w:val="24"/>
              </w:rPr>
            </w:pPr>
            <w:r>
              <w:rPr>
                <w:rFonts w:hint="eastAsia" w:ascii="宋体" w:hAnsi="宋体" w:eastAsia="宋体" w:cs="宋体"/>
                <w:color w:val="auto"/>
                <w:kern w:val="0"/>
                <w:sz w:val="20"/>
                <w:szCs w:val="20"/>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0510D3D">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AFC8B36">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0B7A2E">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FC5DDB">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BFD865">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20F0C27">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189F04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48FB6CD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40616A9E">
            <w:pPr>
              <w:widowControl/>
              <w:jc w:val="left"/>
              <w:rPr>
                <w:rFonts w:ascii="宋体" w:hAnsi="宋体" w:eastAsia="宋体" w:cs="宋体"/>
                <w:color w:val="auto"/>
                <w:kern w:val="0"/>
                <w:sz w:val="24"/>
                <w:szCs w:val="24"/>
              </w:rPr>
            </w:pPr>
          </w:p>
        </w:tc>
        <w:tc>
          <w:tcPr>
            <w:tcW w:w="0" w:type="auto"/>
            <w:vMerge w:val="continue"/>
            <w:tcBorders>
              <w:top w:val="inset" w:color="auto" w:sz="8" w:space="0"/>
              <w:left w:val="nil"/>
              <w:bottom w:val="inset" w:color="auto" w:sz="8" w:space="0"/>
              <w:right w:val="single" w:color="auto" w:sz="8" w:space="0"/>
            </w:tcBorders>
            <w:noWrap w:val="0"/>
            <w:vAlign w:val="center"/>
          </w:tcPr>
          <w:p w14:paraId="04B2BA39">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72CCFF">
            <w:pPr>
              <w:widowControl/>
              <w:rPr>
                <w:rFonts w:ascii="宋体" w:hAnsi="宋体" w:eastAsia="宋体" w:cs="宋体"/>
                <w:color w:val="auto"/>
                <w:kern w:val="0"/>
                <w:sz w:val="24"/>
                <w:szCs w:val="24"/>
              </w:rPr>
            </w:pPr>
            <w:r>
              <w:rPr>
                <w:rFonts w:hint="eastAsia" w:ascii="宋体" w:hAnsi="宋体" w:eastAsia="宋体" w:cs="宋体"/>
                <w:color w:val="auto"/>
                <w:kern w:val="0"/>
                <w:sz w:val="20"/>
                <w:szCs w:val="20"/>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23069B5">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C699382">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D222D30">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530407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E892D5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A03580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69624B2">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233E9E0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5A7AA72A">
            <w:pPr>
              <w:widowControl/>
              <w:jc w:val="left"/>
              <w:rPr>
                <w:rFonts w:ascii="宋体" w:hAnsi="宋体" w:eastAsia="宋体" w:cs="宋体"/>
                <w:color w:val="auto"/>
                <w:kern w:val="0"/>
                <w:sz w:val="24"/>
                <w:szCs w:val="24"/>
              </w:rPr>
            </w:pPr>
          </w:p>
        </w:tc>
        <w:tc>
          <w:tcPr>
            <w:tcW w:w="0" w:type="auto"/>
            <w:vMerge w:val="continue"/>
            <w:tcBorders>
              <w:top w:val="inset" w:color="auto" w:sz="8" w:space="0"/>
              <w:left w:val="nil"/>
              <w:bottom w:val="inset" w:color="auto" w:sz="8" w:space="0"/>
              <w:right w:val="single" w:color="auto" w:sz="8" w:space="0"/>
            </w:tcBorders>
            <w:noWrap w:val="0"/>
            <w:vAlign w:val="center"/>
          </w:tcPr>
          <w:p w14:paraId="691D8B4E">
            <w:pPr>
              <w:widowControl/>
              <w:jc w:val="left"/>
              <w:rPr>
                <w:rFonts w:ascii="宋体" w:hAnsi="宋体" w:eastAsia="宋体" w:cs="宋体"/>
                <w:color w:val="auto"/>
                <w:kern w:val="0"/>
                <w:sz w:val="24"/>
                <w:szCs w:val="24"/>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55F71E">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3.其他</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5930BA7">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E046800">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00E1942">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1F8801D">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0748538">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9A4CC4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490B59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r w14:paraId="0254E8E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79E2E3C7">
            <w:pPr>
              <w:widowControl/>
              <w:jc w:val="left"/>
              <w:rPr>
                <w:rFonts w:ascii="宋体" w:hAnsi="宋体" w:eastAsia="宋体" w:cs="宋体"/>
                <w:color w:val="auto"/>
                <w:kern w:val="0"/>
                <w:sz w:val="24"/>
                <w:szCs w:val="24"/>
              </w:rPr>
            </w:pPr>
          </w:p>
        </w:tc>
        <w:tc>
          <w:tcPr>
            <w:tcW w:w="4365"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2B02A9">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（七）总计</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4466993">
            <w:pPr>
              <w:keepNext w:val="0"/>
              <w:keepLines w:val="0"/>
              <w:widowControl/>
              <w:suppressLineNumbers w:val="0"/>
              <w:jc w:val="right"/>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55A5B0">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030B2E">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B6ABD19">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858E67D">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E5B1098">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3B704A">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r>
      <w:tr w14:paraId="6D720EEC">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5B438DE">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四、结转下年度继续办理</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3709C2F">
            <w:pPr>
              <w:keepNext w:val="0"/>
              <w:keepLines w:val="0"/>
              <w:widowControl/>
              <w:suppressLineNumbers w:val="0"/>
              <w:jc w:val="righ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C58A39E">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9EB0791">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06370C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B7442C7">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D58255F">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7ABAA2C">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snapToGrid w:val="0"/>
                <w:color w:val="000000"/>
                <w:kern w:val="0"/>
                <w:sz w:val="22"/>
                <w:szCs w:val="22"/>
                <w:u w:val="none"/>
                <w:lang w:val="en-US" w:eastAsia="zh-CN" w:bidi="ar"/>
              </w:rPr>
              <w:t>0</w:t>
            </w:r>
          </w:p>
        </w:tc>
      </w:tr>
    </w:tbl>
    <w:p w14:paraId="062C0BFB">
      <w:pPr>
        <w:widowControl/>
        <w:shd w:val="clear" w:color="auto" w:fill="FFFFFF"/>
        <w:jc w:val="both"/>
        <w:rPr>
          <w:rFonts w:hint="eastAsia" w:ascii="宋体" w:hAnsi="宋体" w:eastAsia="宋体" w:cs="宋体"/>
          <w:color w:val="auto"/>
          <w:kern w:val="0"/>
          <w:sz w:val="24"/>
          <w:szCs w:val="24"/>
        </w:rPr>
      </w:pPr>
    </w:p>
    <w:p w14:paraId="71DCF3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4" w:firstLineChars="200"/>
        <w:textAlignment w:val="baseline"/>
        <w:rPr>
          <w:rFonts w:hint="eastAsia" w:ascii="黑体" w:hAnsi="黑体" w:eastAsia="黑体" w:cs="黑体"/>
          <w:color w:val="auto"/>
          <w:spacing w:val="6"/>
          <w:sz w:val="32"/>
          <w:szCs w:val="32"/>
          <w:lang w:val="en-US" w:eastAsia="zh-CN"/>
        </w:rPr>
      </w:pPr>
      <w:r>
        <w:rPr>
          <w:rFonts w:hint="eastAsia" w:ascii="黑体" w:hAnsi="黑体" w:eastAsia="黑体" w:cs="黑体"/>
          <w:color w:val="auto"/>
          <w:spacing w:val="6"/>
          <w:sz w:val="32"/>
          <w:szCs w:val="32"/>
          <w:lang w:val="en-US" w:eastAsia="zh-CN"/>
        </w:rPr>
        <w:t>四、政府信息公开行政复议、行政诉讼情况</w:t>
      </w:r>
    </w:p>
    <w:p w14:paraId="1BADCE6B">
      <w:pPr>
        <w:widowControl/>
        <w:shd w:val="clear" w:color="auto" w:fill="FFFFFF"/>
        <w:jc w:val="center"/>
        <w:rPr>
          <w:rFonts w:hint="eastAsia" w:ascii="宋体" w:hAnsi="宋体" w:eastAsia="宋体" w:cs="宋体"/>
          <w:color w:val="auto"/>
          <w:kern w:val="0"/>
          <w:sz w:val="24"/>
          <w:szCs w:val="24"/>
        </w:rPr>
      </w:pP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E0790D9">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18B9DE">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DDB2ED">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行政诉讼</w:t>
            </w:r>
          </w:p>
        </w:tc>
      </w:tr>
      <w:tr w14:paraId="4A1FABAD">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D477DB">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结果维持</w:t>
            </w:r>
          </w:p>
        </w:tc>
        <w:tc>
          <w:tcPr>
            <w:tcW w:w="642"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A74E4B">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结果</w:t>
            </w:r>
          </w:p>
          <w:p w14:paraId="3B2C9CE4">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D7A151">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其他</w:t>
            </w:r>
          </w:p>
          <w:p w14:paraId="74844484">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819748">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尚未</w:t>
            </w:r>
          </w:p>
          <w:p w14:paraId="5FA737CF">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F8049C">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2CAC13">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6C7FC8">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复议后起诉</w:t>
            </w:r>
          </w:p>
        </w:tc>
      </w:tr>
      <w:tr w14:paraId="64D08508">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21D960D8">
            <w:pPr>
              <w:widowControl/>
              <w:jc w:val="left"/>
              <w:rPr>
                <w:rFonts w:ascii="宋体" w:hAnsi="宋体" w:eastAsia="宋体" w:cs="宋体"/>
                <w:color w:val="auto"/>
                <w:kern w:val="0"/>
                <w:sz w:val="21"/>
                <w:szCs w:val="21"/>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250ED157">
            <w:pPr>
              <w:widowControl/>
              <w:jc w:val="left"/>
              <w:rPr>
                <w:rFonts w:ascii="宋体" w:hAnsi="宋体" w:eastAsia="宋体" w:cs="宋体"/>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3327158">
            <w:pPr>
              <w:widowControl/>
              <w:jc w:val="left"/>
              <w:rPr>
                <w:rFonts w:ascii="宋体" w:hAnsi="宋体" w:eastAsia="宋体" w:cs="宋体"/>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09936D1">
            <w:pPr>
              <w:widowControl/>
              <w:jc w:val="left"/>
              <w:rPr>
                <w:rFonts w:ascii="宋体" w:hAnsi="宋体" w:eastAsia="宋体" w:cs="宋体"/>
                <w:color w:val="auto"/>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B41DD88">
            <w:pPr>
              <w:widowControl/>
              <w:jc w:val="left"/>
              <w:rPr>
                <w:rFonts w:ascii="宋体" w:hAnsi="宋体" w:eastAsia="宋体" w:cs="宋体"/>
                <w:color w:val="auto"/>
                <w:kern w:val="0"/>
                <w:sz w:val="21"/>
                <w:szCs w:val="21"/>
              </w:rPr>
            </w:pP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25569E">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结果</w:t>
            </w:r>
          </w:p>
          <w:p w14:paraId="03D7AF58">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维持</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CC090C">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结果</w:t>
            </w:r>
          </w:p>
          <w:p w14:paraId="4060BF2F">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纠正</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AC7660">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其他</w:t>
            </w:r>
          </w:p>
          <w:p w14:paraId="1FB2F23F">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结果</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29986E">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尚未</w:t>
            </w:r>
          </w:p>
          <w:p w14:paraId="4934BE81">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审结</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9C8FD3">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总计</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A2353E">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结果</w:t>
            </w:r>
          </w:p>
          <w:p w14:paraId="337F58AE">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维持</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3D9B45">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结果</w:t>
            </w:r>
          </w:p>
          <w:p w14:paraId="5A54FB7E">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纠正</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E1511E">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其他</w:t>
            </w:r>
          </w:p>
          <w:p w14:paraId="6F8CC7E2">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结果</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5C0214">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尚未</w:t>
            </w:r>
          </w:p>
          <w:p w14:paraId="5FE19A9C">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审结</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6A59CAC">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总计</w:t>
            </w:r>
          </w:p>
        </w:tc>
      </w:tr>
      <w:tr w14:paraId="4F33CDCC">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F7810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F99D33">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E48E14">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62DC43E">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D16568">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4A3B2C">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70A4D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0E702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AB584A">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8575F8">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2E4C57">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E5FFA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6BDC5">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6FE54D">
            <w:pPr>
              <w:widowControl/>
              <w:jc w:val="center"/>
              <w:rPr>
                <w:rFonts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65CF65">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r>
    </w:tbl>
    <w:p w14:paraId="63EB8897">
      <w:pPr>
        <w:widowControl/>
        <w:jc w:val="left"/>
        <w:rPr>
          <w:rFonts w:hint="eastAsia" w:ascii="宋体" w:hAnsi="宋体" w:eastAsia="宋体" w:cs="宋体"/>
          <w:color w:val="auto"/>
          <w:kern w:val="0"/>
          <w:sz w:val="24"/>
          <w:szCs w:val="24"/>
          <w:lang w:eastAsia="zh-CN"/>
        </w:rPr>
      </w:pPr>
    </w:p>
    <w:p w14:paraId="412050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4" w:firstLineChars="200"/>
        <w:textAlignment w:val="baseline"/>
        <w:rPr>
          <w:rFonts w:hint="eastAsia" w:ascii="黑体" w:hAnsi="黑体" w:eastAsia="黑体" w:cs="黑体"/>
          <w:color w:val="auto"/>
          <w:spacing w:val="6"/>
          <w:sz w:val="32"/>
          <w:szCs w:val="32"/>
          <w:lang w:val="en-US" w:eastAsia="zh-CN"/>
        </w:rPr>
      </w:pPr>
      <w:r>
        <w:rPr>
          <w:rFonts w:hint="eastAsia" w:ascii="黑体" w:hAnsi="黑体" w:eastAsia="黑体" w:cs="黑体"/>
          <w:color w:val="auto"/>
          <w:spacing w:val="6"/>
          <w:sz w:val="32"/>
          <w:szCs w:val="32"/>
          <w:lang w:val="en-US" w:eastAsia="zh-CN"/>
        </w:rPr>
        <w:t>五、存在的主要问题及改进情况</w:t>
      </w:r>
    </w:p>
    <w:p w14:paraId="60A027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仿宋_GB2312" w:hAnsi="仿宋_GB2312" w:eastAsia="仿宋_GB2312" w:cs="仿宋_GB2312"/>
          <w:color w:val="auto"/>
          <w:spacing w:val="12"/>
          <w:sz w:val="32"/>
          <w:szCs w:val="32"/>
          <w:lang w:val="en-US" w:eastAsia="en-US"/>
        </w:rPr>
      </w:pPr>
      <w:r>
        <w:rPr>
          <w:rFonts w:hint="eastAsia" w:ascii="仿宋_GB2312" w:hAnsi="仿宋_GB2312" w:eastAsia="仿宋_GB2312" w:cs="仿宋_GB2312"/>
          <w:color w:val="auto"/>
          <w:spacing w:val="12"/>
          <w:sz w:val="32"/>
          <w:szCs w:val="32"/>
          <w:lang w:val="en-US" w:eastAsia="en-US"/>
        </w:rPr>
        <w:t>2025年，我局政府信息公开工作虽取得一定进展，但对标新时代政务公开的高标准、严要求，仍存在一些亟待改进的薄弱环节：一是主动公开的深度与广度有待拓展。 当前公开内容多集中于常规性工作，与公众关切、社会期待以及审计监督重点的结合不够紧密；公开形式以传统文本为主，在利用图表、解读、新媒体等多样化、易理解方式上创新不足，信息获取的便利性与可读性有待提升。二是业务能力与工作标准存在差距。 随着政务公开工作的内涵不断深化、要求持续提高，相关人员在政策理解的精准性、流程操作的规范性以及复杂申请的处理能力等方面，仍需进一步加强系统性学习和实战锻炼，以全面适应新形势下专业化、精细化的工作要求。</w:t>
      </w:r>
    </w:p>
    <w:p w14:paraId="6F1A63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方正仿宋_GB2312" w:hAnsi="方正仿宋_GB2312" w:eastAsia="方正仿宋_GB2312" w:cs="方正仿宋_GB2312"/>
          <w:color w:val="auto"/>
          <w:spacing w:val="13"/>
          <w:sz w:val="32"/>
          <w:szCs w:val="32"/>
          <w:lang w:val="en-US" w:eastAsia="en-US"/>
        </w:rPr>
      </w:pPr>
      <w:r>
        <w:rPr>
          <w:rFonts w:hint="eastAsia" w:ascii="仿宋_GB2312" w:hAnsi="仿宋_GB2312" w:eastAsia="仿宋_GB2312" w:cs="仿宋_GB2312"/>
          <w:color w:val="auto"/>
          <w:spacing w:val="12"/>
          <w:sz w:val="32"/>
          <w:szCs w:val="32"/>
          <w:lang w:val="en-US" w:eastAsia="en-US"/>
        </w:rPr>
        <w:t>针对以上不足，下一步，我局将坚持问题导向，精准施策，全力推动政务公开工作提质增效：一是深化内容建设，拓展公开维度。 严格执行上级部署，紧密围绕审计中心工作与社会公众需求，动态扩展主动公开目录，重点加大审计结果公告、政策解读、履职情况等关键信息的公开力度与完整性，切实保障人民群众的知情权、参与权和监督权。二是强化能力培训，提升专业素养。 组织开展专项业务培训与学习研讨，系统解读最新政策法规和工作要求，熟练掌握信息公开各环节操作规范，着力打造一支熟知政策、精通业务、作风扎实的工作队伍。三是优化工作机制，促进学习交流。 主动加强与上级部门及兄弟单位的沟通，积极借鉴先进经验与优秀做法；结合本局实际，持续优化内部信息管理、发布审核、协调联动等机制，积极探索公开形式创新，不断提升政务公开工作的规范化、标准化水平与服务效能。</w:t>
      </w:r>
    </w:p>
    <w:p w14:paraId="06DB85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4" w:firstLineChars="200"/>
        <w:textAlignment w:val="baseline"/>
        <w:rPr>
          <w:rFonts w:hint="eastAsia" w:ascii="黑体" w:hAnsi="黑体" w:eastAsia="黑体" w:cs="黑体"/>
          <w:color w:val="auto"/>
          <w:spacing w:val="6"/>
          <w:sz w:val="32"/>
          <w:szCs w:val="32"/>
          <w:lang w:val="en-US" w:eastAsia="zh-CN"/>
        </w:rPr>
      </w:pPr>
      <w:r>
        <w:rPr>
          <w:rFonts w:hint="eastAsia" w:ascii="黑体" w:hAnsi="黑体" w:eastAsia="黑体" w:cs="黑体"/>
          <w:color w:val="auto"/>
          <w:spacing w:val="6"/>
          <w:sz w:val="32"/>
          <w:szCs w:val="32"/>
          <w:lang w:val="en-US" w:eastAsia="zh-CN"/>
        </w:rPr>
        <w:t>六、其他需要报告的事项</w:t>
      </w:r>
    </w:p>
    <w:p w14:paraId="71624C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仿宋_GB2312" w:hAnsi="仿宋_GB2312" w:eastAsia="仿宋_GB2312" w:cs="仿宋_GB2312"/>
          <w:color w:val="auto"/>
          <w:spacing w:val="12"/>
          <w:sz w:val="32"/>
          <w:szCs w:val="32"/>
          <w:lang w:val="en-US" w:eastAsia="zh-CN"/>
        </w:rPr>
      </w:pPr>
      <w:r>
        <w:rPr>
          <w:rFonts w:hint="eastAsia" w:ascii="仿宋_GB2312" w:hAnsi="仿宋_GB2312" w:eastAsia="仿宋_GB2312" w:cs="仿宋_GB2312"/>
          <w:color w:val="auto"/>
          <w:spacing w:val="12"/>
          <w:sz w:val="32"/>
          <w:szCs w:val="32"/>
          <w:lang w:val="en-US" w:eastAsia="en-US"/>
        </w:rPr>
        <w:t>202</w:t>
      </w:r>
      <w:r>
        <w:rPr>
          <w:rFonts w:hint="eastAsia" w:ascii="仿宋_GB2312" w:hAnsi="仿宋_GB2312" w:eastAsia="仿宋_GB2312" w:cs="仿宋_GB2312"/>
          <w:color w:val="auto"/>
          <w:spacing w:val="12"/>
          <w:sz w:val="32"/>
          <w:szCs w:val="32"/>
          <w:lang w:val="en-US" w:eastAsia="zh-CN"/>
        </w:rPr>
        <w:t>5</w:t>
      </w:r>
      <w:r>
        <w:rPr>
          <w:rFonts w:hint="eastAsia" w:ascii="仿宋_GB2312" w:hAnsi="仿宋_GB2312" w:eastAsia="仿宋_GB2312" w:cs="仿宋_GB2312"/>
          <w:color w:val="auto"/>
          <w:spacing w:val="12"/>
          <w:sz w:val="32"/>
          <w:szCs w:val="32"/>
          <w:lang w:val="en-US" w:eastAsia="en-US"/>
        </w:rPr>
        <w:t>年度无依申请公开收费情况。</w:t>
      </w:r>
    </w:p>
    <w:p w14:paraId="51E78409">
      <w:pPr>
        <w:ind w:right="212"/>
        <w:rPr>
          <w:rFonts w:hint="eastAsia" w:ascii="方正黑体_GBK" w:hAnsi="方正黑体_GBK" w:eastAsia="方正黑体_GBK" w:cs="方正黑体_GBK"/>
          <w:color w:val="auto"/>
          <w:sz w:val="32"/>
          <w:szCs w:val="32"/>
          <w:lang w:eastAsia="zh-CN"/>
        </w:rPr>
      </w:pPr>
    </w:p>
    <w:p w14:paraId="60B6FCE2">
      <w:pPr>
        <w:rPr>
          <w:color w:val="auto"/>
        </w:rPr>
      </w:pPr>
    </w:p>
    <w:p w14:paraId="25B46A52"/>
    <w:sectPr>
      <w:footerReference r:id="rId5" w:type="default"/>
      <w:pgSz w:w="11906" w:h="16839"/>
      <w:pgMar w:top="1431" w:right="1588" w:bottom="1163" w:left="1601"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4A616C-C4EB-4A8A-9EC9-E003402935FD}"/>
  </w:font>
  <w:font w:name="黑体">
    <w:panose1 w:val="02010609060101010101"/>
    <w:charset w:val="86"/>
    <w:family w:val="auto"/>
    <w:pitch w:val="default"/>
    <w:sig w:usb0="800002BF" w:usb1="38CF7CFA" w:usb2="00000016" w:usb3="00000000" w:csb0="00040001" w:csb1="00000000"/>
    <w:embedRegular r:id="rId2" w:fontKey="{23774684-D439-4E72-B6D5-0A95F384D8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7AB5A84-63AE-4A7A-B2B8-EFEDDC5FE913}"/>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6AA337F7-5AC6-44B4-BF6E-6CF99D942B35}"/>
  </w:font>
  <w:font w:name="微软雅黑">
    <w:panose1 w:val="020B0503020204020204"/>
    <w:charset w:val="86"/>
    <w:family w:val="auto"/>
    <w:pitch w:val="default"/>
    <w:sig w:usb0="80000287" w:usb1="2ACF3C50" w:usb2="00000016" w:usb3="00000000" w:csb0="0004001F" w:csb1="00000000"/>
    <w:embedRegular r:id="rId5" w:fontKey="{CE061040-359D-4110-A6F6-E9CE80905BA9}"/>
  </w:font>
  <w:font w:name="楷体_GB2312">
    <w:panose1 w:val="02010609030101010101"/>
    <w:charset w:val="86"/>
    <w:family w:val="auto"/>
    <w:pitch w:val="default"/>
    <w:sig w:usb0="00000001" w:usb1="080E0000" w:usb2="00000000" w:usb3="00000000" w:csb0="00040000" w:csb1="00000000"/>
    <w:embedRegular r:id="rId6" w:fontKey="{E782E3EB-E863-48BF-A2B5-0E62CF0B7473}"/>
  </w:font>
  <w:font w:name="方正仿宋_GB2312">
    <w:panose1 w:val="02000000000000000000"/>
    <w:charset w:val="86"/>
    <w:family w:val="auto"/>
    <w:pitch w:val="default"/>
    <w:sig w:usb0="A00002BF" w:usb1="184F6CFA" w:usb2="00000012" w:usb3="00000000" w:csb0="00040001" w:csb1="00000000"/>
    <w:embedRegular r:id="rId7" w:fontKey="{FCB04329-20D5-4BD6-A6B7-2C7F51467555}"/>
  </w:font>
  <w:font w:name="楷体">
    <w:panose1 w:val="02010609060101010101"/>
    <w:charset w:val="86"/>
    <w:family w:val="auto"/>
    <w:pitch w:val="default"/>
    <w:sig w:usb0="800002BF" w:usb1="38CF7CFA" w:usb2="00000016" w:usb3="00000000" w:csb0="00040001" w:csb1="00000000"/>
    <w:embedRegular r:id="rId8" w:fontKey="{A1D74831-DA91-479A-A264-D61141C37485}"/>
  </w:font>
  <w:font w:name="方正黑体_GBK">
    <w:altName w:val="微软雅黑"/>
    <w:panose1 w:val="02000000000000000000"/>
    <w:charset w:val="86"/>
    <w:family w:val="auto"/>
    <w:pitch w:val="default"/>
    <w:sig w:usb0="00000000" w:usb1="00000000" w:usb2="00000000" w:usb3="00000000" w:csb0="00040000" w:csb1="00000000"/>
    <w:embedRegular r:id="rId9" w:fontKey="{582C0360-D9B7-460C-A261-A4BCE8C98BEE}"/>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5DA0A">
    <w:pPr>
      <w:spacing w:line="187" w:lineRule="auto"/>
      <w:ind w:left="4309"/>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6F81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06F81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A0E87"/>
    <w:rsid w:val="0B177E66"/>
    <w:rsid w:val="0DD203DE"/>
    <w:rsid w:val="186E5FD9"/>
    <w:rsid w:val="35B3497A"/>
    <w:rsid w:val="364F18A8"/>
    <w:rsid w:val="3CAB5709"/>
    <w:rsid w:val="4286740D"/>
    <w:rsid w:val="510A0E87"/>
    <w:rsid w:val="540C51D3"/>
    <w:rsid w:val="7AF5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1209</Words>
  <Characters>1238</Characters>
  <Lines>0</Lines>
  <Paragraphs>0</Paragraphs>
  <TotalTime>2</TotalTime>
  <ScaleCrop>false</ScaleCrop>
  <LinksUpToDate>false</LinksUpToDate>
  <CharactersWithSpaces>1251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2026-01-23T01:45:00Z</dcterms:created>
  <dc:creator>王凯</dc:creator>
  <cp:lastModifiedBy>王凯</cp:lastModifiedBy>
  <dcterms:modified xsi:type="dcterms:W3CDTF">2026-01-23T09:30:15Z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A5CDB6C27C664F198DEA542089254B38_11</vt:lpwstr>
  </property>
  <property fmtid="{D5CDD505-2E9C-101B-9397-08002B2CF9AE}" pid="4" name="KSOTemplateDocerSaveRecord">
    <vt:lpwstr>eyJoZGlkIjoiMDIxOTI4MTM1YTQzODY0YjYxMDhhNWI2NGMwY2FmOTQiLCJ1c2VySWQiOiI1NDA0NTk1OTcifQ==</vt:lpwstr>
  </property>
</Properties>
</file>