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F7FFE">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Style w:val="9"/>
          <w:rFonts w:hint="default" w:ascii="Times New Roman" w:hAnsi="Times New Roman" w:eastAsia="方正小标宋简体" w:cs="Times New Roman"/>
          <w:b w:val="0"/>
          <w:bCs/>
          <w:i w:val="0"/>
          <w:caps w:val="0"/>
          <w:spacing w:val="0"/>
          <w:w w:val="100"/>
          <w:kern w:val="0"/>
          <w:sz w:val="44"/>
          <w:szCs w:val="44"/>
          <w:lang w:val="en-US" w:eastAsia="zh-CN" w:bidi="ar-SA"/>
        </w:rPr>
      </w:pPr>
      <w:r>
        <w:rPr>
          <w:rStyle w:val="9"/>
          <w:rFonts w:hint="default" w:ascii="Times New Roman" w:hAnsi="Times New Roman" w:eastAsia="方正小标宋简体" w:cs="Times New Roman"/>
          <w:b w:val="0"/>
          <w:bCs/>
          <w:i w:val="0"/>
          <w:caps w:val="0"/>
          <w:spacing w:val="0"/>
          <w:w w:val="100"/>
          <w:kern w:val="0"/>
          <w:sz w:val="44"/>
          <w:szCs w:val="44"/>
          <w:lang w:val="en-US" w:eastAsia="zh-CN" w:bidi="ar-SA"/>
        </w:rPr>
        <w:t>东丽区2024年度区级预算执行和其他财政</w:t>
      </w:r>
    </w:p>
    <w:p w14:paraId="75662C3C">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Style w:val="9"/>
          <w:rFonts w:hint="default" w:ascii="Times New Roman" w:hAnsi="Times New Roman" w:eastAsia="方正小标宋简体" w:cs="Times New Roman"/>
          <w:b w:val="0"/>
          <w:bCs/>
          <w:i w:val="0"/>
          <w:caps w:val="0"/>
          <w:spacing w:val="0"/>
          <w:w w:val="100"/>
          <w:kern w:val="0"/>
          <w:sz w:val="44"/>
          <w:szCs w:val="44"/>
          <w:lang w:val="en-US" w:eastAsia="zh-CN" w:bidi="ar-SA"/>
        </w:rPr>
      </w:pPr>
      <w:r>
        <w:rPr>
          <w:rStyle w:val="9"/>
          <w:rFonts w:hint="default" w:ascii="Times New Roman" w:hAnsi="Times New Roman" w:eastAsia="方正小标宋简体" w:cs="Times New Roman"/>
          <w:b w:val="0"/>
          <w:bCs/>
          <w:i w:val="0"/>
          <w:caps w:val="0"/>
          <w:spacing w:val="0"/>
          <w:w w:val="100"/>
          <w:kern w:val="0"/>
          <w:sz w:val="44"/>
          <w:szCs w:val="44"/>
          <w:lang w:val="en-US" w:eastAsia="zh-CN" w:bidi="ar-SA"/>
        </w:rPr>
        <w:t>收支审计查出问题整改情况的报告</w:t>
      </w:r>
    </w:p>
    <w:p w14:paraId="4F0F38FA">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Style w:val="9"/>
          <w:rFonts w:hint="default" w:ascii="Times New Roman" w:hAnsi="Times New Roman" w:eastAsia="方正小标宋简体" w:cs="Times New Roman"/>
          <w:b w:val="0"/>
          <w:bCs/>
          <w:i w:val="0"/>
          <w:caps w:val="0"/>
          <w:spacing w:val="0"/>
          <w:w w:val="100"/>
          <w:kern w:val="2"/>
          <w:sz w:val="44"/>
          <w:szCs w:val="44"/>
          <w:lang w:val="en-US" w:eastAsia="zh-CN" w:bidi="ar-SA"/>
        </w:rPr>
      </w:pPr>
    </w:p>
    <w:p w14:paraId="61EEDD1C">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Style w:val="9"/>
          <w:rFonts w:hint="default" w:ascii="Times New Roman" w:hAnsi="Times New Roman" w:eastAsia="楷体_GB2312" w:cs="Times New Roman"/>
          <w:b w:val="0"/>
          <w:i w:val="0"/>
          <w:caps w:val="0"/>
          <w:spacing w:val="-11"/>
          <w:w w:val="100"/>
          <w:kern w:val="2"/>
          <w:sz w:val="32"/>
          <w:szCs w:val="32"/>
          <w:lang w:val="en-US" w:eastAsia="zh-CN" w:bidi="ar-SA"/>
        </w:rPr>
      </w:pPr>
      <w:r>
        <w:rPr>
          <w:rStyle w:val="9"/>
          <w:rFonts w:hint="default" w:ascii="Times New Roman" w:hAnsi="Times New Roman" w:eastAsia="楷体_GB2312" w:cs="Times New Roman"/>
          <w:b w:val="0"/>
          <w:i w:val="0"/>
          <w:caps w:val="0"/>
          <w:spacing w:val="0"/>
          <w:w w:val="100"/>
          <w:kern w:val="2"/>
          <w:sz w:val="32"/>
          <w:szCs w:val="32"/>
          <w:lang w:val="en-US" w:eastAsia="zh-CN" w:bidi="ar-SA"/>
        </w:rPr>
        <w:t xml:space="preserve">—2025年12月26日 </w:t>
      </w:r>
      <w:r>
        <w:rPr>
          <w:rStyle w:val="9"/>
          <w:rFonts w:hint="default" w:ascii="Times New Roman" w:hAnsi="Times New Roman" w:eastAsia="楷体_GB2312" w:cs="Times New Roman"/>
          <w:b w:val="0"/>
          <w:i w:val="0"/>
          <w:caps w:val="0"/>
          <w:spacing w:val="-11"/>
          <w:w w:val="100"/>
          <w:kern w:val="2"/>
          <w:sz w:val="32"/>
          <w:szCs w:val="32"/>
          <w:lang w:val="en-US" w:eastAsia="zh-CN" w:bidi="ar-SA"/>
        </w:rPr>
        <w:t>在区十八届人大常委会第三十次会议上</w:t>
      </w:r>
    </w:p>
    <w:p w14:paraId="77F8FFC2">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Style w:val="9"/>
          <w:rFonts w:hint="default" w:ascii="Times New Roman" w:hAnsi="Times New Roman" w:eastAsia="楷体_GB2312" w:cs="Times New Roman"/>
          <w:b w:val="0"/>
          <w:i w:val="0"/>
          <w:caps w:val="0"/>
          <w:spacing w:val="0"/>
          <w:w w:val="100"/>
          <w:kern w:val="2"/>
          <w:sz w:val="32"/>
          <w:szCs w:val="32"/>
          <w:lang w:val="en-US" w:eastAsia="zh-CN" w:bidi="ar-SA"/>
        </w:rPr>
      </w:pPr>
      <w:r>
        <w:rPr>
          <w:rStyle w:val="9"/>
          <w:rFonts w:hint="default" w:ascii="Times New Roman" w:hAnsi="Times New Roman" w:eastAsia="楷体_GB2312" w:cs="Times New Roman"/>
          <w:b w:val="0"/>
          <w:i w:val="0"/>
          <w:caps w:val="0"/>
          <w:spacing w:val="0"/>
          <w:w w:val="100"/>
          <w:kern w:val="2"/>
          <w:sz w:val="32"/>
          <w:szCs w:val="32"/>
          <w:lang w:val="en-US" w:eastAsia="zh-CN" w:bidi="ar-SA"/>
        </w:rPr>
        <w:t>区审计局局长  柴梅</w:t>
      </w:r>
    </w:p>
    <w:p w14:paraId="7CFFFAB2">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Style w:val="9"/>
          <w:rFonts w:hint="default" w:ascii="Times New Roman" w:hAnsi="Times New Roman" w:eastAsia="仿宋_GB2312" w:cs="Times New Roman"/>
          <w:b w:val="0"/>
          <w:i w:val="0"/>
          <w:caps w:val="0"/>
          <w:spacing w:val="0"/>
          <w:w w:val="100"/>
          <w:kern w:val="2"/>
          <w:sz w:val="32"/>
          <w:szCs w:val="32"/>
          <w:lang w:val="en-US" w:eastAsia="zh-CN" w:bidi="ar-SA"/>
        </w:rPr>
      </w:pPr>
    </w:p>
    <w:p w14:paraId="50B370D3">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spacing w:val="0"/>
          <w:w w:val="100"/>
          <w:kern w:val="2"/>
          <w:sz w:val="32"/>
          <w:szCs w:val="32"/>
          <w:lang w:val="en-US" w:eastAsia="zh-CN" w:bidi="ar-SA"/>
        </w:rPr>
        <w:t>主任、各位副主任、各位委员：</w:t>
      </w:r>
    </w:p>
    <w:p w14:paraId="522DE3D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受区人民政府委托，我向区人大常委会报告我区2024年度区级预算执行和其他财政收支审计查出问题整改情况的报告，请予审议。</w:t>
      </w:r>
    </w:p>
    <w:p w14:paraId="2AD9C42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根据审计法相关规定和区委、区政府工作部署，区委审计办、区审计局坚持将审计整改“下半篇文章”和审计揭示问题“上半篇文章”一体推进，深入推动2024年度区级预算执行和其他财政收支情况审计查出问题整改工作，以有力有效审计整改推动经济社会高质量发展。现将有关情况报告如下：</w:t>
      </w:r>
    </w:p>
    <w:p w14:paraId="00B8171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一、审计整改工作部署和成效</w:t>
      </w:r>
    </w:p>
    <w:p w14:paraId="3126920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区委、区政府深入贯彻习近平总书记关于审计整改工作的重要讲话精神，全面落实党中央关于建立健全审计整改长效机制的意见，始终将审计整改工作作为一项重大政治任务，要求相关单位严格落实审计整改主体责任和监督管理责任。全区各部门、各单位坚决贯彻落实区委、区政府关于审计整改工作的部署要求，审计整改工作进展顺利。</w:t>
      </w:r>
    </w:p>
    <w:p w14:paraId="6B7E305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（一）高位推动，整改责任压得更实。</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区委主要负责同志在历次审计委员会上都突出强调审计整改工作，并多次对审计整改作出指示批示。区政府常态化召开常务会议和专题会议研究审计发现问题的整改落实，要求各相关单位坚决扛起审计整改政治责任，对审计查出的问题进行全面自查自纠，举一反三，源头防范，确保整改工作取得实效。承担整改任务的相关单位高度重视审计整改工作，认真贯彻落实有关精神和整改要求，主要负责同志切实增强抓整改的主动性，把抓好审计整改放在更加突出的位置，将整改责任落实落细。</w:t>
      </w:r>
    </w:p>
    <w:p w14:paraId="0F4F8DB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（二）协同联动，整改推动措施更加有效。</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区审计局着力构建“台账管理、动态跟踪、精准督办、协同联动”整改闭环机制，审计整改推动有力有效。通过健全完善整改跟踪台账、召开问题反馈会、整改推动会，制发审计整改催办函和审计专报领导批阅办理通知单近20份，实现整改管理更加细化，整改推动措施更加精准。按照《东丽区审计发现常见问题整改操作指南》，指导各单位严格整改标准，解决整改不彻底、不规范问题。通过深化协同联动，常态化与区纪委监委、区检察院等单位对接移送案件线索等方式，达到“审计一点、规范一片”联动效应。通过强力推动，上一年度未完成整改的12个问题中，截至目前10个问题已整改到位，其余2个问题未到整改期限，正按计划有序推进。</w:t>
      </w:r>
    </w:p>
    <w:p w14:paraId="22A797F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（三）标本兼治，整改成效更加显著。</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各有关单位对审计查出问题深入分析成因，研究整改方案，细化整改措施，逐项狠抓落实。被审计单位认真落实整改主体责任，不断增强抓整改的主动性，如，区城投集团主要负责人亲自挂帅指挥，推动解决整改中的难点和堵点；万新街道以审计整改为契机，切实提高为民服务意识。相关主管部门扎实履行监督管理责任，如，区发改委组织召开老旧小区项目审计整改推动会，促进政府投资项目集中管理水平提升；区财政局围绕财政预算执行审计查出的问题向相关单位发送审计整改提示函，有效提升审计整改质量。截至目前，审计报告中要求立行立改的104个问题，已全部完成整改，整改率为100%；37个分阶段整改问题中，19个问题已提前整改到位，18个问题完成阶段性整改目标；5个持续整改问题中，1个问题已提前整改到位，4个问题完成阶段性整改目标。</w:t>
      </w:r>
    </w:p>
    <w:p w14:paraId="541707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二、审计查出问题的整改情况​</w:t>
      </w:r>
    </w:p>
    <w:p w14:paraId="0D73703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东丽区2024年度区级预算执行和其他财政收支的审计工作报告》共反映五个方面、146个问题，相关单位按照整改要求和计划，采取上缴国库、调整账目、落实重大政策、加强国有资产管理等方式完成整改124个，剩余22个问题正在推进中，具体情况如下：​</w:t>
      </w:r>
    </w:p>
    <w:p w14:paraId="09DB2CC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（一）区级预算执行和决算草案审计方面</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w:t>
      </w:r>
    </w:p>
    <w:p w14:paraId="01DB0C7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审计发现8个问题，其中：立行立改问题7个，均已完成整改；分阶段整改问题1个，已完成整改。</w:t>
      </w:r>
    </w:p>
    <w:p w14:paraId="6450869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（二）区级部门预算执行审计方面</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w:t>
      </w:r>
    </w:p>
    <w:p w14:paraId="2CA9CFD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审计发现14个问题，均为立行立改问题，已全部完成整改。</w:t>
      </w:r>
    </w:p>
    <w:p w14:paraId="60388A9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（三）街道园区财政财务收支审计方面</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w:t>
      </w:r>
    </w:p>
    <w:p w14:paraId="0AA0155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审计发现19个问题，其中：立行立改问题16个，已全部完成整改；分阶段整改问题2个，1个已完成整改，1个正在整改中；持续整改问题1个，已完成整改。</w:t>
      </w:r>
    </w:p>
    <w:p w14:paraId="1C824B5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213.88万元结转结余资金未上缴国库问题。此问题为分阶段整改问题。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已逐项分析各项资金用途，并制定上缴计划，因</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单位</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资金紧张，计划于2026年6月底前上缴国库。</w:t>
      </w:r>
    </w:p>
    <w:p w14:paraId="276FF3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（四）重大项目和重点民生资金审计方面</w:t>
      </w:r>
    </w:p>
    <w:p w14:paraId="2D1EF6D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审计发现37个问题，其中：立行立改问题36个，均已完成整改；分阶段整改问题1个，正在整改中。</w:t>
      </w:r>
    </w:p>
    <w:p w14:paraId="41CBB11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2.关于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7.02亩高标准农田后期管护不到位，存在非农化问题。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此问题为分阶段整改问题。共涉及5处“非农化”点位，其中2处已完成整改，1处</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单位</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正与规资等部门协调对现有耕地范围进行调整，将新调入地块改造为高标准农田，另外2处因涉及农户权益，计划于2026年6月完成整改。</w:t>
      </w:r>
    </w:p>
    <w:p w14:paraId="67D0DA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（五）国有资产审计方面</w:t>
      </w:r>
    </w:p>
    <w:p w14:paraId="11BF35C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审计发现68个问题，其中：立行立改问题31个，均已完成整改；分阶段整改问题33个，17个已完成整改，16个正在整改中；持续整改问题4个，均在整改中。</w:t>
      </w:r>
    </w:p>
    <w:p w14:paraId="6C7C373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3.关于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未严格履行出租载体管理职责，1666万元房租未收缴问题。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此问题为分阶段整改问题。一是经区国资委等部门逐级审批，准备将717.3万元未缴纳房租作为入股出资</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一家欠交租金公司</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的实缴出资，待报区政府审批后实施。二是正在与</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另一家欠缴租金公司</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核算考核期内产值和税收情况，如核算结果能达到考核要求将给予企业免租。三是</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对其他欠缴租金公司</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启动法律诉讼程序</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，通过法律途径追回租金</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w:t>
      </w:r>
    </w:p>
    <w:p w14:paraId="504861E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4.关于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资产盘亏4.09万元问题。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为分阶段整改问题。一是已修订固定资产管理制度，规范流程，进一步加强固定资产管理。二是制定2025年固定资产管理工作计划，拟聘请第三方机构开展资产盘点工作，目前正准备与第三方机构签订服务合同。</w:t>
      </w:r>
    </w:p>
    <w:p w14:paraId="27BD265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5.关于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资产盘亏171.36万元问题。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此问题为分阶段整改问题。全面梳理核查原合作交流办公室资产，已将价值为125.15万元的电脑、空调及4辆轿车等盘亏资产处置完毕，剩余3辆车正在查找历史资料积极处置。</w:t>
      </w:r>
    </w:p>
    <w:p w14:paraId="5DE466C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6.关于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463.38万元固定资产管理不规范等2个问题。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均为分阶段整改问题。正在对800件盘亏资产和83件待报废资产逐一进行核实，将依据结果，履行资产处置程序、据实调账。计划于2026年6月完成整改。</w:t>
      </w:r>
    </w:p>
    <w:p w14:paraId="4009D54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7.关于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资产管理不力，应收未收391.81万元租金问题。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此问题为分阶段整改问题。目前已收回235.13万元租金。剩余租金已启动法律诉讼程序，将通过法律途径追回租金。</w:t>
      </w:r>
    </w:p>
    <w:p w14:paraId="18C041E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8.关于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非国产电脑未按要求及时调剂使用问题。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此问题为分阶段整改问题。对未及时调剂使用的电脑使用价值逐台确认，目前工作已完成，并决定进行报废处置，待“三重一大”会议确认后履行资产报废程序，计划于2026年3月完成整改。</w:t>
      </w:r>
    </w:p>
    <w:p w14:paraId="24DA693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9.关于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69.47万元固定资产闲置未处置问题。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此问题为分阶段整改问题。已完成涉及的固定资产的核查、盘点等工作，待“三重一大”会议确认后，履行资产报废程序，计划于2026年3月完成整改。</w:t>
      </w:r>
    </w:p>
    <w:p w14:paraId="360C8F1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10.关于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超规定数量配备办公设备。</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此问题为分阶段整改问题。目前超规定数量配置的电脑已处理完毕，尚有7台打印机，正在对接区财政局准备纳入公物舱进行调剂使用，</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预计于</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12月完成整改</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（已完成）</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w:t>
      </w:r>
    </w:p>
    <w:p w14:paraId="7183311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11.关于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20.75万元电脑、打印机闲置问题。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此问题为分阶段整改问题。已对固定资产进行全面盘点，并进行标签化管理。将部分电脑、打印机用于值班室改造，做到物尽其用。</w:t>
      </w:r>
    </w:p>
    <w:p w14:paraId="62D2AAD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12.关于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资产不实，1516.82万元对外投资未记账、569.69万元其他应收款实际为已支出费用等2个问题。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均为分阶段整改问题。经</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单位</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党委研究确定由第三方专业机构开展专项审计，将根据审计建议进行整改。计划于2026年6月完成整改。</w:t>
      </w:r>
    </w:p>
    <w:p w14:paraId="06A9EEA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13.关于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35套1.6万㎡房产</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未计入财务账</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此问题为分阶段整改问题。正在筛选第三方测绘机构，待测绘完成后，及时梳理收集缺失资料，查找原因，通过第三方评估后，及时将账外房产登记入账。</w:t>
      </w:r>
    </w:p>
    <w:p w14:paraId="03A7DF3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14.关于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4个项目221.86亩临时用地未履行审批程序问题。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此问题为分阶段整改问题。目前3个项目217.81亩已完成整改，剩余1个项目4.05亩临时用地按照整改要求正在对接测绘单位进行测绘，待出具测绘报告后，由</w:t>
      </w:r>
      <w:r>
        <w:rPr>
          <w:rStyle w:val="9"/>
          <w:rFonts w:hint="eastAsia"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单位</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配合规资东丽分局对临时用地问题进行整改，计划于2026年3月完成整改。</w:t>
      </w:r>
      <w:bookmarkStart w:id="0" w:name="_GoBack"/>
      <w:bookmarkEnd w:id="0"/>
    </w:p>
    <w:p w14:paraId="40DB257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15.关于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耕地保护督察反馈问题整改不彻底，274.68亩耕地重复撂荒问题。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此问题为分阶段整改问题。目前已场清地平，计划2026年春季种植玉米。</w:t>
      </w:r>
    </w:p>
    <w:p w14:paraId="3876432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16.关于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耕地保护不到位问题。此问题为分阶段整改问题。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目前，4处3.94公顷撂荒土地已完成整改，剩余5处违法占用2.33公顷耕地正在有序推动整改中。</w:t>
      </w:r>
    </w:p>
    <w:p w14:paraId="49A6862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17.关于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应收未收646.29万元资产出租收入及出租房产管理不善未收回已到期出租房产等2个问题。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均为持续整改问题。目前已取得民事调解书、民事裁定书等多个诉讼结果材料，已申请法院执行，同时联系东丽公证处进行公证，对租赁房屋内承租户的设备进行查封拍卖。</w:t>
      </w:r>
    </w:p>
    <w:p w14:paraId="34EBCB9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18.关于</w:t>
      </w:r>
      <w:r>
        <w:rPr>
          <w:rStyle w:val="9"/>
          <w:rFonts w:hint="eastAsia"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某单位</w:t>
      </w:r>
      <w:r>
        <w:rPr>
          <w:rStyle w:val="9"/>
          <w:rFonts w:hint="default" w:ascii="Times New Roman" w:hAnsi="Times New Roman" w:eastAsia="仿宋_GB2312" w:cs="Times New Roman"/>
          <w:b/>
          <w:bCs/>
          <w:i w:val="0"/>
          <w:caps w:val="0"/>
          <w:color w:val="000000" w:themeColor="text1"/>
          <w:spacing w:val="0"/>
          <w:w w:val="100"/>
          <w:kern w:val="0"/>
          <w:sz w:val="32"/>
          <w:szCs w:val="32"/>
          <w:highlight w:val="none"/>
          <w:lang w:val="en-US" w:eastAsia="zh-CN" w:bidi="ar-SA"/>
          <w14:textFill>
            <w14:solidFill>
              <w14:schemeClr w14:val="tx1"/>
            </w14:solidFill>
          </w14:textFill>
        </w:rPr>
        <w:t>房产证面积与实际面积相差1.68万㎡及2054.19㎡房产长期未办理房产确权登记等2个问题。</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均为持续整改问题。已完成房产清单全面梳理工作，正在筛选第三方测绘机构，待测绘完成后，第一时间向房产管理部门提交申请，完成房产证更换及确权工作。</w:t>
      </w:r>
    </w:p>
    <w:p w14:paraId="3ED9FD9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三、尚未完全整改到位问题的原因分析</w:t>
      </w:r>
    </w:p>
    <w:p w14:paraId="25DAA4B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从整改情况看，有些问题尚未整改到位，分析原因有以下几个方面：</w:t>
      </w:r>
    </w:p>
    <w:p w14:paraId="17F606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（一）整改责任未全面落实到位。</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个别单位对落实整改主体责任认识不足或存在畏难情绪、过关心态，整改责任传导层层递减，导致部分问题整改流于表面、推进缓慢。</w:t>
      </w:r>
    </w:p>
    <w:p w14:paraId="7F62D84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（二）资金保障不足制约整改进度。</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受宏观经济环境影响，区域财政收支压力较大，部分资金类问题因资金紧张制约了整改进度。</w:t>
      </w:r>
    </w:p>
    <w:p w14:paraId="0AF7FB4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（三）问题形成时间久整改难度大。</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部分资产类问题形成时间久远，涉及政策调整、主体变更、资料缺失等复杂情况，短期内难以彻底解决。</w:t>
      </w:r>
    </w:p>
    <w:p w14:paraId="65645B2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黑体"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四、进一步做好审计整改工作的建议</w:t>
      </w:r>
    </w:p>
    <w:p w14:paraId="6DFE825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针对尚未完成的整改任务，相关单位需强化责任担当、聚焦关键环节，以强烈的责任意识和担当精神推动审计整改，切实将整改成效转化为完善治理、促进高质量发展的成果。</w:t>
      </w:r>
    </w:p>
    <w:p w14:paraId="387829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（一）提高政治站位，加强党对审计整改工作的领导。</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深入贯彻落实习近平总书记关于审计整改工作的重要指示批示精神，全面落实中央和市委审计委员会对审计整改工作系列部署要求，相关整改部门要不断增强政治意识、责任意识、大局意识，切实把思想和行动统一到任务落实上来，坚决扛起审计整改政治责任，以实实在在的整改成效彰显坚定拥护“两个确立”、坚决做到“两个维护”。</w:t>
      </w:r>
    </w:p>
    <w:p w14:paraId="4CEAB5A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（二）聚焦难点堵点，压实审计整改责任。</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各有关单位要严格落实审计意见，不回避矛盾、不躲绕难点。被审计单位切实落实整改主体责任和“一把手”负责制，对未完成整改问题制定措施，加快落实、一抓到底，加强与相关主管部门的沟通对接，打通资金保障、政策规定、流程办理等堵点、难点问题。主管部门全面落实监督管理责任，高位推动、举一反三、深挖根源，抓好源头防控，切实推动整改落实。</w:t>
      </w:r>
    </w:p>
    <w:p w14:paraId="1654538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baseline"/>
        <w:rPr>
          <w:rStyle w:val="9"/>
          <w:rFonts w:hint="default" w:ascii="Times New Roman" w:hAnsi="Times New Roman" w:eastAsia="仿宋_GB2312" w:cs="Times New Roman"/>
          <w:b w:val="0"/>
          <w:i w:val="0"/>
          <w:caps w:val="0"/>
          <w:spacing w:val="0"/>
          <w:w w:val="100"/>
          <w:kern w:val="0"/>
          <w:sz w:val="32"/>
          <w:szCs w:val="32"/>
          <w:lang w:val="en-US" w:eastAsia="zh-CN" w:bidi="ar-SA"/>
        </w:rPr>
      </w:pPr>
      <w:r>
        <w:rPr>
          <w:rStyle w:val="9"/>
          <w:rFonts w:hint="default" w:ascii="Times New Roman" w:hAnsi="Times New Roman" w:eastAsia="楷体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（三）巩固整改成果，提升审计整改效能。</w:t>
      </w:r>
      <w:r>
        <w:rPr>
          <w:rStyle w:val="9"/>
          <w:rFonts w:hint="default" w:ascii="Times New Roman" w:hAnsi="Times New Roman" w:eastAsia="仿宋_GB2312" w:cs="Times New Roman"/>
          <w:b w:val="0"/>
          <w:i w:val="0"/>
          <w:caps w:val="0"/>
          <w:color w:val="000000" w:themeColor="text1"/>
          <w:spacing w:val="0"/>
          <w:w w:val="100"/>
          <w:kern w:val="0"/>
          <w:sz w:val="32"/>
          <w:szCs w:val="32"/>
          <w:highlight w:val="none"/>
          <w:lang w:val="en-US" w:eastAsia="zh-CN" w:bidi="ar-SA"/>
          <w14:textFill>
            <w14:solidFill>
              <w14:schemeClr w14:val="tx1"/>
            </w14:solidFill>
          </w14:textFill>
        </w:rPr>
        <w:t>审计机关严格落实整改督促检查责任，“全口径”“全周期”督促推进审计整改，持续跟踪问效。对已经完成的整改任务，适时组织相关部门“回头看”，巩固整改成果，对需要持续整改的问题，紧盯不放，狠抓落实。进一步完善和落实审计整改约谈和责任追究等制度，增强审计整改的严肃性和威慑力，用好全面从严治党主体责任考核“指挥棒”，优化细化审计整改考核指标，持续提升审计整改整体效能。</w:t>
      </w:r>
    </w:p>
    <w:sectPr>
      <w:headerReference r:id="rId3" w:type="default"/>
      <w:footerReference r:id="rId4" w:type="default"/>
      <w:footerReference r:id="rId5" w:type="even"/>
      <w:pgSz w:w="11906" w:h="16838"/>
      <w:pgMar w:top="2041" w:right="1559" w:bottom="1701" w:left="1559" w:header="851" w:footer="1134" w:gutter="0"/>
      <w:lnNumType w:countBy="0"/>
      <w:pgNumType w:fmt="numberInDash"/>
      <w:cols w:space="425" w:num="1"/>
      <w:vAlign w:val="top"/>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7CD3">
    <w:pPr>
      <w:pStyle w:val="3"/>
      <w:widowControl/>
      <w:snapToGrid w:val="0"/>
      <w:jc w:val="both"/>
      <w:textAlignment w:val="baseline"/>
      <w:rPr>
        <w:rStyle w:val="9"/>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24448">
                          <w:pPr>
                            <w:pStyle w:val="3"/>
                          </w:pPr>
                          <w:r>
                            <w:rPr>
                              <w:rFonts w:hint="default" w:ascii="Tahoma" w:hAnsi="Tahoma" w:cs="Tahoma"/>
                              <w:sz w:val="28"/>
                              <w:szCs w:val="28"/>
                            </w:rPr>
                            <w:fldChar w:fldCharType="begin"/>
                          </w:r>
                          <w:r>
                            <w:rPr>
                              <w:rFonts w:hint="default" w:ascii="Tahoma" w:hAnsi="Tahoma" w:cs="Tahoma"/>
                              <w:sz w:val="28"/>
                              <w:szCs w:val="28"/>
                            </w:rPr>
                            <w:instrText xml:space="preserve"> PAGE  \* MERGEFORMAT </w:instrText>
                          </w:r>
                          <w:r>
                            <w:rPr>
                              <w:rFonts w:hint="default" w:ascii="Tahoma" w:hAnsi="Tahoma" w:cs="Tahoma"/>
                              <w:sz w:val="28"/>
                              <w:szCs w:val="28"/>
                            </w:rPr>
                            <w:fldChar w:fldCharType="separate"/>
                          </w:r>
                          <w:r>
                            <w:rPr>
                              <w:rFonts w:hint="default" w:ascii="Tahoma" w:hAnsi="Tahoma" w:cs="Tahoma"/>
                              <w:sz w:val="28"/>
                              <w:szCs w:val="28"/>
                            </w:rPr>
                            <w:t>- 1 -</w:t>
                          </w:r>
                          <w:r>
                            <w:rPr>
                              <w:rFonts w:hint="default" w:ascii="Tahoma" w:hAnsi="Tahoma" w:cs="Tahom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AF24448">
                    <w:pPr>
                      <w:pStyle w:val="3"/>
                    </w:pPr>
                    <w:r>
                      <w:rPr>
                        <w:rFonts w:hint="default" w:ascii="Tahoma" w:hAnsi="Tahoma" w:cs="Tahoma"/>
                        <w:sz w:val="28"/>
                        <w:szCs w:val="28"/>
                      </w:rPr>
                      <w:fldChar w:fldCharType="begin"/>
                    </w:r>
                    <w:r>
                      <w:rPr>
                        <w:rFonts w:hint="default" w:ascii="Tahoma" w:hAnsi="Tahoma" w:cs="Tahoma"/>
                        <w:sz w:val="28"/>
                        <w:szCs w:val="28"/>
                      </w:rPr>
                      <w:instrText xml:space="preserve"> PAGE  \* MERGEFORMAT </w:instrText>
                    </w:r>
                    <w:r>
                      <w:rPr>
                        <w:rFonts w:hint="default" w:ascii="Tahoma" w:hAnsi="Tahoma" w:cs="Tahoma"/>
                        <w:sz w:val="28"/>
                        <w:szCs w:val="28"/>
                      </w:rPr>
                      <w:fldChar w:fldCharType="separate"/>
                    </w:r>
                    <w:r>
                      <w:rPr>
                        <w:rFonts w:hint="default" w:ascii="Tahoma" w:hAnsi="Tahoma" w:cs="Tahoma"/>
                        <w:sz w:val="28"/>
                        <w:szCs w:val="28"/>
                      </w:rPr>
                      <w:t>- 1 -</w:t>
                    </w:r>
                    <w:r>
                      <w:rPr>
                        <w:rFonts w:hint="default" w:ascii="Tahoma" w:hAnsi="Tahoma" w:cs="Tahom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654C">
    <w:pPr>
      <w:pStyle w:val="3"/>
      <w:framePr w:wrap="around" w:vAnchor="margin" w:hAnchor="text" w:xAlign="center" w:yAlign="inline"/>
      <w:widowControl/>
      <w:snapToGrid w:val="0"/>
      <w:jc w:val="left"/>
      <w:textAlignment w:val="baseline"/>
      <w:rPr>
        <w:rStyle w:val="14"/>
        <w:kern w:val="2"/>
        <w:sz w:val="18"/>
        <w:szCs w:val="18"/>
        <w:lang w:val="en-US" w:eastAsia="zh-CN" w:bidi="ar-SA"/>
      </w:rPr>
    </w:pPr>
  </w:p>
  <w:p w14:paraId="3795BA94">
    <w:pPr>
      <w:pStyle w:val="3"/>
      <w:widowControl/>
      <w:snapToGrid w:val="0"/>
      <w:jc w:val="left"/>
      <w:textAlignment w:val="baseline"/>
      <w:rPr>
        <w:rStyle w:val="9"/>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47A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ZmM2MmE3NDZmYmNlZGZiMmQwYmY3YTNjYzY5ZDEifQ=="/>
  </w:docVars>
  <w:rsids>
    <w:rsidRoot w:val="00000000"/>
    <w:rsid w:val="05FBB7A4"/>
    <w:rsid w:val="091FE1B4"/>
    <w:rsid w:val="0A5C2689"/>
    <w:rsid w:val="0BD87811"/>
    <w:rsid w:val="0DB67746"/>
    <w:rsid w:val="17BCF469"/>
    <w:rsid w:val="1AD767FB"/>
    <w:rsid w:val="24582CB2"/>
    <w:rsid w:val="2D636887"/>
    <w:rsid w:val="2FF0198E"/>
    <w:rsid w:val="37730FB3"/>
    <w:rsid w:val="3BDF4549"/>
    <w:rsid w:val="3DFF035E"/>
    <w:rsid w:val="3F893A1B"/>
    <w:rsid w:val="48085595"/>
    <w:rsid w:val="4A9AD0D1"/>
    <w:rsid w:val="4DC523B3"/>
    <w:rsid w:val="4DFF5F16"/>
    <w:rsid w:val="4FAF59FB"/>
    <w:rsid w:val="4FF798FF"/>
    <w:rsid w:val="4FF9A81B"/>
    <w:rsid w:val="55E75AA1"/>
    <w:rsid w:val="590FC8A9"/>
    <w:rsid w:val="5AF11C42"/>
    <w:rsid w:val="5EFF5FEA"/>
    <w:rsid w:val="6766F50C"/>
    <w:rsid w:val="67760AE9"/>
    <w:rsid w:val="6DDD10A6"/>
    <w:rsid w:val="6F0B673A"/>
    <w:rsid w:val="75FE34C6"/>
    <w:rsid w:val="7777E9F4"/>
    <w:rsid w:val="779E8A43"/>
    <w:rsid w:val="77BB04B9"/>
    <w:rsid w:val="77BDA519"/>
    <w:rsid w:val="799F4320"/>
    <w:rsid w:val="7B6AFA56"/>
    <w:rsid w:val="7C7F302D"/>
    <w:rsid w:val="7DBF5D6A"/>
    <w:rsid w:val="7DDF6432"/>
    <w:rsid w:val="7E975526"/>
    <w:rsid w:val="7EAFBD59"/>
    <w:rsid w:val="7EF72469"/>
    <w:rsid w:val="7F121AB4"/>
    <w:rsid w:val="7F895F65"/>
    <w:rsid w:val="7FEF2F59"/>
    <w:rsid w:val="7FFE1EF3"/>
    <w:rsid w:val="7FFF708C"/>
    <w:rsid w:val="85B6160C"/>
    <w:rsid w:val="9DD734AA"/>
    <w:rsid w:val="9FFB74BA"/>
    <w:rsid w:val="AD779B8C"/>
    <w:rsid w:val="B77B8494"/>
    <w:rsid w:val="BBBB7B62"/>
    <w:rsid w:val="BBE1E961"/>
    <w:rsid w:val="BD17E86C"/>
    <w:rsid w:val="BF779972"/>
    <w:rsid w:val="BFFFE728"/>
    <w:rsid w:val="C7D7A11E"/>
    <w:rsid w:val="CB7542B5"/>
    <w:rsid w:val="CE7D6E0B"/>
    <w:rsid w:val="D55AA99D"/>
    <w:rsid w:val="D77EF12E"/>
    <w:rsid w:val="D7AFC4AB"/>
    <w:rsid w:val="DA9C5C87"/>
    <w:rsid w:val="DDCEFF2F"/>
    <w:rsid w:val="DDDDCD39"/>
    <w:rsid w:val="DDFD7928"/>
    <w:rsid w:val="DEDDAA4C"/>
    <w:rsid w:val="DFABE2CA"/>
    <w:rsid w:val="DFFC7B58"/>
    <w:rsid w:val="DFFD6FF3"/>
    <w:rsid w:val="E6DF1E7C"/>
    <w:rsid w:val="EDF6DD55"/>
    <w:rsid w:val="EFFF192D"/>
    <w:rsid w:val="F3F7C847"/>
    <w:rsid w:val="F5BE306D"/>
    <w:rsid w:val="F5FF6813"/>
    <w:rsid w:val="F7D79C6B"/>
    <w:rsid w:val="FAB7C31C"/>
    <w:rsid w:val="FAF34F42"/>
    <w:rsid w:val="FB6D802A"/>
    <w:rsid w:val="FB75C24C"/>
    <w:rsid w:val="FBAF5001"/>
    <w:rsid w:val="FBF76712"/>
    <w:rsid w:val="FC8D542B"/>
    <w:rsid w:val="FCFD9881"/>
    <w:rsid w:val="FDA34527"/>
    <w:rsid w:val="FDFBF403"/>
    <w:rsid w:val="FF59DE50"/>
    <w:rsid w:val="FFED7236"/>
    <w:rsid w:val="FFF775C4"/>
    <w:rsid w:val="FFF947C3"/>
    <w:rsid w:val="FFFEC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jc w:val="both"/>
      <w:textAlignment w:val="baseline"/>
    </w:pPr>
    <w:rPr>
      <w:rFonts w:ascii="Calibri" w:hAnsi="Calibri" w:eastAsia="微软雅黑"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link w:val="12"/>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7">
    <w:name w:val="Strong"/>
    <w:link w:val="1"/>
    <w:qFormat/>
    <w:uiPriority w:val="0"/>
    <w:rPr>
      <w:rFonts w:cs="Calibri"/>
      <w:b/>
      <w:bCs/>
    </w:rPr>
  </w:style>
  <w:style w:type="paragraph" w:customStyle="1" w:styleId="8">
    <w:name w:val="BodyText"/>
    <w:basedOn w:val="1"/>
    <w:next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9">
    <w:name w:val="NormalCharacter"/>
    <w:link w:val="1"/>
    <w:semiHidden/>
    <w:qFormat/>
    <w:uiPriority w:val="0"/>
  </w:style>
  <w:style w:type="table" w:customStyle="1" w:styleId="10">
    <w:name w:val="TableNormal"/>
    <w:semiHidden/>
    <w:qFormat/>
    <w:uiPriority w:val="0"/>
  </w:style>
  <w:style w:type="paragraph" w:customStyle="1" w:styleId="11">
    <w:name w:val="Acetate"/>
    <w:basedOn w:val="1"/>
    <w:semiHidden/>
    <w:qFormat/>
    <w:uiPriority w:val="0"/>
    <w:pPr>
      <w:jc w:val="both"/>
      <w:textAlignment w:val="baseline"/>
    </w:pPr>
    <w:rPr>
      <w:kern w:val="2"/>
      <w:sz w:val="18"/>
      <w:szCs w:val="18"/>
      <w:lang w:val="en-US" w:eastAsia="zh-CN" w:bidi="ar-SA"/>
    </w:rPr>
  </w:style>
  <w:style w:type="character" w:customStyle="1" w:styleId="12">
    <w:name w:val="UserStyle_0"/>
    <w:link w:val="3"/>
    <w:qFormat/>
    <w:uiPriority w:val="0"/>
    <w:rPr>
      <w:kern w:val="2"/>
      <w:sz w:val="18"/>
      <w:szCs w:val="18"/>
    </w:rPr>
  </w:style>
  <w:style w:type="paragraph" w:customStyle="1" w:styleId="13">
    <w:name w:val="HtmlNormal"/>
    <w:basedOn w:val="1"/>
    <w:qFormat/>
    <w:uiPriority w:val="0"/>
    <w:pPr>
      <w:widowControl/>
      <w:spacing w:before="100" w:beforeAutospacing="1" w:after="100" w:afterAutospacing="1"/>
      <w:jc w:val="left"/>
      <w:textAlignment w:val="baseline"/>
    </w:pPr>
    <w:rPr>
      <w:rFonts w:ascii="仿宋_GB2312" w:hAnsi="宋体" w:eastAsia="仿宋_GB2312"/>
      <w:kern w:val="0"/>
      <w:sz w:val="32"/>
      <w:szCs w:val="24"/>
      <w:lang w:val="en-US" w:eastAsia="zh-CN" w:bidi="ar-SA"/>
    </w:rPr>
  </w:style>
  <w:style w:type="character" w:customStyle="1" w:styleId="14">
    <w:name w:val="PageNumber"/>
    <w:basedOn w:val="9"/>
    <w:link w:val="1"/>
    <w:qFormat/>
    <w:uiPriority w:val="0"/>
  </w:style>
  <w:style w:type="paragraph" w:customStyle="1" w:styleId="15">
    <w:name w:val="UserStyle_1"/>
    <w:basedOn w:val="1"/>
    <w:qFormat/>
    <w:uiPriority w:val="0"/>
    <w:pPr>
      <w:jc w:val="both"/>
      <w:textAlignment w:val="baseline"/>
    </w:pPr>
    <w:rPr>
      <w:rFonts w:ascii="Tahoma" w:hAnsi="Tahoma"/>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1330</Words>
  <Characters>1356</Characters>
  <TotalTime>24</TotalTime>
  <ScaleCrop>false</ScaleCrop>
  <LinksUpToDate>false</LinksUpToDate>
  <CharactersWithSpaces>1359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2022-10-29T16:21:00Z</dcterms:created>
  <dc:creator>Dell</dc:creator>
  <cp:lastModifiedBy>WPS_633981539</cp:lastModifiedBy>
  <cp:lastPrinted>2025-12-11T19:18:00Z</cp:lastPrinted>
  <dcterms:modified xsi:type="dcterms:W3CDTF">2026-01-09T03:17:41Z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D052A3896531497CAFFCFECF6C8BF9EB_13</vt:lpwstr>
  </property>
  <property fmtid="{D5CDD505-2E9C-101B-9397-08002B2CF9AE}" pid="4" name="KSOTemplateDocerSaveRecord">
    <vt:lpwstr>eyJoZGlkIjoiNzVkYzdjNDg1MDk2OTJkNDk0MTk0YTVhOWFmMWNhMTciLCJ1c2VySWQiOiI2MzM5ODE1MzkifQ==</vt:lpwstr>
  </property>
</Properties>
</file>