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jc w:val="center"/>
        <w:rPr>
          <w:rFonts w:hint="eastAsia" w:ascii="宋体"/>
          <w:b/>
          <w:color w:val="FF0000"/>
          <w:spacing w:val="2"/>
          <w:sz w:val="72"/>
          <w:szCs w:val="72"/>
        </w:rPr>
      </w:pPr>
      <w:r>
        <w:rPr>
          <w:rFonts w:hint="eastAsia" w:ascii="宋体"/>
          <w:b/>
          <w:color w:val="FF0000"/>
          <w:spacing w:val="2"/>
          <w:sz w:val="72"/>
          <w:szCs w:val="72"/>
        </w:rPr>
        <mc:AlternateContent>
          <mc:Choice Requires="wps">
            <w:drawing>
              <wp:anchor distT="0" distB="0" distL="114300" distR="114300" simplePos="0" relativeHeight="251659264" behindDoc="0" locked="0" layoutInCell="1" allowOverlap="1">
                <wp:simplePos x="0" y="0"/>
                <wp:positionH relativeFrom="column">
                  <wp:posOffset>4165600</wp:posOffset>
                </wp:positionH>
                <wp:positionV relativeFrom="paragraph">
                  <wp:posOffset>-650240</wp:posOffset>
                </wp:positionV>
                <wp:extent cx="1645285" cy="640080"/>
                <wp:effectExtent l="4445" t="5080" r="7620" b="21590"/>
                <wp:wrapNone/>
                <wp:docPr id="1" name="文本框 1"/>
                <wp:cNvGraphicFramePr/>
                <a:graphic xmlns:a="http://schemas.openxmlformats.org/drawingml/2006/main">
                  <a:graphicData uri="http://schemas.microsoft.com/office/word/2010/wordprocessingShape">
                    <wps:wsp>
                      <wps:cNvSpPr txBox="1"/>
                      <wps:spPr>
                        <a:xfrm>
                          <a:off x="0" y="0"/>
                          <a:ext cx="1645285" cy="6400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right"/>
                              <w:rPr>
                                <w:rFonts w:ascii="楷体_GB2312" w:hAnsi="楷体_GB2312" w:eastAsia="楷体_GB2312" w:cs="楷体_GB2312"/>
                                <w:sz w:val="48"/>
                                <w:szCs w:val="48"/>
                              </w:rPr>
                            </w:pPr>
                          </w:p>
                        </w:txbxContent>
                      </wps:txbx>
                      <wps:bodyPr upright="1"/>
                    </wps:wsp>
                  </a:graphicData>
                </a:graphic>
              </wp:anchor>
            </w:drawing>
          </mc:Choice>
          <mc:Fallback>
            <w:pict>
              <v:shape id="_x0000_s1026" o:spid="_x0000_s1026" o:spt="202" type="#_x0000_t202" style="position:absolute;left:0pt;margin-left:328pt;margin-top:-51.2pt;height:50.4pt;width:129.55pt;z-index:251659264;mso-width-relative:page;mso-height-relative:page;" fillcolor="#FFFFFF" filled="t" stroked="t" coordsize="21600,21600" o:gfxdata="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JNHcb2QAAAAsBAAAPAAAAAAAAAAEAIAAAACIA&#10;AABkcnMvZG93bnJldi54bWxQSwECFAAUAAAACACHTuJAcmyTBQgCAAA2BAAADgAAAAAAAAABACAA&#10;AAAoAQAAZHJzL2Uyb0RvYy54bWxQSwUGAAAAAAYABgBZAQAAogUAAAAA&#10;">
                <v:fill on="t" focussize="0,0"/>
                <v:stroke color="#FFFFFF" joinstyle="miter"/>
                <v:imagedata o:title=""/>
                <o:lock v:ext="edit" aspectratio="f"/>
                <v:textbox>
                  <w:txbxContent>
                    <w:p>
                      <w:pPr>
                        <w:jc w:val="right"/>
                        <w:rPr>
                          <w:rFonts w:ascii="楷体_GB2312" w:hAnsi="楷体_GB2312" w:eastAsia="楷体_GB2312" w:cs="楷体_GB2312"/>
                          <w:sz w:val="48"/>
                          <w:szCs w:val="48"/>
                        </w:rPr>
                      </w:pPr>
                    </w:p>
                  </w:txbxContent>
                </v:textbox>
              </v:shape>
            </w:pict>
          </mc:Fallback>
        </mc:AlternateContent>
      </w:r>
    </w:p>
    <w:p>
      <w:pPr>
        <w:pBdr>
          <w:bottom w:val="single" w:color="FFFFFF" w:sz="12" w:space="1"/>
        </w:pBdr>
        <w:spacing w:line="720" w:lineRule="exact"/>
        <w:jc w:val="center"/>
        <w:rPr>
          <w:rFonts w:hint="eastAsia" w:ascii="方正小标宋简体" w:eastAsia="方正小标宋简体"/>
          <w:color w:val="FF0000"/>
          <w:w w:val="90"/>
          <w:position w:val="-6"/>
          <w:sz w:val="72"/>
          <w:szCs w:val="72"/>
        </w:rPr>
      </w:pPr>
      <w:r>
        <w:rPr>
          <w:rFonts w:hint="eastAsia" w:ascii="方正小标宋简体" w:eastAsia="方正小标宋简体"/>
          <w:color w:val="FF0000"/>
          <w:w w:val="90"/>
          <w:position w:val="-6"/>
          <w:sz w:val="72"/>
          <w:szCs w:val="72"/>
        </w:rPr>
        <w:t>天津市东丽区财政局文件</w:t>
      </w:r>
    </w:p>
    <w:p>
      <w:pPr>
        <w:spacing w:line="600" w:lineRule="exact"/>
        <w:rPr>
          <w:rFonts w:hint="eastAsia" w:ascii="宋体"/>
          <w:b/>
          <w:color w:val="000000"/>
          <w:sz w:val="28"/>
        </w:rPr>
      </w:pPr>
    </w:p>
    <w:p>
      <w:pPr>
        <w:spacing w:line="600" w:lineRule="exact"/>
        <w:rPr>
          <w:rFonts w:ascii="宋体"/>
          <w:b/>
          <w:color w:val="000000"/>
          <w:sz w:val="28"/>
        </w:rPr>
      </w:pPr>
    </w:p>
    <w:p>
      <w:pPr>
        <w:jc w:val="center"/>
        <w:rPr>
          <w:rFonts w:hint="eastAsia" w:ascii="宋体"/>
          <w:color w:val="000000"/>
          <w:sz w:val="28"/>
        </w:rPr>
      </w:pPr>
      <w:r>
        <w:rPr>
          <w:rFonts w:hint="eastAsia" w:ascii="宋体"/>
          <w:color w:val="000000"/>
          <w:sz w:val="28"/>
        </w:rPr>
        <mc:AlternateContent>
          <mc:Choice Requires="wps">
            <w:drawing>
              <wp:anchor distT="0" distB="0" distL="114300" distR="114300" simplePos="0" relativeHeight="251658240" behindDoc="0" locked="0" layoutInCell="1" allowOverlap="1">
                <wp:simplePos x="0" y="0"/>
                <wp:positionH relativeFrom="column">
                  <wp:posOffset>6985</wp:posOffset>
                </wp:positionH>
                <wp:positionV relativeFrom="paragraph">
                  <wp:posOffset>92710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55pt;margin-top:7.3pt;height:0pt;width:441pt;z-index:251658240;mso-width-relative:page;mso-height-relative:page;" filled="f" stroked="t" coordsize="21600,21600" o:gfxdata="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IeUg9MAAAAHAQAADwAAAAAAAAABACAAAAAiAAAAZHJzL2Rvd25yZXYueG1sUEsBAhQA&#10;FAAAAAgAh07iQN9AYF/3AQAA5QMAAA4AAAAAAAAAAQAgAAAAIgEAAGRycy9lMm9Eb2MueG1sUEsF&#10;BgAAAAAGAAYAWQEAAIsFAAAAAA==&#10;">
                <v:fill on="f" focussize="0,0"/>
                <v:stroke weight="2.25pt" color="#FF0000" joinstyle="round"/>
                <v:imagedata o:title=""/>
                <o:lock v:ext="edit" aspectratio="f"/>
              </v:line>
            </w:pict>
          </mc:Fallback>
        </mc:AlternateContent>
      </w:r>
    </w:p>
    <w:p>
      <w:pPr>
        <w:spacing w:line="520" w:lineRule="exact"/>
        <w:rPr>
          <w:rFonts w:hint="eastAsia" w:ascii="仿宋" w:hAnsi="仿宋" w:eastAsia="仿宋"/>
          <w:color w:val="000000"/>
          <w:sz w:val="32"/>
          <w:szCs w:val="32"/>
        </w:rPr>
      </w:pPr>
    </w:p>
    <w:p>
      <w:pPr>
        <w:spacing w:line="520" w:lineRule="exact"/>
        <w:rPr>
          <w:rFonts w:hint="eastAsia" w:ascii="仿宋" w:hAnsi="仿宋" w:eastAsia="仿宋"/>
          <w:color w:val="000000"/>
          <w:sz w:val="32"/>
          <w:szCs w:val="32"/>
        </w:rPr>
      </w:pPr>
    </w:p>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东丽区财政局关于做好</w:t>
      </w:r>
      <w:r>
        <w:rPr>
          <w:rFonts w:hint="eastAsia" w:ascii="方正小标宋简体" w:hAnsi="宋体" w:eastAsia="方正小标宋简体"/>
          <w:sz w:val="44"/>
          <w:szCs w:val="44"/>
          <w:lang w:eastAsia="zh-CN"/>
        </w:rPr>
        <w:t>202</w:t>
      </w:r>
      <w:r>
        <w:rPr>
          <w:rFonts w:hint="default" w:ascii="方正小标宋简体" w:hAnsi="宋体" w:eastAsia="方正小标宋简体"/>
          <w:sz w:val="44"/>
          <w:szCs w:val="44"/>
          <w:lang w:val="en" w:eastAsia="zh-CN"/>
        </w:rPr>
        <w:t>6</w:t>
      </w:r>
      <w:r>
        <w:rPr>
          <w:rFonts w:ascii="方正小标宋简体" w:hAnsi="宋体" w:eastAsia="方正小标宋简体"/>
          <w:sz w:val="44"/>
          <w:szCs w:val="44"/>
        </w:rPr>
        <w:t>年</w:t>
      </w:r>
      <w:r>
        <w:rPr>
          <w:rFonts w:hint="eastAsia" w:ascii="方正小标宋简体" w:hAnsi="宋体" w:eastAsia="方正小标宋简体"/>
          <w:sz w:val="44"/>
          <w:szCs w:val="44"/>
        </w:rPr>
        <w:t>区</w:t>
      </w:r>
      <w:r>
        <w:rPr>
          <w:rFonts w:ascii="方正小标宋简体" w:hAnsi="宋体" w:eastAsia="方正小标宋简体"/>
          <w:sz w:val="44"/>
          <w:szCs w:val="44"/>
        </w:rPr>
        <w:t>级部门预算和</w:t>
      </w:r>
      <w:r>
        <w:rPr>
          <w:rFonts w:hint="eastAsia" w:ascii="方正小标宋简体" w:hAnsi="宋体" w:eastAsia="方正小标宋简体"/>
          <w:sz w:val="44"/>
          <w:szCs w:val="44"/>
        </w:rPr>
        <w:t>“</w:t>
      </w:r>
      <w:r>
        <w:rPr>
          <w:rFonts w:ascii="方正小标宋简体" w:hAnsi="宋体" w:eastAsia="方正小标宋简体"/>
          <w:sz w:val="44"/>
          <w:szCs w:val="44"/>
        </w:rPr>
        <w:t>三公</w:t>
      </w:r>
      <w:r>
        <w:rPr>
          <w:rFonts w:hint="eastAsia" w:ascii="方正小标宋简体" w:hAnsi="宋体" w:eastAsia="方正小标宋简体"/>
          <w:sz w:val="44"/>
          <w:szCs w:val="44"/>
        </w:rPr>
        <w:t>”</w:t>
      </w:r>
      <w:r>
        <w:rPr>
          <w:rFonts w:ascii="方正小标宋简体" w:hAnsi="宋体" w:eastAsia="方正小标宋简体"/>
          <w:sz w:val="44"/>
          <w:szCs w:val="44"/>
        </w:rPr>
        <w:t>经费预算公开工作的通知</w:t>
      </w:r>
    </w:p>
    <w:p>
      <w:pPr>
        <w:rPr>
          <w:rFonts w:ascii="仿宋_GB2312" w:eastAsia="仿宋_GB2312"/>
          <w:sz w:val="32"/>
        </w:rPr>
      </w:pPr>
    </w:p>
    <w:p>
      <w:pPr>
        <w:keepNext w:val="0"/>
        <w:keepLines w:val="0"/>
        <w:pageBreakBefore w:val="0"/>
        <w:widowControl w:val="0"/>
        <w:kinsoku/>
        <w:wordWrap/>
        <w:overflowPunct/>
        <w:topLinePunct w:val="0"/>
        <w:autoSpaceDE/>
        <w:autoSpaceDN/>
        <w:bidi w:val="0"/>
        <w:adjustRightInd w:val="0"/>
        <w:snapToGrid/>
        <w:spacing w:line="540" w:lineRule="exact"/>
        <w:textAlignment w:val="baseline"/>
        <w:rPr>
          <w:rFonts w:ascii="仿宋_GB2312" w:eastAsia="仿宋_GB2312"/>
          <w:color w:val="auto"/>
          <w:sz w:val="32"/>
        </w:rPr>
      </w:pPr>
      <w:r>
        <w:rPr>
          <w:rFonts w:hint="eastAsia" w:ascii="仿宋_GB2312" w:eastAsia="仿宋_GB2312"/>
          <w:color w:val="auto"/>
          <w:sz w:val="32"/>
        </w:rPr>
        <w:t>区级各预算单位、街道</w:t>
      </w:r>
      <w:r>
        <w:rPr>
          <w:rFonts w:hint="eastAsia" w:ascii="仿宋_GB2312" w:eastAsia="仿宋_GB2312"/>
          <w:color w:val="auto"/>
          <w:sz w:val="32"/>
          <w:lang w:eastAsia="zh-CN"/>
        </w:rPr>
        <w:t>、园区相关科室</w:t>
      </w:r>
      <w:r>
        <w:rPr>
          <w:rFonts w:hint="eastAsia" w:ascii="仿宋_GB2312" w:eastAsia="仿宋_GB2312"/>
          <w:color w:val="auto"/>
          <w:sz w:val="32"/>
        </w:rPr>
        <w:t>：</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jc w:val="both"/>
        <w:textAlignment w:val="baseline"/>
        <w:rPr>
          <w:rFonts w:eastAsia="仿宋_GB2312"/>
          <w:sz w:val="32"/>
        </w:rPr>
      </w:pPr>
      <w:r>
        <w:rPr>
          <w:rFonts w:eastAsia="仿宋_GB2312"/>
          <w:sz w:val="32"/>
        </w:rPr>
        <w:t>根据《中华人民共和国预算法》、《国务院关于深化预算管理制度改革的决定》（国发〔2014〕45号）、</w:t>
      </w:r>
      <w:r>
        <w:rPr>
          <w:rFonts w:hint="eastAsia" w:eastAsia="仿宋_GB2312"/>
          <w:sz w:val="32"/>
        </w:rPr>
        <w:t>《天津市预算审查监督条例》、《2019年天津市政务公开工作要点》、《财政部关于印发&lt;地方预决算公开操作规程&gt;的通知》（财预〔2016〕143号）、《财政部办公厅关于印发财政预决算领域基层政务公开标准指引的通知》（财办预〔2019〕77号）等规定</w:t>
      </w:r>
      <w:r>
        <w:rPr>
          <w:rFonts w:eastAsia="仿宋_GB2312"/>
          <w:sz w:val="32"/>
        </w:rPr>
        <w:t>，</w:t>
      </w:r>
      <w:r>
        <w:rPr>
          <w:rFonts w:hint="eastAsia" w:ascii="仿宋_GB2312" w:hAnsi="仿宋_GB2312" w:eastAsia="仿宋_GB2312" w:cs="仿宋_GB2312"/>
          <w:sz w:val="32"/>
          <w:szCs w:val="32"/>
        </w:rPr>
        <w:t>结合我区实际，为做好</w:t>
      </w:r>
      <w:r>
        <w:rPr>
          <w:rFonts w:hint="eastAsia" w:ascii="仿宋_GB2312" w:hAnsi="仿宋_GB2312" w:eastAsia="仿宋_GB2312" w:cs="仿宋_GB2312"/>
          <w:sz w:val="32"/>
          <w:szCs w:val="32"/>
          <w:lang w:eastAsia="zh-CN"/>
        </w:rPr>
        <w:t>202</w:t>
      </w:r>
      <w:r>
        <w:rPr>
          <w:rFonts w:hint="default" w:ascii="仿宋_GB2312" w:hAnsi="仿宋_GB2312" w:eastAsia="仿宋_GB2312" w:cs="仿宋_GB2312"/>
          <w:sz w:val="32"/>
          <w:szCs w:val="32"/>
          <w:lang w:val="en" w:eastAsia="zh-CN"/>
        </w:rPr>
        <w:t>6</w:t>
      </w:r>
      <w:r>
        <w:rPr>
          <w:rFonts w:hint="eastAsia" w:ascii="仿宋_GB2312" w:hAnsi="仿宋_GB2312" w:eastAsia="仿宋_GB2312" w:cs="仿宋_GB2312"/>
          <w:sz w:val="32"/>
          <w:szCs w:val="32"/>
        </w:rPr>
        <w:t>年区级部门预算及“三公”经费预算公开工作，现就有关事项通知如下。</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baseline"/>
        <w:rPr>
          <w:rFonts w:eastAsia="黑体"/>
          <w:bCs/>
          <w:sz w:val="32"/>
          <w:szCs w:val="32"/>
        </w:rPr>
      </w:pPr>
      <w:r>
        <w:rPr>
          <w:rFonts w:eastAsia="黑体"/>
          <w:bCs/>
          <w:sz w:val="32"/>
          <w:szCs w:val="32"/>
        </w:rPr>
        <w:t>一、公开主体</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jc w:val="both"/>
        <w:textAlignment w:val="baseline"/>
        <w:rPr>
          <w:rFonts w:eastAsia="仿宋_GB2312"/>
          <w:snapToGrid w:val="0"/>
          <w:sz w:val="32"/>
          <w:szCs w:val="32"/>
        </w:rPr>
      </w:pPr>
      <w:r>
        <w:rPr>
          <w:rFonts w:hint="eastAsia" w:ascii="仿宋_GB2312" w:hAnsi="仿宋_GB2312" w:eastAsia="仿宋_GB2312" w:cs="仿宋_GB2312"/>
          <w:sz w:val="32"/>
          <w:szCs w:val="32"/>
        </w:rPr>
        <w:t>公开的主体为负责编制部门预算和“三公”经费预算的区级主管预算部门及所属下级预算单位。</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baseline"/>
        <w:rPr>
          <w:rFonts w:hint="eastAsia" w:eastAsia="黑体"/>
          <w:snapToGrid w:val="0"/>
          <w:sz w:val="32"/>
          <w:szCs w:val="32"/>
          <w:lang w:eastAsia="zh-CN"/>
        </w:rPr>
      </w:pPr>
      <w:r>
        <w:rPr>
          <w:rFonts w:eastAsia="黑体"/>
          <w:snapToGrid w:val="0"/>
          <w:sz w:val="32"/>
          <w:szCs w:val="32"/>
        </w:rPr>
        <w:t>二、公开时间</w:t>
      </w:r>
      <w:r>
        <w:rPr>
          <w:rFonts w:hint="eastAsia" w:eastAsia="黑体"/>
          <w:snapToGrid w:val="0"/>
          <w:sz w:val="32"/>
          <w:szCs w:val="32"/>
          <w:lang w:eastAsia="zh-CN"/>
        </w:rPr>
        <w:t>和操作方法</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baseline"/>
        <w:rPr>
          <w:rFonts w:eastAsia="仿宋_GB2312"/>
          <w:color w:val="auto"/>
          <w:sz w:val="32"/>
          <w:szCs w:val="32"/>
          <w:highlight w:val="none"/>
        </w:rPr>
      </w:pPr>
      <w:r>
        <w:rPr>
          <w:rFonts w:eastAsia="仿宋_GB2312"/>
          <w:bCs/>
          <w:color w:val="auto"/>
          <w:sz w:val="32"/>
          <w:szCs w:val="32"/>
          <w:highlight w:val="none"/>
        </w:rPr>
        <w:t>按照《预算法》规定，</w:t>
      </w:r>
      <w:r>
        <w:rPr>
          <w:rFonts w:eastAsia="仿宋_GB2312"/>
          <w:color w:val="auto"/>
          <w:sz w:val="32"/>
          <w:szCs w:val="32"/>
          <w:highlight w:val="none"/>
        </w:rPr>
        <w:t>经本级政府财政部门批复的部门预算及报表，应当在批复后20日内由各部门向社会公开</w:t>
      </w:r>
      <w:r>
        <w:rPr>
          <w:rFonts w:eastAsia="仿宋_GB2312"/>
          <w:bCs/>
          <w:color w:val="auto"/>
          <w:sz w:val="32"/>
          <w:szCs w:val="32"/>
          <w:highlight w:val="none"/>
        </w:rPr>
        <w:t>。</w:t>
      </w:r>
      <w:r>
        <w:rPr>
          <w:rFonts w:hint="eastAsia" w:eastAsia="仿宋_GB2312"/>
          <w:color w:val="auto"/>
          <w:sz w:val="32"/>
          <w:szCs w:val="32"/>
          <w:highlight w:val="none"/>
          <w:lang w:eastAsia="zh-CN"/>
        </w:rPr>
        <w:t>同时，各主管部门应当在接到本级政府财政部门批复的本部门预算后</w:t>
      </w:r>
      <w:r>
        <w:rPr>
          <w:rFonts w:hint="eastAsia" w:eastAsia="仿宋_GB2312"/>
          <w:color w:val="auto"/>
          <w:sz w:val="32"/>
          <w:szCs w:val="32"/>
          <w:highlight w:val="none"/>
          <w:lang w:val="en-US" w:eastAsia="zh-CN"/>
        </w:rPr>
        <w:t>15</w:t>
      </w:r>
      <w:r>
        <w:rPr>
          <w:rFonts w:hint="eastAsia" w:eastAsia="仿宋_GB2312"/>
          <w:color w:val="auto"/>
          <w:sz w:val="32"/>
          <w:szCs w:val="32"/>
          <w:highlight w:val="none"/>
          <w:lang w:eastAsia="zh-CN"/>
        </w:rPr>
        <w:t>日内向所属二级单位批复预算。</w:t>
      </w:r>
      <w:r>
        <w:rPr>
          <w:rFonts w:eastAsia="仿宋_GB2312"/>
          <w:color w:val="auto"/>
          <w:sz w:val="32"/>
          <w:szCs w:val="32"/>
          <w:highlight w:val="none"/>
        </w:rPr>
        <w:t>据此，</w:t>
      </w:r>
      <w:r>
        <w:rPr>
          <w:rFonts w:hint="eastAsia" w:eastAsia="仿宋_GB2312"/>
          <w:color w:val="auto"/>
          <w:sz w:val="32"/>
          <w:szCs w:val="32"/>
          <w:highlight w:val="none"/>
          <w:lang w:eastAsia="zh-CN"/>
        </w:rPr>
        <w:t>202</w:t>
      </w:r>
      <w:r>
        <w:rPr>
          <w:rFonts w:hint="default" w:eastAsia="仿宋_GB2312"/>
          <w:color w:val="auto"/>
          <w:sz w:val="32"/>
          <w:szCs w:val="32"/>
          <w:highlight w:val="none"/>
          <w:lang w:val="en" w:eastAsia="zh-CN"/>
        </w:rPr>
        <w:t>6</w:t>
      </w:r>
      <w:r>
        <w:rPr>
          <w:rFonts w:eastAsia="仿宋_GB2312"/>
          <w:color w:val="auto"/>
          <w:sz w:val="32"/>
          <w:szCs w:val="32"/>
          <w:highlight w:val="none"/>
        </w:rPr>
        <w:t>年</w:t>
      </w:r>
      <w:r>
        <w:rPr>
          <w:rFonts w:hint="eastAsia" w:ascii="仿宋_GB2312" w:hAnsi="仿宋_GB2312" w:eastAsia="仿宋_GB2312" w:cs="仿宋_GB2312"/>
          <w:color w:val="auto"/>
          <w:sz w:val="32"/>
          <w:szCs w:val="32"/>
          <w:highlight w:val="none"/>
        </w:rPr>
        <w:t>部门预算和“三公”经费预算</w:t>
      </w:r>
      <w:r>
        <w:rPr>
          <w:rFonts w:hint="eastAsia" w:ascii="仿宋_GB2312" w:hAnsi="仿宋_GB2312" w:eastAsia="仿宋_GB2312" w:cs="仿宋_GB2312"/>
          <w:color w:val="auto"/>
          <w:sz w:val="32"/>
          <w:szCs w:val="32"/>
          <w:highlight w:val="none"/>
          <w:lang w:eastAsia="zh-CN"/>
        </w:rPr>
        <w:t>一级单位</w:t>
      </w:r>
      <w:r>
        <w:rPr>
          <w:rFonts w:hint="eastAsia" w:eastAsia="仿宋_GB2312"/>
          <w:bCs/>
          <w:color w:val="auto"/>
          <w:sz w:val="32"/>
          <w:szCs w:val="32"/>
          <w:highlight w:val="none"/>
        </w:rPr>
        <w:t>定</w:t>
      </w:r>
      <w:r>
        <w:rPr>
          <w:rFonts w:eastAsia="仿宋_GB2312"/>
          <w:bCs/>
          <w:color w:val="auto"/>
          <w:sz w:val="32"/>
          <w:szCs w:val="32"/>
          <w:highlight w:val="none"/>
        </w:rPr>
        <w:t>于</w:t>
      </w:r>
      <w:r>
        <w:rPr>
          <w:rFonts w:hint="default" w:eastAsia="仿宋_GB2312"/>
          <w:color w:val="auto"/>
          <w:sz w:val="32"/>
          <w:szCs w:val="32"/>
          <w:highlight w:val="none"/>
          <w:lang w:val="en" w:eastAsia="zh-CN"/>
        </w:rPr>
        <w:t>20</w:t>
      </w:r>
      <w:r>
        <w:rPr>
          <w:rFonts w:hint="eastAsia" w:eastAsia="仿宋_GB2312"/>
          <w:color w:val="auto"/>
          <w:sz w:val="32"/>
          <w:szCs w:val="32"/>
          <w:highlight w:val="none"/>
          <w:lang w:val="en-US" w:eastAsia="zh-CN"/>
        </w:rPr>
        <w:t>2</w:t>
      </w:r>
      <w:r>
        <w:rPr>
          <w:rFonts w:hint="default" w:eastAsia="仿宋_GB2312"/>
          <w:color w:val="auto"/>
          <w:sz w:val="32"/>
          <w:szCs w:val="32"/>
          <w:highlight w:val="none"/>
          <w:lang w:val="en" w:eastAsia="zh-CN"/>
        </w:rPr>
        <w:t>6</w:t>
      </w:r>
      <w:r>
        <w:rPr>
          <w:rFonts w:eastAsia="仿宋_GB2312"/>
          <w:color w:val="auto"/>
          <w:sz w:val="32"/>
          <w:szCs w:val="32"/>
          <w:highlight w:val="none"/>
        </w:rPr>
        <w:t>年</w:t>
      </w:r>
      <w:r>
        <w:rPr>
          <w:rFonts w:hint="default" w:eastAsia="仿宋_GB2312"/>
          <w:color w:val="auto"/>
          <w:sz w:val="32"/>
          <w:szCs w:val="32"/>
          <w:highlight w:val="none"/>
          <w:lang w:val="en" w:eastAsia="zh-CN"/>
        </w:rPr>
        <w:t>1</w:t>
      </w:r>
      <w:r>
        <w:rPr>
          <w:rFonts w:eastAsia="仿宋_GB2312"/>
          <w:color w:val="auto"/>
          <w:sz w:val="32"/>
          <w:szCs w:val="32"/>
          <w:highlight w:val="none"/>
        </w:rPr>
        <w:t>月</w:t>
      </w:r>
      <w:r>
        <w:rPr>
          <w:rFonts w:hint="eastAsia" w:eastAsia="仿宋_GB2312"/>
          <w:color w:val="auto"/>
          <w:sz w:val="32"/>
          <w:szCs w:val="32"/>
          <w:highlight w:val="none"/>
          <w:lang w:val="en-US" w:eastAsia="zh-CN"/>
        </w:rPr>
        <w:t>29</w:t>
      </w:r>
      <w:r>
        <w:rPr>
          <w:rFonts w:eastAsia="仿宋_GB2312"/>
          <w:color w:val="auto"/>
          <w:sz w:val="32"/>
          <w:szCs w:val="32"/>
          <w:highlight w:val="none"/>
        </w:rPr>
        <w:t>日</w:t>
      </w:r>
      <w:r>
        <w:rPr>
          <w:rFonts w:hint="eastAsia" w:eastAsia="仿宋_GB2312"/>
          <w:color w:val="auto"/>
          <w:sz w:val="32"/>
          <w:szCs w:val="32"/>
          <w:highlight w:val="none"/>
          <w:lang w:eastAsia="zh-CN"/>
        </w:rPr>
        <w:t>，二级单位</w:t>
      </w:r>
      <w:r>
        <w:rPr>
          <w:rFonts w:hint="eastAsia" w:eastAsia="仿宋_GB2312"/>
          <w:color w:val="auto"/>
          <w:sz w:val="32"/>
          <w:szCs w:val="32"/>
          <w:highlight w:val="none"/>
          <w:lang w:val="en-US" w:eastAsia="zh-CN"/>
        </w:rPr>
        <w:t>2026年1月30日，</w:t>
      </w:r>
      <w:r>
        <w:rPr>
          <w:rFonts w:hint="eastAsia" w:eastAsia="仿宋_GB2312"/>
          <w:color w:val="auto"/>
          <w:sz w:val="32"/>
          <w:szCs w:val="32"/>
          <w:highlight w:val="none"/>
        </w:rPr>
        <w:t>集中统一</w:t>
      </w:r>
      <w:r>
        <w:rPr>
          <w:rFonts w:eastAsia="仿宋_GB2312"/>
          <w:color w:val="auto"/>
          <w:sz w:val="32"/>
          <w:szCs w:val="32"/>
          <w:highlight w:val="none"/>
        </w:rPr>
        <w:t>向社会公开。</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baseline"/>
        <w:rPr>
          <w:rFonts w:hint="default" w:eastAsia="仿宋_GB2312"/>
          <w:color w:val="auto"/>
          <w:sz w:val="32"/>
          <w:szCs w:val="32"/>
          <w:highlight w:val="none"/>
          <w:lang w:val="en-US" w:eastAsia="zh-CN"/>
        </w:rPr>
      </w:pPr>
      <w:r>
        <w:rPr>
          <w:rFonts w:hint="eastAsia" w:eastAsia="仿宋_GB2312"/>
          <w:color w:val="auto"/>
          <w:sz w:val="32"/>
          <w:szCs w:val="32"/>
          <w:highlight w:val="none"/>
          <w:lang w:eastAsia="zh-CN"/>
        </w:rPr>
        <w:t>按附件中操作手册流程，生成本部门的预算公开</w:t>
      </w:r>
      <w:r>
        <w:rPr>
          <w:rFonts w:hint="eastAsia" w:eastAsia="仿宋_GB2312"/>
          <w:color w:val="auto"/>
          <w:sz w:val="32"/>
          <w:szCs w:val="32"/>
          <w:highlight w:val="none"/>
          <w:lang w:val="en-US" w:eastAsia="zh-CN"/>
        </w:rPr>
        <w:t>pdf文件，并将文件上传公开网站，生成的PDF文件名不要改名，网站公开的标题用文件名。只有本级的部门，只公开部门预算。有下属单位的部门，既公开部门预算，也公开下属各单位预算。</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baseline"/>
        <w:rPr>
          <w:rFonts w:eastAsia="黑体"/>
          <w:bCs/>
          <w:sz w:val="32"/>
          <w:szCs w:val="32"/>
        </w:rPr>
      </w:pPr>
      <w:r>
        <w:rPr>
          <w:rFonts w:eastAsia="黑体"/>
          <w:bCs/>
          <w:sz w:val="32"/>
          <w:szCs w:val="32"/>
        </w:rPr>
        <w:t>三、公开形式</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baseline"/>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w:t>
      </w:r>
      <w:r>
        <w:rPr>
          <w:rFonts w:hint="eastAsia" w:ascii="楷体_GB2312" w:hAnsi="仿宋_GB2312" w:eastAsia="楷体_GB2312" w:cs="仿宋_GB2312"/>
          <w:sz w:val="32"/>
          <w:szCs w:val="32"/>
          <w:lang w:eastAsia="zh-CN"/>
        </w:rPr>
        <w:t>区</w:t>
      </w:r>
      <w:r>
        <w:rPr>
          <w:rFonts w:hint="eastAsia" w:ascii="楷体_GB2312" w:hAnsi="仿宋_GB2312" w:eastAsia="楷体_GB2312" w:cs="仿宋_GB2312"/>
          <w:sz w:val="32"/>
          <w:szCs w:val="32"/>
        </w:rPr>
        <w:t>政府序列单位、部门</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通过东丽区政府信息公开网（http：//www.tjdl.gov.cn/）按规定要求进行公开。</w:t>
      </w:r>
    </w:p>
    <w:p>
      <w:pPr>
        <w:keepNext w:val="0"/>
        <w:keepLines w:val="0"/>
        <w:pageBreakBefore w:val="0"/>
        <w:widowControl w:val="0"/>
        <w:numPr>
          <w:ilvl w:val="0"/>
          <w:numId w:val="1"/>
        </w:numPr>
        <w:kinsoku/>
        <w:wordWrap/>
        <w:overflowPunct/>
        <w:topLinePunct w:val="0"/>
        <w:autoSpaceDE/>
        <w:autoSpaceDN/>
        <w:bidi w:val="0"/>
        <w:adjustRightInd w:val="0"/>
        <w:snapToGrid/>
        <w:spacing w:line="540" w:lineRule="exact"/>
        <w:ind w:firstLine="640" w:firstLineChars="200"/>
        <w:textAlignment w:val="baseline"/>
        <w:rPr>
          <w:rFonts w:hint="eastAsia" w:ascii="楷体_GB2312" w:hAnsi="仿宋_GB2312" w:eastAsia="楷体_GB2312" w:cs="仿宋_GB2312"/>
          <w:color w:val="auto"/>
          <w:sz w:val="32"/>
          <w:szCs w:val="32"/>
        </w:rPr>
      </w:pPr>
      <w:r>
        <w:rPr>
          <w:rFonts w:hint="eastAsia" w:ascii="楷体_GB2312" w:hAnsi="仿宋_GB2312" w:eastAsia="楷体_GB2312" w:cs="仿宋_GB2312"/>
          <w:color w:val="auto"/>
          <w:sz w:val="32"/>
          <w:szCs w:val="32"/>
        </w:rPr>
        <w:t>区政府序列以外的其他单位、部门</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由于区委等部门不属于政府序列，在区政府信息公开网上无法注册登录，因此，区政府序列以外的其他单位、部门参照去年公开方式，在财政局对外信息公开平台公开。</w:t>
      </w:r>
      <w:r>
        <w:rPr>
          <w:rFonts w:hint="eastAsia" w:ascii="仿宋_GB2312" w:hAnsi="仿宋_GB2312" w:eastAsia="仿宋_GB2312" w:cs="仿宋_GB2312"/>
          <w:color w:val="auto"/>
          <w:sz w:val="32"/>
          <w:szCs w:val="32"/>
          <w:lang w:eastAsia="zh-CN"/>
        </w:rPr>
        <w:t>请</w:t>
      </w:r>
      <w:r>
        <w:rPr>
          <w:rFonts w:hint="eastAsia" w:ascii="仿宋_GB2312" w:hAnsi="仿宋_GB2312" w:eastAsia="仿宋_GB2312" w:cs="仿宋_GB2312"/>
          <w:color w:val="auto"/>
          <w:sz w:val="32"/>
          <w:szCs w:val="32"/>
        </w:rPr>
        <w:t>相关单位、部门将需公开的表格和文字说明等材料打印盖公章附电子版拷贝</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b/>
          <w:bCs/>
          <w:color w:val="auto"/>
          <w:sz w:val="32"/>
          <w:szCs w:val="32"/>
          <w:lang w:eastAsia="zh-CN"/>
        </w:rPr>
        <w:t>《涉密审查表》</w:t>
      </w:r>
      <w:r>
        <w:rPr>
          <w:rFonts w:hint="eastAsia" w:ascii="仿宋_GB2312" w:hAnsi="仿宋_GB2312" w:eastAsia="仿宋_GB2312" w:cs="仿宋_GB2312"/>
          <w:color w:val="auto"/>
          <w:sz w:val="32"/>
          <w:szCs w:val="32"/>
        </w:rPr>
        <w:t>报送财政局编审中心</w:t>
      </w:r>
      <w:r>
        <w:rPr>
          <w:rFonts w:hint="eastAsia" w:ascii="仿宋_GB2312" w:hAnsi="仿宋_GB2312" w:eastAsia="仿宋_GB2312" w:cs="仿宋_GB2312"/>
          <w:b/>
          <w:bCs/>
          <w:color w:val="auto"/>
          <w:sz w:val="32"/>
          <w:szCs w:val="32"/>
          <w:lang w:val="en-US" w:eastAsia="zh-CN"/>
        </w:rPr>
        <w:t>206室</w:t>
      </w:r>
      <w:r>
        <w:rPr>
          <w:rFonts w:hint="eastAsia" w:ascii="仿宋_GB2312" w:hAnsi="仿宋_GB2312" w:eastAsia="仿宋_GB2312" w:cs="仿宋_GB2312"/>
          <w:color w:val="auto"/>
          <w:sz w:val="32"/>
          <w:szCs w:val="32"/>
        </w:rPr>
        <w:t>，由相关工作人员在财政局对外信息公开平台予以公开。</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baseline"/>
        <w:rPr>
          <w:rFonts w:eastAsia="黑体"/>
          <w:sz w:val="32"/>
          <w:szCs w:val="32"/>
        </w:rPr>
      </w:pPr>
      <w:r>
        <w:rPr>
          <w:rFonts w:eastAsia="黑体"/>
          <w:sz w:val="32"/>
          <w:szCs w:val="32"/>
        </w:rPr>
        <w:t>四、公开内容</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jc w:val="both"/>
        <w:textAlignment w:val="baseline"/>
        <w:rPr>
          <w:rFonts w:hint="eastAsia" w:eastAsia="仿宋_GB2312"/>
          <w:color w:val="0000FF"/>
          <w:sz w:val="32"/>
          <w:szCs w:val="32"/>
        </w:rPr>
      </w:pPr>
      <w:r>
        <w:rPr>
          <w:rFonts w:eastAsia="楷体_GB2312"/>
          <w:sz w:val="32"/>
          <w:szCs w:val="32"/>
        </w:rPr>
        <w:t>（一）部门预算</w:t>
      </w:r>
      <w:r>
        <w:rPr>
          <w:rFonts w:hint="eastAsia" w:eastAsia="楷体_GB2312"/>
          <w:sz w:val="32"/>
          <w:szCs w:val="32"/>
          <w:lang w:eastAsia="zh-CN"/>
        </w:rPr>
        <w:t>。</w:t>
      </w:r>
      <w:r>
        <w:rPr>
          <w:rFonts w:eastAsia="仿宋_GB2312"/>
          <w:sz w:val="32"/>
          <w:szCs w:val="32"/>
        </w:rPr>
        <w:t>除涉密信息外，</w:t>
      </w:r>
      <w:r>
        <w:rPr>
          <w:rFonts w:hint="eastAsia" w:ascii="仿宋_GB2312" w:hAnsi="仿宋_GB2312" w:eastAsia="仿宋_GB2312" w:cs="仿宋_GB2312"/>
          <w:sz w:val="32"/>
          <w:szCs w:val="32"/>
        </w:rPr>
        <w:t>区财政批复</w:t>
      </w:r>
      <w:r>
        <w:rPr>
          <w:rFonts w:eastAsia="仿宋_GB2312"/>
          <w:sz w:val="32"/>
          <w:szCs w:val="32"/>
        </w:rPr>
        <w:t>的</w:t>
      </w:r>
      <w:r>
        <w:rPr>
          <w:rFonts w:hint="eastAsia" w:eastAsia="仿宋_GB2312"/>
          <w:sz w:val="32"/>
          <w:szCs w:val="32"/>
          <w:lang w:eastAsia="zh-CN"/>
        </w:rPr>
        <w:t>202</w:t>
      </w:r>
      <w:r>
        <w:rPr>
          <w:rFonts w:hint="eastAsia" w:eastAsia="仿宋_GB2312"/>
          <w:sz w:val="32"/>
          <w:szCs w:val="32"/>
          <w:lang w:val="en-US" w:eastAsia="zh-CN"/>
        </w:rPr>
        <w:t>6</w:t>
      </w:r>
      <w:r>
        <w:rPr>
          <w:rFonts w:eastAsia="仿宋_GB2312"/>
          <w:sz w:val="32"/>
          <w:szCs w:val="32"/>
        </w:rPr>
        <w:t>年部门预算内容应全部公开，包括</w:t>
      </w:r>
      <w:r>
        <w:rPr>
          <w:rFonts w:hint="eastAsia" w:eastAsia="仿宋_GB2312"/>
          <w:sz w:val="32"/>
          <w:szCs w:val="32"/>
          <w:lang w:eastAsia="zh-CN"/>
        </w:rPr>
        <w:t>汇总预算、</w:t>
      </w:r>
      <w:r>
        <w:rPr>
          <w:rFonts w:eastAsia="仿宋_GB2312"/>
          <w:sz w:val="32"/>
          <w:szCs w:val="32"/>
        </w:rPr>
        <w:t>本级及所属单位预算</w:t>
      </w:r>
      <w:r>
        <w:rPr>
          <w:rFonts w:hint="eastAsia" w:eastAsia="仿宋_GB2312"/>
          <w:sz w:val="32"/>
          <w:szCs w:val="32"/>
          <w:lang w:eastAsia="zh-CN"/>
        </w:rPr>
        <w:t>，</w:t>
      </w:r>
      <w:r>
        <w:rPr>
          <w:rFonts w:eastAsia="仿宋_GB2312"/>
          <w:sz w:val="32"/>
          <w:szCs w:val="32"/>
        </w:rPr>
        <w:t>并按</w:t>
      </w:r>
      <w:r>
        <w:rPr>
          <w:rFonts w:hint="eastAsia" w:eastAsia="仿宋_GB2312"/>
          <w:sz w:val="32"/>
          <w:szCs w:val="32"/>
        </w:rPr>
        <w:t>部门预算</w:t>
      </w:r>
      <w:r>
        <w:rPr>
          <w:rFonts w:eastAsia="仿宋_GB2312"/>
          <w:sz w:val="32"/>
          <w:szCs w:val="32"/>
        </w:rPr>
        <w:t>支出经济分类单独公开基本支出预算安排情况。</w:t>
      </w:r>
      <w:r>
        <w:rPr>
          <w:rFonts w:hint="eastAsia" w:eastAsia="仿宋_GB2312"/>
          <w:sz w:val="32"/>
          <w:szCs w:val="32"/>
        </w:rPr>
        <w:t>同时，为便于公众理解，还应公开本部门职责、机构设置、预算收支增减变化、机关运行经费安排、政府采购，以及国有资产占用、重点项目预算的绩效目标等情况的说明，并对专业性较强的名词进行详细解释。</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jc w:val="both"/>
        <w:textAlignment w:val="baseline"/>
        <w:rPr>
          <w:rFonts w:hint="eastAsia" w:eastAsia="仿宋_GB2312"/>
          <w:color w:val="auto"/>
          <w:sz w:val="32"/>
          <w:szCs w:val="32"/>
        </w:rPr>
      </w:pPr>
      <w:r>
        <w:rPr>
          <w:rFonts w:eastAsia="楷体_GB2312"/>
          <w:sz w:val="32"/>
          <w:szCs w:val="32"/>
        </w:rPr>
        <w:t>（二）“三公”经费预算</w:t>
      </w:r>
      <w:r>
        <w:rPr>
          <w:rFonts w:hint="eastAsia" w:eastAsia="楷体_GB2312"/>
          <w:sz w:val="32"/>
          <w:szCs w:val="32"/>
          <w:lang w:eastAsia="zh-CN"/>
        </w:rPr>
        <w:t>。</w:t>
      </w:r>
      <w:r>
        <w:rPr>
          <w:rFonts w:eastAsia="仿宋_GB2312"/>
          <w:color w:val="auto"/>
          <w:sz w:val="32"/>
          <w:szCs w:val="32"/>
        </w:rPr>
        <w:t>除涉密信息外，</w:t>
      </w:r>
      <w:r>
        <w:rPr>
          <w:rFonts w:hint="eastAsia" w:ascii="仿宋_GB2312" w:hAnsi="仿宋_GB2312" w:eastAsia="仿宋_GB2312" w:cs="仿宋_GB2312"/>
          <w:color w:val="auto"/>
          <w:sz w:val="32"/>
          <w:szCs w:val="32"/>
        </w:rPr>
        <w:t>区级主管预算部门</w:t>
      </w:r>
      <w:r>
        <w:rPr>
          <w:rFonts w:eastAsia="仿宋_GB2312"/>
          <w:snapToGrid w:val="0"/>
          <w:color w:val="auto"/>
          <w:sz w:val="32"/>
          <w:szCs w:val="32"/>
        </w:rPr>
        <w:t>要</w:t>
      </w:r>
      <w:r>
        <w:rPr>
          <w:rFonts w:eastAsia="仿宋_GB2312"/>
          <w:color w:val="auto"/>
          <w:sz w:val="32"/>
          <w:szCs w:val="32"/>
        </w:rPr>
        <w:t>公开本部门“三公”经费预算总额和分项数额，并对增减变化的原因进行说明。</w:t>
      </w:r>
    </w:p>
    <w:p>
      <w:pPr>
        <w:keepNext w:val="0"/>
        <w:keepLines w:val="0"/>
        <w:pageBreakBefore w:val="0"/>
        <w:widowControl w:val="0"/>
        <w:numPr>
          <w:ilvl w:val="0"/>
          <w:numId w:val="1"/>
        </w:numPr>
        <w:kinsoku/>
        <w:wordWrap/>
        <w:overflowPunct/>
        <w:topLinePunct w:val="0"/>
        <w:autoSpaceDE/>
        <w:autoSpaceDN/>
        <w:bidi w:val="0"/>
        <w:adjustRightInd w:val="0"/>
        <w:snapToGrid/>
        <w:spacing w:line="540" w:lineRule="exact"/>
        <w:ind w:firstLine="640" w:firstLineChars="200"/>
        <w:jc w:val="both"/>
        <w:textAlignment w:val="baseline"/>
        <w:rPr>
          <w:rFonts w:hint="eastAsia" w:eastAsia="仿宋_GB2312"/>
          <w:color w:val="auto"/>
          <w:sz w:val="32"/>
          <w:szCs w:val="32"/>
          <w:highlight w:val="none"/>
        </w:rPr>
      </w:pPr>
      <w:r>
        <w:rPr>
          <w:rFonts w:hint="eastAsia" w:eastAsia="楷体_GB2312"/>
          <w:sz w:val="32"/>
          <w:szCs w:val="32"/>
          <w:highlight w:val="none"/>
        </w:rPr>
        <w:t>项目文本</w:t>
      </w:r>
      <w:r>
        <w:rPr>
          <w:rFonts w:hint="eastAsia" w:eastAsia="楷体_GB2312"/>
          <w:sz w:val="32"/>
          <w:szCs w:val="32"/>
          <w:highlight w:val="none"/>
          <w:lang w:eastAsia="zh-CN"/>
        </w:rPr>
        <w:t>。</w:t>
      </w:r>
      <w:r>
        <w:rPr>
          <w:rFonts w:hint="eastAsia" w:eastAsia="仿宋_GB2312"/>
          <w:color w:val="auto"/>
          <w:sz w:val="32"/>
          <w:szCs w:val="32"/>
          <w:highlight w:val="none"/>
          <w:lang w:eastAsia="zh-CN"/>
        </w:rPr>
        <w:t>按照市财政局预算公开的相关要求，</w:t>
      </w:r>
      <w:r>
        <w:rPr>
          <w:rFonts w:hint="default" w:eastAsia="仿宋_GB2312"/>
          <w:color w:val="auto"/>
          <w:sz w:val="32"/>
          <w:szCs w:val="32"/>
          <w:highlight w:val="none"/>
          <w:lang w:val="en" w:eastAsia="zh-CN"/>
        </w:rPr>
        <w:t>20</w:t>
      </w:r>
      <w:r>
        <w:rPr>
          <w:rFonts w:hint="eastAsia" w:eastAsia="仿宋_GB2312"/>
          <w:color w:val="auto"/>
          <w:sz w:val="32"/>
          <w:szCs w:val="32"/>
          <w:highlight w:val="none"/>
          <w:lang w:val="en-US" w:eastAsia="zh-CN"/>
        </w:rPr>
        <w:t>2</w:t>
      </w:r>
      <w:r>
        <w:rPr>
          <w:rFonts w:hint="default" w:eastAsia="仿宋_GB2312"/>
          <w:color w:val="auto"/>
          <w:sz w:val="32"/>
          <w:szCs w:val="32"/>
          <w:highlight w:val="none"/>
          <w:lang w:val="en" w:eastAsia="zh-CN"/>
        </w:rPr>
        <w:t>6</w:t>
      </w:r>
      <w:r>
        <w:rPr>
          <w:rFonts w:hint="eastAsia" w:eastAsia="仿宋_GB2312"/>
          <w:color w:val="auto"/>
          <w:sz w:val="32"/>
          <w:szCs w:val="32"/>
          <w:highlight w:val="none"/>
          <w:lang w:val="en-US" w:eastAsia="zh-CN"/>
        </w:rPr>
        <w:t>年</w:t>
      </w:r>
      <w:r>
        <w:rPr>
          <w:rFonts w:hint="eastAsia" w:eastAsia="仿宋_GB2312"/>
          <w:color w:val="auto"/>
          <w:sz w:val="32"/>
          <w:szCs w:val="32"/>
          <w:highlight w:val="none"/>
          <w:lang w:eastAsia="zh-CN"/>
        </w:rPr>
        <w:t>我区将</w:t>
      </w:r>
      <w:r>
        <w:rPr>
          <w:rFonts w:hint="eastAsia" w:eastAsia="仿宋_GB2312"/>
          <w:color w:val="auto"/>
          <w:sz w:val="32"/>
          <w:szCs w:val="32"/>
          <w:highlight w:val="none"/>
        </w:rPr>
        <w:t>全面公开</w:t>
      </w:r>
      <w:r>
        <w:rPr>
          <w:rFonts w:hint="eastAsia" w:eastAsia="仿宋_GB2312"/>
          <w:color w:val="auto"/>
          <w:sz w:val="32"/>
          <w:szCs w:val="32"/>
          <w:highlight w:val="none"/>
          <w:lang w:eastAsia="zh-CN"/>
        </w:rPr>
        <w:t>预算单位</w:t>
      </w:r>
      <w:r>
        <w:rPr>
          <w:rFonts w:hint="eastAsia" w:eastAsia="仿宋_GB2312"/>
          <w:color w:val="auto"/>
          <w:sz w:val="32"/>
          <w:szCs w:val="32"/>
          <w:highlight w:val="none"/>
        </w:rPr>
        <w:t>、</w:t>
      </w:r>
      <w:r>
        <w:rPr>
          <w:rFonts w:hint="eastAsia" w:eastAsia="仿宋_GB2312"/>
          <w:color w:val="auto"/>
          <w:sz w:val="32"/>
          <w:szCs w:val="32"/>
          <w:highlight w:val="none"/>
          <w:lang w:eastAsia="zh-CN"/>
        </w:rPr>
        <w:t>项目支出预算以及</w:t>
      </w:r>
      <w:r>
        <w:rPr>
          <w:rFonts w:hint="eastAsia" w:eastAsia="仿宋_GB2312"/>
          <w:color w:val="auto"/>
          <w:sz w:val="32"/>
          <w:szCs w:val="32"/>
          <w:highlight w:val="none"/>
        </w:rPr>
        <w:t>绩效目标</w:t>
      </w:r>
      <w:r>
        <w:rPr>
          <w:rFonts w:hint="eastAsia" w:eastAsia="仿宋_GB2312"/>
          <w:color w:val="auto"/>
          <w:sz w:val="32"/>
          <w:szCs w:val="32"/>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val="0"/>
        <w:snapToGrid/>
        <w:spacing w:line="540" w:lineRule="exact"/>
        <w:ind w:firstLine="640" w:firstLineChars="200"/>
        <w:textAlignment w:val="baseline"/>
        <w:rPr>
          <w:rFonts w:hint="eastAsia" w:eastAsia="黑体"/>
          <w:sz w:val="32"/>
          <w:szCs w:val="32"/>
          <w:lang w:eastAsia="zh-CN"/>
        </w:rPr>
      </w:pPr>
      <w:r>
        <w:rPr>
          <w:rFonts w:hint="eastAsia" w:eastAsia="黑体"/>
          <w:sz w:val="32"/>
          <w:szCs w:val="32"/>
          <w:lang w:eastAsia="zh-CN"/>
        </w:rPr>
        <w:t>工作要求</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jc w:val="both"/>
        <w:textAlignment w:val="baseline"/>
        <w:rPr>
          <w:rFonts w:eastAsia="仿宋_GB2312"/>
          <w:sz w:val="32"/>
          <w:szCs w:val="32"/>
        </w:rPr>
      </w:pPr>
      <w:r>
        <w:rPr>
          <w:rFonts w:eastAsia="楷体_GB2312"/>
          <w:sz w:val="32"/>
          <w:szCs w:val="32"/>
        </w:rPr>
        <w:t>（一）高度重视，加强领导。</w:t>
      </w:r>
      <w:r>
        <w:rPr>
          <w:rFonts w:hint="eastAsia" w:eastAsia="仿宋_GB2312"/>
          <w:sz w:val="32"/>
          <w:szCs w:val="32"/>
        </w:rPr>
        <w:t>区级主管预算部门</w:t>
      </w:r>
      <w:r>
        <w:rPr>
          <w:rFonts w:eastAsia="仿宋_GB2312"/>
          <w:sz w:val="32"/>
          <w:szCs w:val="32"/>
        </w:rPr>
        <w:t>要充分认识做好部门预算和“三公”经费预算公开工作的重要意义，加强组织领导，强化预算公开主体责任，指定专人具体负责，在规定时间内完成此项工作。为方便社会公众查阅，主动接受社会监督，所有公开的部门预算和“三公”经费预算内容，一经公开</w:t>
      </w:r>
      <w:r>
        <w:rPr>
          <w:rFonts w:hint="eastAsia" w:eastAsia="仿宋_GB2312"/>
          <w:sz w:val="32"/>
          <w:szCs w:val="32"/>
        </w:rPr>
        <w:t>要永久保留，</w:t>
      </w:r>
      <w:r>
        <w:rPr>
          <w:rFonts w:eastAsia="仿宋_GB2312"/>
          <w:sz w:val="32"/>
          <w:szCs w:val="32"/>
        </w:rPr>
        <w:t>不得修改或删除。</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jc w:val="both"/>
        <w:textAlignment w:val="baseline"/>
        <w:rPr>
          <w:rFonts w:eastAsia="仿宋_GB2312"/>
          <w:sz w:val="32"/>
          <w:szCs w:val="32"/>
        </w:rPr>
      </w:pPr>
      <w:r>
        <w:rPr>
          <w:rFonts w:eastAsia="楷体_GB2312"/>
          <w:sz w:val="32"/>
          <w:szCs w:val="32"/>
        </w:rPr>
        <w:t>（二）加强审查，依法公开。</w:t>
      </w:r>
      <w:r>
        <w:rPr>
          <w:rFonts w:eastAsia="仿宋_GB2312"/>
          <w:sz w:val="32"/>
          <w:szCs w:val="32"/>
        </w:rPr>
        <w:t>各单位要按照《中华人民共和国保守国家秘密法》</w:t>
      </w:r>
      <w:r>
        <w:rPr>
          <w:rFonts w:hint="eastAsia" w:eastAsia="仿宋_GB2312"/>
          <w:sz w:val="32"/>
          <w:szCs w:val="32"/>
        </w:rPr>
        <w:t>、《中华人民共和国政府信息公开条例》</w:t>
      </w:r>
      <w:r>
        <w:rPr>
          <w:rFonts w:eastAsia="仿宋_GB2312"/>
          <w:sz w:val="32"/>
          <w:szCs w:val="32"/>
        </w:rPr>
        <w:t>等法律法规规定，做好保密审查工作。对部门预算中涉及国家秘密、商业秘密、个人隐私的信息，依法不予公开。对部分内容涉及国家秘密、商业秘密、个人隐私的，应在支出总额不变的情况下区分处理，创造条件将不涉密内容公开。</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jc w:val="both"/>
        <w:textAlignment w:val="baseline"/>
        <w:rPr>
          <w:rFonts w:eastAsia="仿宋_GB2312"/>
          <w:sz w:val="32"/>
          <w:szCs w:val="32"/>
        </w:rPr>
      </w:pPr>
      <w:r>
        <w:rPr>
          <w:rFonts w:eastAsia="楷体_GB2312"/>
          <w:sz w:val="32"/>
          <w:szCs w:val="32"/>
        </w:rPr>
        <w:t>（三）把握关切，及时回应。</w:t>
      </w:r>
      <w:r>
        <w:rPr>
          <w:rFonts w:eastAsia="仿宋_GB2312"/>
          <w:sz w:val="32"/>
          <w:szCs w:val="32"/>
        </w:rPr>
        <w:t>各单位要加强社会反映评估和舆情引导，实事求是、准确全面反映预算信息。公开前，要对</w:t>
      </w:r>
      <w:r>
        <w:rPr>
          <w:rFonts w:hint="eastAsia" w:eastAsia="仿宋_GB2312"/>
          <w:sz w:val="32"/>
          <w:szCs w:val="32"/>
        </w:rPr>
        <w:t>可能出现</w:t>
      </w:r>
      <w:r>
        <w:rPr>
          <w:rFonts w:eastAsia="仿宋_GB2312"/>
          <w:sz w:val="32"/>
          <w:szCs w:val="32"/>
        </w:rPr>
        <w:t>的社会反映进行预判，做好应对预案；公开后，要跟踪舆情，主动引导，及时解疑释惑，避免公众误解。</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楷体_GB2312" w:eastAsia="楷体_GB2312"/>
          <w:sz w:val="32"/>
          <w:szCs w:val="32"/>
        </w:rPr>
        <w:t>（四）严肃纪律，强化责任</w:t>
      </w:r>
      <w:r>
        <w:rPr>
          <w:rFonts w:eastAsia="仿宋_GB2312"/>
          <w:sz w:val="32"/>
          <w:szCs w:val="32"/>
        </w:rPr>
        <w:t>。预算公开是各</w:t>
      </w:r>
      <w:r>
        <w:rPr>
          <w:rFonts w:hint="eastAsia" w:eastAsia="仿宋_GB2312"/>
          <w:sz w:val="32"/>
          <w:szCs w:val="32"/>
        </w:rPr>
        <w:t>部门</w:t>
      </w:r>
      <w:r>
        <w:rPr>
          <w:rFonts w:eastAsia="仿宋_GB2312"/>
          <w:sz w:val="32"/>
          <w:szCs w:val="32"/>
        </w:rPr>
        <w:t>依法应当履行的义务，</w:t>
      </w:r>
      <w:r>
        <w:rPr>
          <w:rFonts w:hint="eastAsia" w:ascii="仿宋_GB2312" w:hAnsi="仿宋_GB2312" w:eastAsia="仿宋_GB2312" w:cs="仿宋_GB2312"/>
          <w:sz w:val="32"/>
          <w:szCs w:val="32"/>
        </w:rPr>
        <w:t>各单位要严格按照区财政局批复的预算金额、支出科目，参考预算公开格式据实编制说明事项，及时主动向社会公开相关信息。</w:t>
      </w:r>
    </w:p>
    <w:p>
      <w:pPr>
        <w:keepNext w:val="0"/>
        <w:keepLines w:val="0"/>
        <w:pageBreakBefore w:val="0"/>
        <w:widowControl w:val="0"/>
        <w:kinsoku/>
        <w:wordWrap/>
        <w:overflowPunct/>
        <w:topLinePunct w:val="0"/>
        <w:autoSpaceDE/>
        <w:autoSpaceDN/>
        <w:bidi w:val="0"/>
        <w:adjustRightInd w:val="0"/>
        <w:snapToGrid/>
        <w:spacing w:line="540" w:lineRule="exact"/>
        <w:ind w:left="1598" w:leftChars="266" w:hanging="960" w:hangingChars="300"/>
        <w:jc w:val="both"/>
        <w:textAlignment w:val="baseline"/>
        <w:rPr>
          <w:rFonts w:hint="eastAsia" w:eastAsia="仿宋_GB2312"/>
          <w:color w:val="auto"/>
          <w:sz w:val="32"/>
          <w:szCs w:val="32"/>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eastAsia="仿宋_GB2312"/>
          <w:color w:val="auto"/>
          <w:sz w:val="32"/>
          <w:szCs w:val="32"/>
        </w:rPr>
        <w:t>XX部门关于商请代公开</w:t>
      </w:r>
      <w:r>
        <w:rPr>
          <w:rFonts w:hint="default" w:eastAsia="仿宋_GB2312"/>
          <w:color w:val="auto"/>
          <w:sz w:val="32"/>
          <w:szCs w:val="32"/>
          <w:lang w:val="en"/>
        </w:rPr>
        <w:t>20</w:t>
      </w:r>
      <w:r>
        <w:rPr>
          <w:rFonts w:hint="eastAsia" w:eastAsia="仿宋_GB2312"/>
          <w:color w:val="auto"/>
          <w:sz w:val="32"/>
          <w:szCs w:val="32"/>
          <w:lang w:val="en-US" w:eastAsia="zh-CN"/>
        </w:rPr>
        <w:t>2</w:t>
      </w:r>
      <w:r>
        <w:rPr>
          <w:rFonts w:hint="default" w:eastAsia="仿宋_GB2312"/>
          <w:color w:val="auto"/>
          <w:sz w:val="32"/>
          <w:szCs w:val="32"/>
          <w:lang w:val="en"/>
        </w:rPr>
        <w:t>6</w:t>
      </w:r>
      <w:r>
        <w:rPr>
          <w:rFonts w:hint="eastAsia" w:eastAsia="仿宋_GB2312"/>
          <w:color w:val="auto"/>
          <w:sz w:val="32"/>
          <w:szCs w:val="32"/>
        </w:rPr>
        <w:t>年部门预算和“三公”经费预算信息的函</w:t>
      </w:r>
    </w:p>
    <w:p>
      <w:pPr>
        <w:keepNext w:val="0"/>
        <w:keepLines w:val="0"/>
        <w:pageBreakBefore w:val="0"/>
        <w:widowControl w:val="0"/>
        <w:numPr>
          <w:ilvl w:val="0"/>
          <w:numId w:val="3"/>
        </w:numPr>
        <w:kinsoku/>
        <w:wordWrap/>
        <w:overflowPunct/>
        <w:topLinePunct w:val="0"/>
        <w:autoSpaceDE/>
        <w:autoSpaceDN/>
        <w:bidi w:val="0"/>
        <w:adjustRightInd w:val="0"/>
        <w:snapToGrid/>
        <w:spacing w:line="540" w:lineRule="exact"/>
        <w:ind w:left="1758" w:leftChars="0" w:firstLine="0" w:firstLineChars="0"/>
        <w:jc w:val="both"/>
        <w:textAlignment w:val="baseline"/>
        <w:rPr>
          <w:rFonts w:hint="eastAsia" w:eastAsia="仿宋_GB2312"/>
          <w:color w:val="auto"/>
          <w:sz w:val="32"/>
          <w:szCs w:val="32"/>
          <w:lang w:val="en-US" w:eastAsia="zh-CN"/>
        </w:rPr>
      </w:pPr>
      <w:r>
        <w:rPr>
          <w:rFonts w:hint="eastAsia" w:eastAsia="仿宋_GB2312"/>
          <w:color w:val="auto"/>
          <w:sz w:val="32"/>
          <w:szCs w:val="32"/>
          <w:lang w:val="en-US" w:eastAsia="zh-CN"/>
        </w:rPr>
        <w:t>涉密审查表</w:t>
      </w:r>
    </w:p>
    <w:p>
      <w:pPr>
        <w:keepNext w:val="0"/>
        <w:keepLines w:val="0"/>
        <w:pageBreakBefore w:val="0"/>
        <w:widowControl w:val="0"/>
        <w:numPr>
          <w:ilvl w:val="0"/>
          <w:numId w:val="3"/>
        </w:numPr>
        <w:kinsoku/>
        <w:wordWrap/>
        <w:overflowPunct/>
        <w:topLinePunct w:val="0"/>
        <w:autoSpaceDE/>
        <w:autoSpaceDN/>
        <w:bidi w:val="0"/>
        <w:adjustRightInd w:val="0"/>
        <w:snapToGrid/>
        <w:spacing w:line="540" w:lineRule="exact"/>
        <w:ind w:left="1758" w:leftChars="0" w:firstLine="0" w:firstLineChars="0"/>
        <w:jc w:val="both"/>
        <w:textAlignment w:val="baseline"/>
        <w:rPr>
          <w:rFonts w:hint="eastAsia" w:eastAsia="仿宋_GB2312"/>
          <w:color w:val="auto"/>
          <w:sz w:val="32"/>
          <w:szCs w:val="32"/>
          <w:lang w:val="en-US" w:eastAsia="zh-CN"/>
        </w:rPr>
      </w:pPr>
      <w:r>
        <w:rPr>
          <w:rFonts w:hint="eastAsia" w:eastAsia="仿宋_GB2312"/>
          <w:color w:val="auto"/>
          <w:sz w:val="32"/>
          <w:szCs w:val="32"/>
          <w:lang w:val="en-US" w:eastAsia="zh-CN"/>
        </w:rPr>
        <w:t>东丽区预算公开操作手册</w:t>
      </w:r>
    </w:p>
    <w:p>
      <w:pPr>
        <w:keepNext w:val="0"/>
        <w:keepLines w:val="0"/>
        <w:pageBreakBefore w:val="0"/>
        <w:widowControl w:val="0"/>
        <w:numPr>
          <w:ilvl w:val="0"/>
          <w:numId w:val="3"/>
        </w:numPr>
        <w:kinsoku/>
        <w:wordWrap/>
        <w:overflowPunct/>
        <w:topLinePunct w:val="0"/>
        <w:autoSpaceDE/>
        <w:autoSpaceDN/>
        <w:bidi w:val="0"/>
        <w:adjustRightInd w:val="0"/>
        <w:snapToGrid/>
        <w:spacing w:line="540" w:lineRule="exact"/>
        <w:ind w:left="1758" w:leftChars="0" w:firstLine="0" w:firstLineChars="0"/>
        <w:jc w:val="both"/>
        <w:textAlignment w:val="baseline"/>
        <w:rPr>
          <w:rFonts w:hint="eastAsia" w:eastAsia="仿宋_GB2312"/>
          <w:color w:val="auto"/>
          <w:sz w:val="32"/>
          <w:szCs w:val="32"/>
          <w:lang w:val="en-US" w:eastAsia="zh-CN"/>
        </w:rPr>
      </w:pPr>
      <w:r>
        <w:rPr>
          <w:rFonts w:hint="eastAsia" w:eastAsia="仿宋_GB2312"/>
          <w:color w:val="auto"/>
          <w:sz w:val="32"/>
          <w:szCs w:val="32"/>
          <w:lang w:val="en-US" w:eastAsia="zh-CN"/>
        </w:rPr>
        <w:t>部门预算批复模板</w:t>
      </w:r>
    </w:p>
    <w:p>
      <w:pPr>
        <w:keepNext w:val="0"/>
        <w:keepLines w:val="0"/>
        <w:pageBreakBefore w:val="0"/>
        <w:widowControl w:val="0"/>
        <w:kinsoku/>
        <w:wordWrap/>
        <w:overflowPunct/>
        <w:topLinePunct w:val="0"/>
        <w:autoSpaceDE/>
        <w:autoSpaceDN/>
        <w:bidi w:val="0"/>
        <w:adjustRightInd w:val="0"/>
        <w:snapToGrid/>
        <w:spacing w:line="540" w:lineRule="exact"/>
        <w:ind w:right="600" w:firstLine="640" w:firstLineChars="200"/>
        <w:jc w:val="center"/>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40" w:lineRule="exact"/>
        <w:ind w:right="600" w:firstLine="640" w:firstLineChars="200"/>
        <w:jc w:val="center"/>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eastAsia="zh-CN"/>
        </w:rPr>
        <w:t>东丽区财政局</w:t>
      </w:r>
    </w:p>
    <w:p>
      <w:pPr>
        <w:keepNext w:val="0"/>
        <w:keepLines w:val="0"/>
        <w:pageBreakBefore w:val="0"/>
        <w:widowControl w:val="0"/>
        <w:kinsoku/>
        <w:wordWrap/>
        <w:overflowPunct/>
        <w:topLinePunct w:val="0"/>
        <w:autoSpaceDE/>
        <w:autoSpaceDN/>
        <w:bidi w:val="0"/>
        <w:adjustRightInd w:val="0"/>
        <w:snapToGrid/>
        <w:spacing w:line="540" w:lineRule="exact"/>
        <w:ind w:right="600" w:firstLine="640" w:firstLineChars="200"/>
        <w:jc w:val="right"/>
        <w:textAlignment w:val="baseline"/>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 w:eastAsia="zh-CN"/>
        </w:rPr>
        <w:t>20</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 w:eastAsia="zh-CN"/>
        </w:rPr>
        <w:t>6</w:t>
      </w:r>
      <w:r>
        <w:rPr>
          <w:rFonts w:hint="eastAsia" w:ascii="仿宋_GB2312" w:hAnsi="仿宋_GB2312" w:eastAsia="仿宋_GB2312" w:cs="仿宋_GB2312"/>
          <w:sz w:val="32"/>
          <w:szCs w:val="32"/>
          <w:lang w:val="en-US" w:eastAsia="zh-CN"/>
        </w:rPr>
        <w:t>年1月</w:t>
      </w:r>
      <w:r>
        <w:rPr>
          <w:rFonts w:hint="default" w:ascii="仿宋_GB2312" w:hAnsi="仿宋_GB2312" w:eastAsia="仿宋_GB2312" w:cs="仿宋_GB2312"/>
          <w:sz w:val="32"/>
          <w:szCs w:val="32"/>
          <w:lang w:val="en" w:eastAsia="zh-CN"/>
        </w:rPr>
        <w:t>20</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val="0"/>
        <w:snapToGrid/>
        <w:spacing w:line="540" w:lineRule="exact"/>
        <w:ind w:left="958" w:leftChars="266" w:right="600" w:hanging="320" w:hangingChars="100"/>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40" w:lineRule="exact"/>
        <w:ind w:right="600" w:firstLine="640" w:firstLineChars="200"/>
        <w:textAlignment w:val="baseline"/>
        <w:rPr>
          <w:rFonts w:hint="eastAsia" w:eastAsia="仿宋_GB2312"/>
          <w:sz w:val="32"/>
          <w:szCs w:val="32"/>
          <w:lang w:val="en-US" w:eastAsia="zh-CN"/>
        </w:rPr>
      </w:pPr>
      <w:r>
        <w:rPr>
          <w:rFonts w:hint="eastAsia" w:ascii="仿宋_GB2312" w:hAnsi="仿宋_GB2312" w:eastAsia="仿宋_GB2312" w:cs="仿宋_GB2312"/>
          <w:sz w:val="32"/>
          <w:szCs w:val="32"/>
        </w:rPr>
        <w:t>联系人：预算编审中心</w:t>
      </w:r>
      <w:r>
        <w:rPr>
          <w:rFonts w:hint="eastAsia" w:ascii="仿宋_GB2312" w:hAnsi="仿宋_GB2312" w:eastAsia="仿宋_GB2312" w:cs="仿宋_GB2312"/>
          <w:sz w:val="32"/>
          <w:szCs w:val="32"/>
          <w:lang w:val="en-US" w:eastAsia="zh-CN"/>
        </w:rPr>
        <w:t xml:space="preserve">  </w:t>
      </w:r>
      <w:r>
        <w:rPr>
          <w:rFonts w:hint="eastAsia" w:eastAsia="仿宋_GB2312"/>
          <w:sz w:val="32"/>
          <w:szCs w:val="32"/>
          <w:lang w:val="en-US" w:eastAsia="zh-CN"/>
        </w:rPr>
        <w:t xml:space="preserve">付丽 杨静  吴淑媛  </w:t>
      </w:r>
    </w:p>
    <w:p>
      <w:pPr>
        <w:keepNext w:val="0"/>
        <w:keepLines w:val="0"/>
        <w:pageBreakBefore w:val="0"/>
        <w:widowControl w:val="0"/>
        <w:kinsoku/>
        <w:wordWrap/>
        <w:overflowPunct/>
        <w:topLinePunct w:val="0"/>
        <w:autoSpaceDE/>
        <w:autoSpaceDN/>
        <w:bidi w:val="0"/>
        <w:adjustRightInd w:val="0"/>
        <w:snapToGrid/>
        <w:spacing w:line="540" w:lineRule="exact"/>
        <w:ind w:right="600" w:firstLine="640" w:firstLineChars="200"/>
        <w:textAlignment w:val="baseline"/>
        <w:rPr>
          <w:rFonts w:hint="eastAsia" w:ascii="宋体"/>
          <w:b/>
          <w:color w:val="000000"/>
        </w:rPr>
      </w:pPr>
      <w:r>
        <w:rPr>
          <w:rFonts w:hint="eastAsia" w:eastAsia="仿宋_GB2312"/>
          <w:sz w:val="32"/>
          <w:szCs w:val="32"/>
          <w:lang w:val="en-US" w:eastAsia="zh-CN"/>
        </w:rPr>
        <w:t>电  话：</w:t>
      </w:r>
      <w:r>
        <w:rPr>
          <w:rFonts w:hint="eastAsia" w:ascii="仿宋_GB2312" w:hAnsi="仿宋_GB2312" w:eastAsia="仿宋_GB2312" w:cs="仿宋_GB2312"/>
          <w:sz w:val="32"/>
          <w:szCs w:val="32"/>
          <w:lang w:val="en-US" w:eastAsia="zh-CN"/>
        </w:rPr>
        <w:t>84375574</w:t>
      </w:r>
    </w:p>
    <w:p>
      <w:pPr>
        <w:jc w:val="both"/>
        <w:rPr>
          <w:rFonts w:hint="eastAsia" w:ascii="宋体"/>
          <w:b/>
          <w:color w:val="000000"/>
        </w:rPr>
      </w:pPr>
    </w:p>
    <w:sectPr>
      <w:headerReference r:id="rId3" w:type="default"/>
      <w:footerReference r:id="rId4" w:type="default"/>
      <w:footerReference r:id="rId5" w:type="even"/>
      <w:pgSz w:w="11907" w:h="16840"/>
      <w:pgMar w:top="2098" w:right="1474" w:bottom="1985" w:left="1588" w:header="765" w:footer="765" w:gutter="0"/>
      <w:pgNumType w:fmt="numberInDash"/>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- 1 -</w:t>
    </w:r>
    <w:r>
      <w:rPr>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BF69B2"/>
    <w:multiLevelType w:val="singleLevel"/>
    <w:tmpl w:val="EFBF69B2"/>
    <w:lvl w:ilvl="0" w:tentative="0">
      <w:start w:val="2"/>
      <w:numFmt w:val="decimal"/>
      <w:lvlText w:val="%1."/>
      <w:lvlJc w:val="left"/>
      <w:pPr>
        <w:tabs>
          <w:tab w:val="left" w:pos="312"/>
        </w:tabs>
        <w:ind w:left="1758" w:leftChars="0" w:firstLine="0" w:firstLineChars="0"/>
      </w:pPr>
    </w:lvl>
  </w:abstractNum>
  <w:abstractNum w:abstractNumId="1">
    <w:nsid w:val="23B769F6"/>
    <w:multiLevelType w:val="singleLevel"/>
    <w:tmpl w:val="23B769F6"/>
    <w:lvl w:ilvl="0" w:tentative="0">
      <w:start w:val="5"/>
      <w:numFmt w:val="chineseCounting"/>
      <w:suff w:val="nothing"/>
      <w:lvlText w:val="%1、"/>
      <w:lvlJc w:val="left"/>
      <w:rPr>
        <w:rFonts w:hint="eastAsia"/>
      </w:rPr>
    </w:lvl>
  </w:abstractNum>
  <w:abstractNum w:abstractNumId="2">
    <w:nsid w:val="56C1676D"/>
    <w:multiLevelType w:val="singleLevel"/>
    <w:tmpl w:val="56C1676D"/>
    <w:lvl w:ilvl="0" w:tentative="0">
      <w:start w:val="2"/>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A29FF"/>
    <w:rsid w:val="002216C8"/>
    <w:rsid w:val="032A7B52"/>
    <w:rsid w:val="035F34C5"/>
    <w:rsid w:val="04D11329"/>
    <w:rsid w:val="096C7F4F"/>
    <w:rsid w:val="09BA5BE3"/>
    <w:rsid w:val="0A257F78"/>
    <w:rsid w:val="0B9D0C4C"/>
    <w:rsid w:val="0CA8599C"/>
    <w:rsid w:val="0CC05801"/>
    <w:rsid w:val="0CC17E6B"/>
    <w:rsid w:val="0D685186"/>
    <w:rsid w:val="0E60412A"/>
    <w:rsid w:val="117571CD"/>
    <w:rsid w:val="13EE7CF5"/>
    <w:rsid w:val="13FA0956"/>
    <w:rsid w:val="14E859CE"/>
    <w:rsid w:val="16CB5DF8"/>
    <w:rsid w:val="16DB3794"/>
    <w:rsid w:val="17235192"/>
    <w:rsid w:val="19057651"/>
    <w:rsid w:val="1AF15433"/>
    <w:rsid w:val="1C6B626A"/>
    <w:rsid w:val="1C74198E"/>
    <w:rsid w:val="1C8717BA"/>
    <w:rsid w:val="1CD30A1F"/>
    <w:rsid w:val="1EB07383"/>
    <w:rsid w:val="1F652469"/>
    <w:rsid w:val="1FE154B7"/>
    <w:rsid w:val="213E35BA"/>
    <w:rsid w:val="22060947"/>
    <w:rsid w:val="22526EC5"/>
    <w:rsid w:val="22540EBC"/>
    <w:rsid w:val="23F6241A"/>
    <w:rsid w:val="256B27DD"/>
    <w:rsid w:val="26536CA7"/>
    <w:rsid w:val="273B70A1"/>
    <w:rsid w:val="28943594"/>
    <w:rsid w:val="29606183"/>
    <w:rsid w:val="2A4D1EE1"/>
    <w:rsid w:val="2B265881"/>
    <w:rsid w:val="2B337A3A"/>
    <w:rsid w:val="2F785478"/>
    <w:rsid w:val="2FFC71AF"/>
    <w:rsid w:val="312B718F"/>
    <w:rsid w:val="3371111B"/>
    <w:rsid w:val="36B62959"/>
    <w:rsid w:val="38EF61DF"/>
    <w:rsid w:val="3B6F52E5"/>
    <w:rsid w:val="3C70682A"/>
    <w:rsid w:val="42F02609"/>
    <w:rsid w:val="435A05A8"/>
    <w:rsid w:val="43601D8E"/>
    <w:rsid w:val="447E35BD"/>
    <w:rsid w:val="44B30022"/>
    <w:rsid w:val="4B1B2722"/>
    <w:rsid w:val="4B9A49C6"/>
    <w:rsid w:val="4BD03A15"/>
    <w:rsid w:val="4E3D3E79"/>
    <w:rsid w:val="4E4C68AD"/>
    <w:rsid w:val="4F606DC8"/>
    <w:rsid w:val="4F6B3B54"/>
    <w:rsid w:val="4FC508EC"/>
    <w:rsid w:val="50DE5852"/>
    <w:rsid w:val="51784052"/>
    <w:rsid w:val="51D850D1"/>
    <w:rsid w:val="521526E4"/>
    <w:rsid w:val="538332A7"/>
    <w:rsid w:val="55861F34"/>
    <w:rsid w:val="55DC1BEA"/>
    <w:rsid w:val="573C7E43"/>
    <w:rsid w:val="57637D27"/>
    <w:rsid w:val="58906D22"/>
    <w:rsid w:val="59800215"/>
    <w:rsid w:val="59B22E27"/>
    <w:rsid w:val="59B37E5A"/>
    <w:rsid w:val="5A44155E"/>
    <w:rsid w:val="5AFD0450"/>
    <w:rsid w:val="5C201392"/>
    <w:rsid w:val="5EFD0B5B"/>
    <w:rsid w:val="5F7A29FF"/>
    <w:rsid w:val="5FA45082"/>
    <w:rsid w:val="605A7513"/>
    <w:rsid w:val="618D6E1B"/>
    <w:rsid w:val="61E3193C"/>
    <w:rsid w:val="62600AED"/>
    <w:rsid w:val="63472F15"/>
    <w:rsid w:val="635920DC"/>
    <w:rsid w:val="636D6ED5"/>
    <w:rsid w:val="67D3543F"/>
    <w:rsid w:val="6B1B5D48"/>
    <w:rsid w:val="6C3C71EB"/>
    <w:rsid w:val="6D230310"/>
    <w:rsid w:val="735A4D8B"/>
    <w:rsid w:val="74F221DA"/>
    <w:rsid w:val="76617056"/>
    <w:rsid w:val="76960E2A"/>
    <w:rsid w:val="76AA49AF"/>
    <w:rsid w:val="772A1EC6"/>
    <w:rsid w:val="792956C9"/>
    <w:rsid w:val="7938554B"/>
    <w:rsid w:val="79966119"/>
    <w:rsid w:val="79B17FD3"/>
    <w:rsid w:val="7A281FAA"/>
    <w:rsid w:val="7B2E5414"/>
    <w:rsid w:val="7B77146B"/>
    <w:rsid w:val="7B8F6B66"/>
    <w:rsid w:val="7C0F5E08"/>
    <w:rsid w:val="7CF65823"/>
    <w:rsid w:val="7D6BFFF0"/>
    <w:rsid w:val="7D753C2F"/>
    <w:rsid w:val="7D7946EA"/>
    <w:rsid w:val="7ED15A35"/>
    <w:rsid w:val="7F841981"/>
    <w:rsid w:val="BBFDECEC"/>
    <w:rsid w:val="FD3D2437"/>
    <w:rsid w:val="FDBBB1EC"/>
    <w:rsid w:val="FFE702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pPr>
    <w:rPr>
      <w:sz w:val="18"/>
      <w:szCs w:val="18"/>
    </w:rPr>
  </w:style>
  <w:style w:type="paragraph" w:styleId="3">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2021-01-30T22:14:00Z</dcterms:created>
  <dc:creator>Administrator</dc:creator>
  <cp:lastModifiedBy>Administrator</cp:lastModifiedBy>
  <cp:lastPrinted>2026-01-20T00:38:00Z</cp:lastPrinted>
  <dcterms:modified xsi:type="dcterms:W3CDTF">2026-01-20T00:53:14Z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